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F22D7B">
        <w:rPr>
          <w:rFonts w:ascii="Calibri" w:hAnsi="Calibri" w:cs="Arial"/>
          <w:sz w:val="24"/>
          <w:szCs w:val="24"/>
        </w:rPr>
        <w:t>5</w:t>
      </w:r>
      <w:r w:rsidR="002E3267" w:rsidRPr="00024A94">
        <w:rPr>
          <w:rFonts w:ascii="Calibri" w:hAnsi="Calibri" w:cs="Arial"/>
          <w:sz w:val="24"/>
          <w:szCs w:val="24"/>
        </w:rPr>
        <w:t>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510035">
        <w:rPr>
          <w:rFonts w:ascii="Calibri" w:hAnsi="Calibri" w:cs="Arial"/>
          <w:sz w:val="24"/>
          <w:szCs w:val="24"/>
        </w:rPr>
        <w:t>02.12.2016 r.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804685" w:rsidRDefault="00804685" w:rsidP="00F22D7B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 w:rsidRPr="00804685">
        <w:rPr>
          <w:rFonts w:ascii="Calibri" w:hAnsi="Calibri" w:cs="Arial"/>
          <w:b/>
          <w:sz w:val="24"/>
          <w:szCs w:val="24"/>
        </w:rPr>
        <w:t>XXXXX</w:t>
      </w:r>
      <w:r w:rsidR="00F22D7B" w:rsidRPr="00804685">
        <w:rPr>
          <w:rFonts w:ascii="Calibri" w:hAnsi="Calibri" w:cs="Arial"/>
          <w:b/>
          <w:sz w:val="24"/>
          <w:szCs w:val="24"/>
        </w:rPr>
        <w:t xml:space="preserve"> Spółka z o.o.</w:t>
      </w:r>
    </w:p>
    <w:p w:rsidR="002E3267" w:rsidRPr="00024A94" w:rsidRDefault="002E3267" w:rsidP="00F22D7B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ul. </w:t>
      </w:r>
      <w:r w:rsidR="00804685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804685" w:rsidP="00F22D7B">
      <w:pPr>
        <w:spacing w:after="120"/>
        <w:ind w:left="4248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375F2" w:rsidRPr="00024A94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6A5FE5" w:rsidRDefault="002E3267" w:rsidP="006A5FE5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804685">
        <w:rPr>
          <w:rFonts w:ascii="Calibri" w:hAnsi="Calibri" w:cs="Arial"/>
          <w:sz w:val="24"/>
          <w:szCs w:val="24"/>
        </w:rPr>
        <w:t>XXXXX S</w:t>
      </w:r>
      <w:r w:rsidR="006A5FE5" w:rsidRPr="006A5FE5">
        <w:rPr>
          <w:rFonts w:ascii="Calibri" w:hAnsi="Calibri" w:cs="Arial"/>
          <w:sz w:val="24"/>
          <w:szCs w:val="24"/>
        </w:rPr>
        <w:t>półk</w:t>
      </w:r>
      <w:r w:rsidR="006A5FE5">
        <w:rPr>
          <w:rFonts w:ascii="Calibri" w:hAnsi="Calibri" w:cs="Arial"/>
          <w:sz w:val="24"/>
          <w:szCs w:val="24"/>
        </w:rPr>
        <w:t>i</w:t>
      </w:r>
      <w:r w:rsidR="006A5FE5" w:rsidRPr="006A5FE5">
        <w:rPr>
          <w:rFonts w:ascii="Calibri" w:hAnsi="Calibri" w:cs="Arial"/>
          <w:sz w:val="24"/>
          <w:szCs w:val="24"/>
        </w:rPr>
        <w:t xml:space="preserve"> z o.o.</w:t>
      </w:r>
      <w:r w:rsidR="000375F2" w:rsidRPr="00024A94">
        <w:rPr>
          <w:rFonts w:ascii="Calibri" w:hAnsi="Calibri" w:cs="Arial"/>
          <w:sz w:val="24"/>
          <w:szCs w:val="24"/>
        </w:rPr>
        <w:t xml:space="preserve"> z siedzibą w</w:t>
      </w:r>
      <w:r w:rsidR="006A5FE5">
        <w:rPr>
          <w:rFonts w:ascii="Calibri" w:hAnsi="Calibri" w:cs="Arial"/>
          <w:sz w:val="24"/>
          <w:szCs w:val="24"/>
        </w:rPr>
        <w:t xml:space="preserve"> </w:t>
      </w:r>
      <w:r w:rsidR="00804685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6A5FE5">
        <w:rPr>
          <w:rFonts w:ascii="Calibri" w:hAnsi="Calibri" w:cs="Arial"/>
          <w:sz w:val="24"/>
          <w:szCs w:val="24"/>
        </w:rPr>
        <w:t xml:space="preserve">7 listopada </w:t>
      </w:r>
      <w:r w:rsidRPr="00024A94">
        <w:rPr>
          <w:rFonts w:ascii="Calibri" w:hAnsi="Calibri" w:cs="Arial"/>
          <w:sz w:val="24"/>
          <w:szCs w:val="24"/>
        </w:rPr>
        <w:t xml:space="preserve">2016 r. o udzielenie pisemnej interpretacji przepisów prawa w zakresie </w:t>
      </w:r>
      <w:r w:rsidR="006A5FE5">
        <w:rPr>
          <w:rFonts w:ascii="Calibri" w:hAnsi="Calibri" w:cs="Arial"/>
          <w:sz w:val="24"/>
          <w:szCs w:val="24"/>
        </w:rPr>
        <w:t xml:space="preserve">stosowania przepisów </w:t>
      </w:r>
      <w:r w:rsidR="00001666" w:rsidRPr="00001666">
        <w:rPr>
          <w:rFonts w:ascii="Calibri" w:hAnsi="Calibri" w:cs="Arial"/>
          <w:sz w:val="24"/>
          <w:szCs w:val="24"/>
        </w:rPr>
        <w:t xml:space="preserve">art.22 </w:t>
      </w:r>
      <w:r w:rsidR="006A5FE5" w:rsidRPr="006A5FE5">
        <w:rPr>
          <w:rFonts w:ascii="Calibri" w:hAnsi="Calibri" w:cs="Arial"/>
          <w:sz w:val="24"/>
          <w:szCs w:val="24"/>
        </w:rPr>
        <w:t xml:space="preserve">ustawy </w:t>
      </w:r>
      <w:r w:rsidR="001154A7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 xml:space="preserve">z dnia 27 sierpnia 1997 r. o rehabilitacji zawodowej i społecznej oraz zatrudnianiu osób niepełnosprawnych (Dz.U. z 2011 r. Nr 127, poz.721 z późn.zm.) zwanej dalej ustawą </w:t>
      </w:r>
      <w:r w:rsidR="001154A7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 xml:space="preserve">o rehabilitacji, w brzmieniu obowiązującym od dnia 1 lipca 2016 r., tj. po nowelizacji ww. ustawy ustawą z dnia 25 września 2015 r. o zmianie ustawy o rehabilitacji zawodowej </w:t>
      </w:r>
      <w:r w:rsidR="001154A7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>i społecznej oraz zatrudnianiu osób niepełnosprawnych (Dz.U. z 2015 r. poz.1886) zwanej dalej ustawą zmieniając</w:t>
      </w:r>
      <w:r w:rsidR="00915ED0">
        <w:rPr>
          <w:rFonts w:ascii="Calibri" w:hAnsi="Calibri" w:cs="Arial"/>
          <w:sz w:val="24"/>
          <w:szCs w:val="24"/>
        </w:rPr>
        <w:t>ą</w:t>
      </w:r>
      <w:r w:rsidR="006A5FE5" w:rsidRPr="006A5FE5">
        <w:rPr>
          <w:rFonts w:ascii="Calibri" w:hAnsi="Calibri" w:cs="Arial"/>
          <w:sz w:val="24"/>
          <w:szCs w:val="24"/>
        </w:rPr>
        <w:t xml:space="preserve"> - jest prawidłowe.</w:t>
      </w:r>
    </w:p>
    <w:p w:rsidR="004D7690" w:rsidRPr="00024A94" w:rsidRDefault="004D7690" w:rsidP="002E3267">
      <w:pPr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915ED0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915ED0">
        <w:rPr>
          <w:rFonts w:ascii="Calibri" w:hAnsi="Calibri" w:cs="Arial"/>
          <w:sz w:val="24"/>
          <w:szCs w:val="24"/>
        </w:rPr>
        <w:t xml:space="preserve">7 listopada </w:t>
      </w:r>
      <w:r w:rsidR="00024A94">
        <w:rPr>
          <w:rFonts w:ascii="Calibri" w:hAnsi="Calibri" w:cs="Arial"/>
          <w:sz w:val="24"/>
          <w:szCs w:val="24"/>
        </w:rPr>
        <w:t xml:space="preserve">2016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915ED0" w:rsidRPr="00915ED0">
        <w:rPr>
          <w:rFonts w:ascii="Calibri" w:hAnsi="Calibri" w:cs="Arial"/>
          <w:sz w:val="24"/>
          <w:szCs w:val="24"/>
        </w:rPr>
        <w:t>stosowania przepisów art.22 ustawy o rehabilitacji, w brzmieniu obowiązującym od dnia 1 lipca 2016 r., tj. po nowelizacji ww. ustawy ustawą zmieniając</w:t>
      </w:r>
      <w:r w:rsidR="00915ED0">
        <w:rPr>
          <w:rFonts w:ascii="Calibri" w:hAnsi="Calibri" w:cs="Arial"/>
          <w:sz w:val="24"/>
          <w:szCs w:val="24"/>
        </w:rPr>
        <w:t>ą.</w:t>
      </w:r>
    </w:p>
    <w:p w:rsidR="002E3267" w:rsidRDefault="00001666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01666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Wniosek swój Wnioskodawca skierował na podstawie art. 10 i 10a ustawy o swobodzie działalności gospodarczej. Zgodnie z art. 10 ust. 1 ustawy o swobodzie działalności </w:t>
      </w:r>
      <w:r w:rsidR="002E3267" w:rsidRPr="00024A94">
        <w:rPr>
          <w:rFonts w:ascii="Calibri" w:hAnsi="Calibri" w:cs="Arial"/>
          <w:sz w:val="24"/>
          <w:szCs w:val="24"/>
        </w:rPr>
        <w:lastRenderedPageBreak/>
        <w:t xml:space="preserve">gospodarczej </w:t>
      </w:r>
      <w:r w:rsidR="002E3267"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="002E3267"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5158F4" w:rsidRPr="005158F4" w:rsidRDefault="005158F4" w:rsidP="005158F4">
      <w:pPr>
        <w:spacing w:after="360"/>
        <w:jc w:val="both"/>
        <w:rPr>
          <w:rFonts w:ascii="Calibri" w:hAnsi="Calibri" w:cs="Arial"/>
          <w:sz w:val="24"/>
          <w:szCs w:val="24"/>
        </w:rPr>
      </w:pPr>
      <w:r w:rsidRPr="005158F4">
        <w:rPr>
          <w:rFonts w:ascii="Calibri" w:hAnsi="Calibri" w:cs="Arial"/>
          <w:sz w:val="24"/>
          <w:szCs w:val="24"/>
        </w:rPr>
        <w:t xml:space="preserve">W ocenie Spółki obowiązek świadczenia daniny publicznej na rzecz PFRON wynikać będzie </w:t>
      </w:r>
      <w:r>
        <w:rPr>
          <w:rFonts w:ascii="Calibri" w:hAnsi="Calibri" w:cs="Arial"/>
          <w:sz w:val="24"/>
          <w:szCs w:val="24"/>
        </w:rPr>
        <w:br/>
      </w:r>
      <w:r w:rsidRPr="005158F4">
        <w:rPr>
          <w:rFonts w:ascii="Calibri" w:hAnsi="Calibri" w:cs="Arial"/>
          <w:sz w:val="24"/>
          <w:szCs w:val="24"/>
        </w:rPr>
        <w:t>z błędnego obliczania stanu zatrudnienia przez sprzedającego (Wnioskodawcę), który jest konieczny do wyliczenia kwoty obniżenia za każdy miesiąc.</w:t>
      </w:r>
    </w:p>
    <w:p w:rsidR="002E3267" w:rsidRPr="00024A94" w:rsidRDefault="002E3267" w:rsidP="005158F4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3A5756" w:rsidRDefault="003A575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Kwotę obniżenia wpłat na PFRON na zasadach wprowadzonych ustawą </w:t>
      </w:r>
      <w:r w:rsidR="00A77E81">
        <w:rPr>
          <w:rFonts w:ascii="Calibri" w:hAnsi="Calibri" w:cs="Arial"/>
          <w:sz w:val="24"/>
          <w:szCs w:val="24"/>
        </w:rPr>
        <w:t>zmieniającą,</w:t>
      </w:r>
      <w:r>
        <w:rPr>
          <w:rFonts w:ascii="Calibri" w:hAnsi="Calibri" w:cs="Arial"/>
          <w:sz w:val="24"/>
          <w:szCs w:val="24"/>
        </w:rPr>
        <w:t xml:space="preserve"> wedle stanowiska BON-I.52315.12.2016.LK z dnia 11 lutego 2016 r. oraz stanowiska BON-I.52312.33.2016.PM z dnia 26 lutego 2016 r. ustala się zgodnie ze wzorem</w:t>
      </w:r>
      <w:r w:rsidR="00915ED0">
        <w:rPr>
          <w:rFonts w:ascii="Calibri" w:hAnsi="Calibri" w:cs="Arial"/>
          <w:sz w:val="24"/>
          <w:szCs w:val="24"/>
        </w:rPr>
        <w:t>, który jest odzwierciedleniem w informacji INF-U składanej do PFRON</w:t>
      </w:r>
      <w:r>
        <w:rPr>
          <w:rFonts w:ascii="Calibri" w:hAnsi="Calibri" w:cs="Arial"/>
          <w:sz w:val="24"/>
          <w:szCs w:val="24"/>
        </w:rPr>
        <w:t>:</w:t>
      </w:r>
    </w:p>
    <w:p w:rsidR="003A5756" w:rsidRDefault="003A5756" w:rsidP="00915ED0">
      <w:pPr>
        <w:ind w:left="708" w:firstLine="708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>/Po x (</w:t>
      </w: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x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)/ZON x (ZON – o,06 x ZOG) &lt; </w:t>
      </w: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</w:p>
    <w:p w:rsidR="003A5756" w:rsidRDefault="003A575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Symbole użyte w powyższych wzorze oznaczają:</w:t>
      </w:r>
    </w:p>
    <w:p w:rsidR="003A5756" w:rsidRDefault="003A5756" w:rsidP="002E3267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 xml:space="preserve"> – przychód ze sprzedaży własnych usług (bez handlu) lub produkcji sprzedającego, zrealizowanych przez niego w danym miesiącu na rzecz nabywcy,</w:t>
      </w:r>
    </w:p>
    <w:p w:rsidR="003A5756" w:rsidRDefault="003A575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– przychód ogółem ze sprzedaży własnych usług (bez handlu) lub produkcji sprzedającego, zrealizowanych przez niego w danym miesiącu,</w:t>
      </w:r>
    </w:p>
    <w:p w:rsidR="000C191C" w:rsidRDefault="000C191C" w:rsidP="002E3267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– najniższe wynagrodzenie pomniejszone o składki na ubezpieczenie społeczne,</w:t>
      </w:r>
    </w:p>
    <w:p w:rsidR="000C191C" w:rsidRDefault="000C191C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stan zatrudnienia ogółem pracowników uprawnionego sprzedającego (stan przeciętny miesięczny w przeliczeniu na pełny wymiar czasu pracy),</w:t>
      </w:r>
    </w:p>
    <w:p w:rsidR="000C191C" w:rsidRDefault="000C191C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 – stan zatrudnienia niepełnosprawnych pracowników uprawnionego sprzedającego (stan przeciętny miesięczny w przeliczeniu na pełny wymiar czasu pracy),</w:t>
      </w:r>
    </w:p>
    <w:p w:rsidR="000C191C" w:rsidRDefault="000C191C" w:rsidP="002E3267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– stan zatrudnienia niepełnosprawnych pracowników uprawnionego sprzedającego, zaliczonych do znacznego lub umiarkowanego stopnia niepełnosprawności (stan przeciętny miesięczny w przeliczeniu na pełny wymiar czasu pracy),</w:t>
      </w:r>
    </w:p>
    <w:p w:rsidR="000C191C" w:rsidRDefault="000C191C" w:rsidP="002E3267">
      <w:pPr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  <w:r>
        <w:rPr>
          <w:rFonts w:ascii="Calibri" w:hAnsi="Calibri" w:cs="Arial"/>
          <w:sz w:val="24"/>
          <w:szCs w:val="24"/>
        </w:rPr>
        <w:t xml:space="preserve"> – kwota netto uiszczona za zakup.</w:t>
      </w:r>
    </w:p>
    <w:p w:rsidR="00CA4EB6" w:rsidRDefault="000C191C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Powyższy wzór ma zastosowanie</w:t>
      </w:r>
      <w:r w:rsidR="00915ED0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 xml:space="preserve">do wyliczania kwoty przysługującego obniżenia wpłat </w:t>
      </w:r>
      <w:r w:rsidR="00070B0B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t>na PFRON</w:t>
      </w:r>
      <w:r w:rsidR="00915ED0">
        <w:rPr>
          <w:rFonts w:ascii="Calibri" w:hAnsi="Calibri" w:cs="Arial"/>
          <w:sz w:val="24"/>
          <w:szCs w:val="24"/>
        </w:rPr>
        <w:t>,</w:t>
      </w:r>
      <w:r w:rsidR="00A117A0">
        <w:rPr>
          <w:rFonts w:ascii="Calibri" w:hAnsi="Calibri" w:cs="Arial"/>
          <w:sz w:val="24"/>
          <w:szCs w:val="24"/>
        </w:rPr>
        <w:t xml:space="preserve"> od dnia 1 lipca 2016 r. W ocenie Wnioskodawcy przy dokonywanych obliczeniach przez uprawnionego sprzedającego kluczowe znaczenie mają stany zatrudnienia oznaczone we wzorze jako ZOG,</w:t>
      </w:r>
      <w:r w:rsidR="004A15C4"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 xml:space="preserve">ZON oraz </w:t>
      </w:r>
      <w:proofErr w:type="spellStart"/>
      <w:r w:rsidR="00A117A0">
        <w:rPr>
          <w:rFonts w:ascii="Calibri" w:hAnsi="Calibri" w:cs="Arial"/>
          <w:sz w:val="24"/>
          <w:szCs w:val="24"/>
        </w:rPr>
        <w:t>ZONzu</w:t>
      </w:r>
      <w:proofErr w:type="spellEnd"/>
      <w:r w:rsidR="00A117A0">
        <w:rPr>
          <w:rFonts w:ascii="Calibri" w:hAnsi="Calibri" w:cs="Arial"/>
          <w:sz w:val="24"/>
          <w:szCs w:val="24"/>
        </w:rPr>
        <w:t>, jak również wyłącze</w:t>
      </w:r>
      <w:r w:rsidR="00915ED0">
        <w:rPr>
          <w:rFonts w:ascii="Calibri" w:hAnsi="Calibri" w:cs="Arial"/>
          <w:sz w:val="24"/>
          <w:szCs w:val="24"/>
        </w:rPr>
        <w:t>nia</w:t>
      </w:r>
      <w:r w:rsidR="00A117A0">
        <w:rPr>
          <w:rFonts w:ascii="Calibri" w:hAnsi="Calibri" w:cs="Arial"/>
          <w:sz w:val="24"/>
          <w:szCs w:val="24"/>
        </w:rPr>
        <w:t xml:space="preserve"> ze stanów zatrudnienia niepełnosprawnych pracowników, niepełnosprawnych pracowników zaliczonych </w:t>
      </w:r>
      <w:r w:rsidR="00915ED0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lastRenderedPageBreak/>
        <w:t>do znacznego lub umiarkowanego stopnia niepełnospr</w:t>
      </w:r>
      <w:r w:rsidR="00CA4EB6">
        <w:rPr>
          <w:rFonts w:ascii="Calibri" w:hAnsi="Calibri" w:cs="Arial"/>
          <w:sz w:val="24"/>
          <w:szCs w:val="24"/>
        </w:rPr>
        <w:t>a</w:t>
      </w:r>
      <w:r w:rsidR="00A117A0">
        <w:rPr>
          <w:rFonts w:ascii="Calibri" w:hAnsi="Calibri" w:cs="Arial"/>
          <w:sz w:val="24"/>
          <w:szCs w:val="24"/>
        </w:rPr>
        <w:t>wności</w:t>
      </w:r>
      <w:r w:rsidR="00CA4EB6">
        <w:rPr>
          <w:rFonts w:ascii="Calibri" w:hAnsi="Calibri" w:cs="Arial"/>
          <w:sz w:val="24"/>
          <w:szCs w:val="24"/>
        </w:rPr>
        <w:t xml:space="preserve"> oraz pracowników uprawnionego sprzedającego. </w:t>
      </w:r>
    </w:p>
    <w:p w:rsidR="001D4232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CA4EB6" w:rsidRPr="00915ED0" w:rsidRDefault="00CA4EB6" w:rsidP="00915ED0">
      <w:pPr>
        <w:jc w:val="both"/>
        <w:rPr>
          <w:rFonts w:ascii="Calibri" w:hAnsi="Calibri" w:cs="Arial"/>
          <w:sz w:val="24"/>
          <w:szCs w:val="24"/>
        </w:rPr>
      </w:pPr>
      <w:r w:rsidRPr="00915ED0">
        <w:rPr>
          <w:rFonts w:ascii="Calibri" w:hAnsi="Calibri" w:cs="Arial"/>
          <w:sz w:val="24"/>
          <w:szCs w:val="24"/>
        </w:rPr>
        <w:t xml:space="preserve">których pracowników od dnia 1 lipca 2016 r. nie wlicza się do stanów zatrudnienia oznaczonych w powyższym wzorze jako ZOG, ZON oraz </w:t>
      </w:r>
      <w:proofErr w:type="spellStart"/>
      <w:r w:rsidRPr="00915ED0">
        <w:rPr>
          <w:rFonts w:ascii="Calibri" w:hAnsi="Calibri" w:cs="Arial"/>
          <w:sz w:val="24"/>
          <w:szCs w:val="24"/>
        </w:rPr>
        <w:t>ZONzu</w:t>
      </w:r>
      <w:proofErr w:type="spellEnd"/>
      <w:r w:rsidR="00915ED0">
        <w:rPr>
          <w:rFonts w:ascii="Calibri" w:hAnsi="Calibri" w:cs="Arial"/>
          <w:sz w:val="24"/>
          <w:szCs w:val="24"/>
        </w:rPr>
        <w:t>?</w:t>
      </w:r>
      <w:r w:rsidRPr="00915ED0">
        <w:rPr>
          <w:rFonts w:ascii="Calibri" w:hAnsi="Calibri" w:cs="Arial"/>
          <w:sz w:val="24"/>
          <w:szCs w:val="24"/>
        </w:rPr>
        <w:t xml:space="preserve"> </w:t>
      </w: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5E129E" w:rsidRDefault="000A6A6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 końca czerwca 2016 r. możliwe były </w:t>
      </w:r>
      <w:r w:rsidR="00001666">
        <w:rPr>
          <w:rFonts w:ascii="Calibri" w:hAnsi="Calibri" w:cs="Arial"/>
          <w:sz w:val="24"/>
          <w:szCs w:val="24"/>
        </w:rPr>
        <w:t xml:space="preserve">trzy </w:t>
      </w:r>
      <w:r>
        <w:rPr>
          <w:rFonts w:ascii="Calibri" w:hAnsi="Calibri" w:cs="Arial"/>
          <w:sz w:val="24"/>
          <w:szCs w:val="24"/>
        </w:rPr>
        <w:t>równorzędne sposoby post</w:t>
      </w:r>
      <w:r w:rsidR="005E129E">
        <w:rPr>
          <w:rFonts w:ascii="Calibri" w:hAnsi="Calibri" w:cs="Arial"/>
          <w:sz w:val="24"/>
          <w:szCs w:val="24"/>
        </w:rPr>
        <w:t>ę</w:t>
      </w:r>
      <w:r>
        <w:rPr>
          <w:rFonts w:ascii="Calibri" w:hAnsi="Calibri" w:cs="Arial"/>
          <w:sz w:val="24"/>
          <w:szCs w:val="24"/>
        </w:rPr>
        <w:t xml:space="preserve">powania </w:t>
      </w:r>
      <w:r w:rsidR="005E129E">
        <w:rPr>
          <w:rFonts w:ascii="Calibri" w:hAnsi="Calibri" w:cs="Arial"/>
          <w:sz w:val="24"/>
          <w:szCs w:val="24"/>
        </w:rPr>
        <w:t>w zakresie stosowania wyłączeń pracowników ze stanu zatrudnienia</w:t>
      </w:r>
      <w:r w:rsidR="000504BD">
        <w:rPr>
          <w:rFonts w:ascii="Calibri" w:hAnsi="Calibri" w:cs="Arial"/>
          <w:sz w:val="24"/>
          <w:szCs w:val="24"/>
        </w:rPr>
        <w:t>.</w:t>
      </w:r>
      <w:r w:rsidR="005E129E">
        <w:rPr>
          <w:rFonts w:ascii="Calibri" w:hAnsi="Calibri" w:cs="Arial"/>
          <w:sz w:val="24"/>
          <w:szCs w:val="24"/>
        </w:rPr>
        <w:t xml:space="preserve"> </w:t>
      </w:r>
    </w:p>
    <w:p w:rsidR="00F31AB3" w:rsidRDefault="005E129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Natomiast od dnia 1 lipca 201</w:t>
      </w:r>
      <w:r w:rsidR="004A15C4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r., kiedy to </w:t>
      </w:r>
      <w:r w:rsidR="00001666">
        <w:rPr>
          <w:rFonts w:ascii="Calibri" w:hAnsi="Calibri" w:cs="Arial"/>
          <w:sz w:val="24"/>
          <w:szCs w:val="24"/>
        </w:rPr>
        <w:t xml:space="preserve">weszły </w:t>
      </w:r>
      <w:r>
        <w:rPr>
          <w:rFonts w:ascii="Calibri" w:hAnsi="Calibri" w:cs="Arial"/>
          <w:sz w:val="24"/>
          <w:szCs w:val="24"/>
        </w:rPr>
        <w:t xml:space="preserve">w życie przepisy ustawy zmieniającej oraz Rozporządzenia Ministra Rodziny, Pracy i Polityki Społecznej z dnia 29 czerwca 2016 r. </w:t>
      </w:r>
      <w:r w:rsidR="005D10D9">
        <w:rPr>
          <w:rFonts w:ascii="Calibri" w:hAnsi="Calibri" w:cs="Arial"/>
          <w:sz w:val="24"/>
          <w:szCs w:val="24"/>
        </w:rPr>
        <w:br/>
        <w:t xml:space="preserve">w sprawie informacji dotyczących kwot obniżenia wpłat na Państwowy Fundusz Rehabilitacji Osób Niepełnosprawnych oraz ewidencji wystawionych informacji o kwocie obniżenia </w:t>
      </w:r>
      <w:r w:rsidR="00A743B8">
        <w:rPr>
          <w:rFonts w:ascii="Calibri" w:hAnsi="Calibri" w:cs="Arial"/>
          <w:sz w:val="24"/>
          <w:szCs w:val="24"/>
        </w:rPr>
        <w:br/>
      </w:r>
      <w:r w:rsidR="005D10D9">
        <w:rPr>
          <w:rFonts w:ascii="Calibri" w:hAnsi="Calibri" w:cs="Arial"/>
          <w:sz w:val="24"/>
          <w:szCs w:val="24"/>
        </w:rPr>
        <w:t xml:space="preserve">(Dz.U. z 2016 r. poz.928) </w:t>
      </w:r>
      <w:r>
        <w:rPr>
          <w:rFonts w:ascii="Calibri" w:hAnsi="Calibri" w:cs="Arial"/>
          <w:sz w:val="24"/>
          <w:szCs w:val="24"/>
        </w:rPr>
        <w:t xml:space="preserve">wprowadzającego m.in. wzór informacji o kwocie obniżenia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 – stosowanie wyłączeń określonych w art.21 ust.5 ustawy o rehabilitacji będzie ważne dla zachowania spójności danych przekazywanych przez sprzedającego.</w:t>
      </w:r>
    </w:p>
    <w:p w:rsidR="00F31AB3" w:rsidRDefault="00F31AB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Uprawniony sprzedający sporządzając INF-U, jednocześnie deklaruje, iż kwoty obniżenia </w:t>
      </w:r>
      <w:r w:rsidR="00070B0B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tej informacji zostały obliczone na podstawie danych o zatrudnieniu zgodnych z danymi wykazanymi w bloku C informacji miesięcznej o zatrudnieniu, kształceniu lub o działalności na rzecz osób niepełnosprawnych (</w:t>
      </w:r>
      <w:r w:rsidR="004A15C4">
        <w:rPr>
          <w:rFonts w:ascii="Calibri" w:hAnsi="Calibri" w:cs="Arial"/>
          <w:sz w:val="24"/>
          <w:szCs w:val="24"/>
        </w:rPr>
        <w:t>INF</w:t>
      </w:r>
      <w:r>
        <w:rPr>
          <w:rFonts w:ascii="Calibri" w:hAnsi="Calibri" w:cs="Arial"/>
          <w:sz w:val="24"/>
          <w:szCs w:val="24"/>
        </w:rPr>
        <w:t xml:space="preserve">-1), o której mowa w przepisach wydanych </w:t>
      </w:r>
      <w:r w:rsidR="00070B0B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na podstawie art.21 ust.2f ustawy o rehabilitacji.</w:t>
      </w:r>
    </w:p>
    <w:p w:rsidR="001C3C14" w:rsidRDefault="00EF48D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Zachowanie spójności danych </w:t>
      </w:r>
      <w:r w:rsidR="00001666">
        <w:rPr>
          <w:rFonts w:ascii="Calibri" w:hAnsi="Calibri" w:cs="Arial"/>
          <w:sz w:val="24"/>
          <w:szCs w:val="24"/>
        </w:rPr>
        <w:t xml:space="preserve">dotyczących stanów zatrudnienia </w:t>
      </w:r>
      <w:r>
        <w:rPr>
          <w:rFonts w:ascii="Calibri" w:hAnsi="Calibri" w:cs="Arial"/>
          <w:sz w:val="24"/>
          <w:szCs w:val="24"/>
        </w:rPr>
        <w:t xml:space="preserve">wykazywanych zarówno </w:t>
      </w:r>
      <w:r w:rsidR="00070B0B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informacji INF-1 oraz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>, wymaga stosowania wyłączeń pracowników</w:t>
      </w:r>
      <w:r w:rsidR="001C3C14">
        <w:rPr>
          <w:rFonts w:ascii="Calibri" w:hAnsi="Calibri" w:cs="Arial"/>
          <w:sz w:val="24"/>
          <w:szCs w:val="24"/>
        </w:rPr>
        <w:t xml:space="preserve"> </w:t>
      </w:r>
      <w:r w:rsidR="00001666">
        <w:rPr>
          <w:rFonts w:ascii="Calibri" w:hAnsi="Calibri" w:cs="Arial"/>
          <w:sz w:val="24"/>
          <w:szCs w:val="24"/>
        </w:rPr>
        <w:t xml:space="preserve">określonych </w:t>
      </w:r>
      <w:r w:rsidR="00070B0B">
        <w:rPr>
          <w:rFonts w:ascii="Calibri" w:hAnsi="Calibri" w:cs="Arial"/>
          <w:sz w:val="24"/>
          <w:szCs w:val="24"/>
        </w:rPr>
        <w:br/>
      </w:r>
      <w:r w:rsidR="00001666">
        <w:rPr>
          <w:rFonts w:ascii="Calibri" w:hAnsi="Calibri" w:cs="Arial"/>
          <w:sz w:val="24"/>
          <w:szCs w:val="24"/>
        </w:rPr>
        <w:t>w</w:t>
      </w:r>
      <w:r w:rsidR="001C3C14">
        <w:rPr>
          <w:rFonts w:ascii="Calibri" w:hAnsi="Calibri" w:cs="Arial"/>
          <w:sz w:val="24"/>
          <w:szCs w:val="24"/>
        </w:rPr>
        <w:t xml:space="preserve"> art.21 ust.5 ustawy o rehabilitacji również przez pracodawcę, o którym mowa w art.22 ust.1 ustawy o rehabilitacji. </w:t>
      </w:r>
    </w:p>
    <w:p w:rsidR="001C3C14" w:rsidRDefault="001C3C1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Oznacza to, że nie wlicza się do stanu zatrudnienia:</w:t>
      </w:r>
    </w:p>
    <w:p w:rsidR="001C3C14" w:rsidRDefault="001C3C1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osób niepełnosprawnych przebywających na urlopach bezpłatnych oraz osób niebędących osobami niepełnosprawnymi zatrudnionych:</w:t>
      </w:r>
    </w:p>
    <w:p w:rsidR="000A6A66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podstawie umowy o prac</w:t>
      </w:r>
      <w:r w:rsidR="004A15C4">
        <w:rPr>
          <w:rFonts w:ascii="Calibri" w:hAnsi="Calibri" w:cs="Arial"/>
          <w:sz w:val="24"/>
          <w:szCs w:val="24"/>
        </w:rPr>
        <w:t>ę</w:t>
      </w:r>
      <w:r>
        <w:rPr>
          <w:rFonts w:ascii="Calibri" w:hAnsi="Calibri" w:cs="Arial"/>
          <w:sz w:val="24"/>
          <w:szCs w:val="24"/>
        </w:rPr>
        <w:t xml:space="preserve"> w celu przygotowania zawodowego,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urlopie rodzicielskim,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przebywających na urlopach wychowawczych,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odbywaniem służby wojskowej albo służby zastępczej,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będących uczestnikami Ochotniczych Hufców Pracy,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uzyskaniem świadczenia rehabilitacyjnego,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urlopach bezpłatnych, których obowiązek udzielenia określają odrębne przepisy</w:t>
      </w:r>
      <w:r w:rsidR="00F67A71">
        <w:rPr>
          <w:rFonts w:ascii="Calibri" w:hAnsi="Calibri" w:cs="Arial"/>
          <w:sz w:val="24"/>
          <w:szCs w:val="24"/>
        </w:rPr>
        <w:t>;</w:t>
      </w:r>
    </w:p>
    <w:p w:rsidR="001C3C14" w:rsidRDefault="00F67A71" w:rsidP="001C3C1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</w:t>
      </w:r>
      <w:r w:rsidR="002B0551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2B0551"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- </w:t>
      </w:r>
      <w:r w:rsidRPr="00F67A71">
        <w:rPr>
          <w:rFonts w:ascii="Calibri" w:hAnsi="Calibri" w:cs="Arial"/>
          <w:sz w:val="24"/>
          <w:szCs w:val="24"/>
        </w:rPr>
        <w:t>osób niepełnosprawnych przebywających na urlopach bezpłatnych</w:t>
      </w:r>
      <w:r w:rsidR="002B0551">
        <w:rPr>
          <w:rFonts w:ascii="Calibri" w:hAnsi="Calibri" w:cs="Arial"/>
          <w:sz w:val="24"/>
          <w:szCs w:val="24"/>
        </w:rPr>
        <w:t xml:space="preserve"> oraz osób niepełnosprawnych wykonujących pracę nakładczą, o których mowa w art.28 ust.3-5 ustawy o rehabilitacji</w:t>
      </w:r>
      <w:r w:rsidR="00A743B8">
        <w:rPr>
          <w:rFonts w:ascii="Calibri" w:hAnsi="Calibri" w:cs="Arial"/>
          <w:sz w:val="24"/>
          <w:szCs w:val="24"/>
        </w:rPr>
        <w:t>.</w:t>
      </w:r>
    </w:p>
    <w:p w:rsidR="00765459" w:rsidRPr="00765459" w:rsidRDefault="002D227E" w:rsidP="000504B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804685">
        <w:rPr>
          <w:rFonts w:ascii="Calibri" w:hAnsi="Calibri" w:cs="Arial"/>
          <w:sz w:val="24"/>
          <w:szCs w:val="24"/>
        </w:rPr>
        <w:t>XXXXX</w:t>
      </w:r>
      <w:r w:rsidR="000504BD" w:rsidRPr="000504BD">
        <w:rPr>
          <w:rFonts w:ascii="Calibri" w:hAnsi="Calibri" w:cs="Arial"/>
          <w:sz w:val="24"/>
          <w:szCs w:val="24"/>
        </w:rPr>
        <w:t xml:space="preserve"> Spółki z o.o. z siedzibą </w:t>
      </w:r>
      <w:r w:rsidR="001154A7">
        <w:rPr>
          <w:rFonts w:ascii="Calibri" w:hAnsi="Calibri" w:cs="Arial"/>
          <w:sz w:val="24"/>
          <w:szCs w:val="24"/>
        </w:rPr>
        <w:br/>
      </w:r>
      <w:r w:rsidR="000504BD" w:rsidRPr="000504BD">
        <w:rPr>
          <w:rFonts w:ascii="Calibri" w:hAnsi="Calibri" w:cs="Arial"/>
          <w:sz w:val="24"/>
          <w:szCs w:val="24"/>
        </w:rPr>
        <w:t xml:space="preserve">w </w:t>
      </w:r>
      <w:r w:rsidR="00804685">
        <w:rPr>
          <w:rFonts w:ascii="Calibri" w:hAnsi="Calibri" w:cs="Arial"/>
          <w:sz w:val="24"/>
          <w:szCs w:val="24"/>
        </w:rPr>
        <w:t>XXXXX</w:t>
      </w:r>
      <w:r w:rsidR="000504BD" w:rsidRPr="000504BD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0504BD" w:rsidRPr="000504BD">
        <w:rPr>
          <w:rFonts w:ascii="Calibri" w:hAnsi="Calibri" w:cs="Arial"/>
          <w:sz w:val="24"/>
          <w:szCs w:val="24"/>
        </w:rPr>
        <w:t xml:space="preserve">7 listopada 2016 r. </w:t>
      </w:r>
      <w:r w:rsidR="000504BD">
        <w:rPr>
          <w:rFonts w:ascii="Calibri" w:hAnsi="Calibri" w:cs="Arial"/>
          <w:sz w:val="24"/>
          <w:szCs w:val="24"/>
        </w:rPr>
        <w:t xml:space="preserve">w sprawie </w:t>
      </w:r>
      <w:r w:rsidR="000504BD" w:rsidRPr="000504BD">
        <w:rPr>
          <w:rFonts w:ascii="Calibri" w:hAnsi="Calibri" w:cs="Arial"/>
          <w:sz w:val="24"/>
          <w:szCs w:val="24"/>
        </w:rPr>
        <w:t>pisemnej interpretacji przepisów prawa w zakresie stosowania przepisów art.22 ustawy o rehabilitacji, w brzmieniu obowiązującym od dnia 1 lipca 2016 r., tj. po nowelizacji ww. ustawy ustawą zmieniającą</w:t>
      </w:r>
      <w:r w:rsidR="00A743B8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>– jest prawidłowe.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572473" w:rsidRDefault="0057247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</w:t>
      </w:r>
      <w:bookmarkStart w:id="0" w:name="_GoBack"/>
      <w:bookmarkEnd w:id="0"/>
      <w:r w:rsidRPr="00024A94">
        <w:rPr>
          <w:rFonts w:ascii="Calibri" w:hAnsi="Calibri" w:cs="Arial"/>
          <w:sz w:val="24"/>
          <w:szCs w:val="24"/>
        </w:rPr>
        <w:t>ia.</w:t>
      </w:r>
    </w:p>
    <w:sectPr w:rsidR="00695811" w:rsidRPr="00024A94" w:rsidSect="00415C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83" w:rsidRDefault="009C6D83" w:rsidP="00550511">
      <w:pPr>
        <w:spacing w:after="0" w:line="240" w:lineRule="auto"/>
      </w:pPr>
      <w:r>
        <w:separator/>
      </w:r>
    </w:p>
  </w:endnote>
  <w:endnote w:type="continuationSeparator" w:id="0">
    <w:p w:rsidR="009C6D83" w:rsidRDefault="009C6D83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49303086"/>
      <w:docPartObj>
        <w:docPartGallery w:val="Page Numbers (Bottom of Page)"/>
        <w:docPartUnique/>
      </w:docPartObj>
    </w:sdtPr>
    <w:sdtContent>
      <w:p w:rsidR="00550511" w:rsidRDefault="00550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45184" w:rsidRPr="00E45184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E45184" w:rsidRPr="00E45184">
          <w:rPr>
            <w:rFonts w:eastAsiaTheme="minorEastAsia"/>
            <w:szCs w:val="21"/>
          </w:rPr>
          <w:fldChar w:fldCharType="separate"/>
        </w:r>
        <w:r w:rsidR="00510035" w:rsidRPr="0051003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E4518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83" w:rsidRDefault="009C6D83" w:rsidP="00550511">
      <w:pPr>
        <w:spacing w:after="0" w:line="240" w:lineRule="auto"/>
      </w:pPr>
      <w:r>
        <w:separator/>
      </w:r>
    </w:p>
  </w:footnote>
  <w:footnote w:type="continuationSeparator" w:id="0">
    <w:p w:rsidR="009C6D83" w:rsidRDefault="009C6D83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666"/>
    <w:rsid w:val="00006010"/>
    <w:rsid w:val="00024A94"/>
    <w:rsid w:val="000375F2"/>
    <w:rsid w:val="000504BD"/>
    <w:rsid w:val="00070B0B"/>
    <w:rsid w:val="000A6A66"/>
    <w:rsid w:val="000C191C"/>
    <w:rsid w:val="00111612"/>
    <w:rsid w:val="001154A7"/>
    <w:rsid w:val="00123EF7"/>
    <w:rsid w:val="00152A8E"/>
    <w:rsid w:val="001C3C14"/>
    <w:rsid w:val="001D4232"/>
    <w:rsid w:val="002268B8"/>
    <w:rsid w:val="00234601"/>
    <w:rsid w:val="002B0551"/>
    <w:rsid w:val="002D227E"/>
    <w:rsid w:val="002E3267"/>
    <w:rsid w:val="003A1411"/>
    <w:rsid w:val="003A5756"/>
    <w:rsid w:val="003B6998"/>
    <w:rsid w:val="003E6E8C"/>
    <w:rsid w:val="00410AFE"/>
    <w:rsid w:val="00415C40"/>
    <w:rsid w:val="004A023D"/>
    <w:rsid w:val="004A15C4"/>
    <w:rsid w:val="004D7690"/>
    <w:rsid w:val="004F6004"/>
    <w:rsid w:val="00510035"/>
    <w:rsid w:val="005158F4"/>
    <w:rsid w:val="00550511"/>
    <w:rsid w:val="00557F93"/>
    <w:rsid w:val="00572473"/>
    <w:rsid w:val="005B6CED"/>
    <w:rsid w:val="005C3D0F"/>
    <w:rsid w:val="005D0492"/>
    <w:rsid w:val="005D10D9"/>
    <w:rsid w:val="005E129E"/>
    <w:rsid w:val="006866F6"/>
    <w:rsid w:val="00695811"/>
    <w:rsid w:val="006A5FE5"/>
    <w:rsid w:val="006F05EE"/>
    <w:rsid w:val="00723D23"/>
    <w:rsid w:val="00765459"/>
    <w:rsid w:val="0077456A"/>
    <w:rsid w:val="007969AB"/>
    <w:rsid w:val="007B7074"/>
    <w:rsid w:val="00804685"/>
    <w:rsid w:val="0087579A"/>
    <w:rsid w:val="008F4EAF"/>
    <w:rsid w:val="009049F5"/>
    <w:rsid w:val="00915ED0"/>
    <w:rsid w:val="00952C62"/>
    <w:rsid w:val="009874F2"/>
    <w:rsid w:val="009A1C12"/>
    <w:rsid w:val="009C6D83"/>
    <w:rsid w:val="009E6804"/>
    <w:rsid w:val="009F44CD"/>
    <w:rsid w:val="00A117A0"/>
    <w:rsid w:val="00A743B8"/>
    <w:rsid w:val="00A77E81"/>
    <w:rsid w:val="00B0784A"/>
    <w:rsid w:val="00CA4EB6"/>
    <w:rsid w:val="00CB4CC7"/>
    <w:rsid w:val="00CC49DC"/>
    <w:rsid w:val="00CD5F2A"/>
    <w:rsid w:val="00D05CB0"/>
    <w:rsid w:val="00D2221A"/>
    <w:rsid w:val="00D849C1"/>
    <w:rsid w:val="00E017EA"/>
    <w:rsid w:val="00E45184"/>
    <w:rsid w:val="00E45E45"/>
    <w:rsid w:val="00E478D5"/>
    <w:rsid w:val="00E80505"/>
    <w:rsid w:val="00EB3371"/>
    <w:rsid w:val="00EF48D3"/>
    <w:rsid w:val="00F22D7B"/>
    <w:rsid w:val="00F31AB3"/>
    <w:rsid w:val="00F379FB"/>
    <w:rsid w:val="00F541E6"/>
    <w:rsid w:val="00F6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3</cp:revision>
  <cp:lastPrinted>2016-11-30T09:07:00Z</cp:lastPrinted>
  <dcterms:created xsi:type="dcterms:W3CDTF">2017-03-23T10:12:00Z</dcterms:created>
  <dcterms:modified xsi:type="dcterms:W3CDTF">2017-03-23T10:13:00Z</dcterms:modified>
</cp:coreProperties>
</file>