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E010A6" w:rsidRDefault="00C84263" w:rsidP="002E3267">
      <w:pPr>
        <w:jc w:val="both"/>
        <w:rPr>
          <w:rFonts w:ascii="Calibri" w:hAnsi="Calibri" w:cs="Arial"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DW</w:t>
      </w:r>
      <w:r w:rsidR="002E3267" w:rsidRPr="00E010A6">
        <w:rPr>
          <w:rFonts w:ascii="Calibri" w:hAnsi="Calibri" w:cs="Arial"/>
          <w:sz w:val="24"/>
          <w:szCs w:val="24"/>
        </w:rPr>
        <w:t>.050.</w:t>
      </w:r>
      <w:r w:rsidR="00615549">
        <w:rPr>
          <w:rFonts w:ascii="Calibri" w:hAnsi="Calibri" w:cs="Arial"/>
          <w:sz w:val="24"/>
          <w:szCs w:val="24"/>
        </w:rPr>
        <w:t>6</w:t>
      </w:r>
      <w:r w:rsidR="002E3267" w:rsidRPr="00E010A6">
        <w:rPr>
          <w:rFonts w:ascii="Calibri" w:hAnsi="Calibri" w:cs="Arial"/>
          <w:sz w:val="24"/>
          <w:szCs w:val="24"/>
        </w:rPr>
        <w:t>.201</w:t>
      </w:r>
      <w:r w:rsidRPr="00E010A6">
        <w:rPr>
          <w:rFonts w:ascii="Calibri" w:hAnsi="Calibri" w:cs="Arial"/>
          <w:sz w:val="24"/>
          <w:szCs w:val="24"/>
        </w:rPr>
        <w:t>8</w:t>
      </w:r>
      <w:r w:rsidR="002E3267" w:rsidRPr="00E010A6">
        <w:rPr>
          <w:rFonts w:ascii="Calibri" w:hAnsi="Calibri" w:cs="Arial"/>
          <w:sz w:val="24"/>
          <w:szCs w:val="24"/>
        </w:rPr>
        <w:t>.IGR</w:t>
      </w:r>
      <w:r w:rsidR="002E3267" w:rsidRPr="00E010A6">
        <w:rPr>
          <w:rFonts w:ascii="Calibri" w:hAnsi="Calibri" w:cs="Arial"/>
          <w:sz w:val="24"/>
          <w:szCs w:val="24"/>
        </w:rPr>
        <w:tab/>
      </w:r>
      <w:r w:rsidR="002E3267" w:rsidRPr="00E010A6">
        <w:rPr>
          <w:rFonts w:ascii="Calibri" w:hAnsi="Calibri" w:cs="Arial"/>
          <w:sz w:val="24"/>
          <w:szCs w:val="24"/>
        </w:rPr>
        <w:tab/>
      </w:r>
      <w:r w:rsidR="002E3267" w:rsidRPr="00E010A6">
        <w:rPr>
          <w:rFonts w:ascii="Calibri" w:hAnsi="Calibri" w:cs="Arial"/>
          <w:sz w:val="24"/>
          <w:szCs w:val="24"/>
        </w:rPr>
        <w:tab/>
        <w:t xml:space="preserve">                            Warszawa, dnia </w:t>
      </w:r>
      <w:r w:rsidR="008B67C5">
        <w:rPr>
          <w:rFonts w:ascii="Calibri" w:hAnsi="Calibri" w:cs="Arial"/>
          <w:sz w:val="24"/>
          <w:szCs w:val="24"/>
        </w:rPr>
        <w:t>29.05.2018 r</w:t>
      </w:r>
      <w:r w:rsidR="002E3267" w:rsidRPr="00E010A6">
        <w:rPr>
          <w:rFonts w:ascii="Calibri" w:hAnsi="Calibri" w:cs="Arial"/>
          <w:sz w:val="24"/>
          <w:szCs w:val="24"/>
        </w:rPr>
        <w:t>.</w:t>
      </w:r>
    </w:p>
    <w:p w:rsidR="002E3267" w:rsidRPr="00E010A6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615549" w:rsidRDefault="004B4DF7" w:rsidP="00C84263">
      <w:pPr>
        <w:spacing w:after="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</w:t>
      </w:r>
    </w:p>
    <w:p w:rsidR="002E3267" w:rsidRPr="00E010A6" w:rsidRDefault="004B4DF7" w:rsidP="00C84263">
      <w:pPr>
        <w:spacing w:after="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</w:t>
      </w:r>
      <w:r w:rsidR="00615549">
        <w:rPr>
          <w:rFonts w:ascii="Calibri" w:hAnsi="Calibri" w:cs="Arial"/>
          <w:b/>
          <w:sz w:val="24"/>
          <w:szCs w:val="24"/>
        </w:rPr>
        <w:t xml:space="preserve"> </w:t>
      </w:r>
    </w:p>
    <w:p w:rsidR="002E3267" w:rsidRPr="00E010A6" w:rsidRDefault="004B4DF7" w:rsidP="00C84263">
      <w:pPr>
        <w:spacing w:after="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</w:t>
      </w:r>
    </w:p>
    <w:p w:rsidR="002E3267" w:rsidRPr="00E010A6" w:rsidRDefault="004B4DF7" w:rsidP="002E3267">
      <w:pPr>
        <w:ind w:left="4248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E010A6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E010A6" w:rsidRDefault="002E3267" w:rsidP="007C2542">
      <w:pPr>
        <w:spacing w:after="240" w:line="360" w:lineRule="auto"/>
        <w:jc w:val="center"/>
        <w:rPr>
          <w:rFonts w:ascii="Calibri" w:hAnsi="Calibri" w:cs="Arial"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art. 2</w:t>
      </w:r>
      <w:r w:rsidR="00D77871">
        <w:rPr>
          <w:rFonts w:ascii="Calibri" w:hAnsi="Calibri" w:cs="Arial"/>
          <w:sz w:val="24"/>
          <w:szCs w:val="24"/>
        </w:rPr>
        <w:t>2</w:t>
      </w:r>
      <w:r w:rsidRPr="00E010A6">
        <w:rPr>
          <w:rFonts w:ascii="Calibri" w:hAnsi="Calibri" w:cs="Arial"/>
          <w:sz w:val="24"/>
          <w:szCs w:val="24"/>
        </w:rPr>
        <w:t xml:space="preserve"> ustawy o rehabilitacji zawodowej i społecznej oraz zatrudnianiu osób niepełnosprawnych</w:t>
      </w:r>
    </w:p>
    <w:p w:rsidR="002E3267" w:rsidRPr="00E010A6" w:rsidRDefault="002E3267" w:rsidP="00E010A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Na podstawie art.10 i 10a ustawy z dnia 2 lipca 2004 r. o swobodzie działalności gospodarczej (Dz.U. z 201</w:t>
      </w:r>
      <w:r w:rsidR="00C84263" w:rsidRPr="00E010A6">
        <w:rPr>
          <w:rFonts w:ascii="Calibri" w:hAnsi="Calibri" w:cs="Arial"/>
          <w:sz w:val="24"/>
          <w:szCs w:val="24"/>
        </w:rPr>
        <w:t>7</w:t>
      </w:r>
      <w:r w:rsidRPr="00E010A6">
        <w:rPr>
          <w:rFonts w:ascii="Calibri" w:hAnsi="Calibri" w:cs="Arial"/>
          <w:sz w:val="24"/>
          <w:szCs w:val="24"/>
        </w:rPr>
        <w:t xml:space="preserve"> </w:t>
      </w:r>
      <w:r w:rsidR="00C84263" w:rsidRPr="00E010A6">
        <w:rPr>
          <w:rFonts w:ascii="Calibri" w:hAnsi="Calibri" w:cs="Arial"/>
          <w:sz w:val="24"/>
          <w:szCs w:val="24"/>
        </w:rPr>
        <w:t>r.</w:t>
      </w:r>
      <w:r w:rsidRPr="00E010A6">
        <w:rPr>
          <w:rFonts w:ascii="Calibri" w:hAnsi="Calibri" w:cs="Arial"/>
          <w:sz w:val="24"/>
          <w:szCs w:val="24"/>
        </w:rPr>
        <w:t xml:space="preserve"> poz.</w:t>
      </w:r>
      <w:r w:rsidR="00C84263" w:rsidRPr="00E010A6">
        <w:rPr>
          <w:rFonts w:ascii="Calibri" w:hAnsi="Calibri" w:cs="Arial"/>
          <w:sz w:val="24"/>
          <w:szCs w:val="24"/>
        </w:rPr>
        <w:t>2168</w:t>
      </w:r>
      <w:r w:rsidR="009A1C12" w:rsidRPr="00E010A6">
        <w:rPr>
          <w:rFonts w:ascii="Calibri" w:hAnsi="Calibri" w:cs="Arial"/>
          <w:sz w:val="24"/>
          <w:szCs w:val="24"/>
        </w:rPr>
        <w:t xml:space="preserve"> z późn.zm.</w:t>
      </w:r>
      <w:r w:rsidRPr="00E010A6">
        <w:rPr>
          <w:rFonts w:ascii="Calibri" w:hAnsi="Calibri" w:cs="Arial"/>
          <w:sz w:val="24"/>
          <w:szCs w:val="24"/>
        </w:rPr>
        <w:t>)</w:t>
      </w:r>
      <w:r w:rsidR="00D77871">
        <w:rPr>
          <w:rFonts w:ascii="Calibri" w:hAnsi="Calibri" w:cs="Arial"/>
          <w:sz w:val="24"/>
          <w:szCs w:val="24"/>
        </w:rPr>
        <w:t xml:space="preserve"> w związku z art.196 ust.2 ustawy z dnia</w:t>
      </w:r>
      <w:r w:rsidR="00055140">
        <w:rPr>
          <w:rFonts w:ascii="Calibri" w:hAnsi="Calibri" w:cs="Arial"/>
          <w:sz w:val="24"/>
          <w:szCs w:val="24"/>
        </w:rPr>
        <w:t xml:space="preserve"> </w:t>
      </w:r>
      <w:r w:rsidR="00BF6035">
        <w:rPr>
          <w:rFonts w:ascii="Calibri" w:hAnsi="Calibri" w:cs="Arial"/>
          <w:sz w:val="24"/>
          <w:szCs w:val="24"/>
        </w:rPr>
        <w:br/>
      </w:r>
      <w:r w:rsidR="00055140">
        <w:rPr>
          <w:rFonts w:ascii="Calibri" w:hAnsi="Calibri" w:cs="Arial"/>
          <w:sz w:val="24"/>
          <w:szCs w:val="24"/>
        </w:rPr>
        <w:t xml:space="preserve">6 marca 2018 r. </w:t>
      </w:r>
      <w:r w:rsidR="00D77871">
        <w:rPr>
          <w:rFonts w:ascii="Calibri" w:hAnsi="Calibri" w:cs="Arial"/>
          <w:sz w:val="24"/>
          <w:szCs w:val="24"/>
        </w:rPr>
        <w:t>Przepisy wprowadzające ustawę – Prawo przedsiębiorców oraz inne</w:t>
      </w:r>
      <w:r w:rsidR="00055140">
        <w:rPr>
          <w:rFonts w:ascii="Calibri" w:hAnsi="Calibri" w:cs="Arial"/>
          <w:sz w:val="24"/>
          <w:szCs w:val="24"/>
        </w:rPr>
        <w:t xml:space="preserve"> ustawy dotyczące działalności gospodarczej (Dz.U. z 2018 r. poz.650)</w:t>
      </w:r>
      <w:r w:rsidR="00D77871">
        <w:rPr>
          <w:rFonts w:ascii="Calibri" w:hAnsi="Calibri" w:cs="Arial"/>
          <w:sz w:val="24"/>
          <w:szCs w:val="24"/>
        </w:rPr>
        <w:t xml:space="preserve"> </w:t>
      </w:r>
      <w:r w:rsidRPr="00E010A6">
        <w:rPr>
          <w:rFonts w:ascii="Calibri" w:hAnsi="Calibri" w:cs="Arial"/>
          <w:sz w:val="24"/>
          <w:szCs w:val="24"/>
        </w:rPr>
        <w:t xml:space="preserve">Prezes </w:t>
      </w:r>
      <w:r w:rsidR="003B06BB">
        <w:rPr>
          <w:rFonts w:ascii="Calibri" w:hAnsi="Calibri" w:cs="Arial"/>
          <w:sz w:val="24"/>
          <w:szCs w:val="24"/>
        </w:rPr>
        <w:t xml:space="preserve">Zarządu </w:t>
      </w:r>
      <w:r w:rsidRPr="00E010A6">
        <w:rPr>
          <w:rFonts w:ascii="Calibri" w:hAnsi="Calibri" w:cs="Arial"/>
          <w:sz w:val="24"/>
          <w:szCs w:val="24"/>
        </w:rPr>
        <w:t xml:space="preserve">Państwowego Funduszu Rehabilitacji Osób Niepełnosprawnych (zwanego dalej PFRON) stwierdza, </w:t>
      </w:r>
      <w:r w:rsidR="003B06BB">
        <w:rPr>
          <w:rFonts w:ascii="Calibri" w:hAnsi="Calibri" w:cs="Arial"/>
          <w:sz w:val="24"/>
          <w:szCs w:val="24"/>
        </w:rPr>
        <w:br/>
      </w:r>
      <w:bookmarkStart w:id="0" w:name="_GoBack"/>
      <w:bookmarkEnd w:id="0"/>
      <w:r w:rsidRPr="00E010A6">
        <w:rPr>
          <w:rFonts w:ascii="Calibri" w:hAnsi="Calibri" w:cs="Arial"/>
          <w:sz w:val="24"/>
          <w:szCs w:val="24"/>
        </w:rPr>
        <w:t xml:space="preserve">że stanowisko </w:t>
      </w:r>
      <w:r w:rsidR="004B4DF7">
        <w:rPr>
          <w:rFonts w:ascii="Calibri" w:hAnsi="Calibri" w:cs="Arial"/>
          <w:sz w:val="24"/>
          <w:szCs w:val="24"/>
        </w:rPr>
        <w:t>XXXXXXXXXXXXXXXXXXXXX</w:t>
      </w:r>
      <w:r w:rsidR="00D77871">
        <w:rPr>
          <w:rFonts w:ascii="Calibri" w:hAnsi="Calibri" w:cs="Arial"/>
          <w:sz w:val="24"/>
          <w:szCs w:val="24"/>
        </w:rPr>
        <w:t xml:space="preserve"> </w:t>
      </w:r>
      <w:r w:rsidRPr="00E010A6">
        <w:rPr>
          <w:rFonts w:ascii="Calibri" w:hAnsi="Calibri" w:cs="Arial"/>
          <w:sz w:val="24"/>
          <w:szCs w:val="24"/>
        </w:rPr>
        <w:t xml:space="preserve">z siedzibą w </w:t>
      </w:r>
      <w:r w:rsidR="004B4DF7">
        <w:rPr>
          <w:rFonts w:ascii="Calibri" w:hAnsi="Calibri" w:cs="Arial"/>
          <w:sz w:val="24"/>
          <w:szCs w:val="24"/>
        </w:rPr>
        <w:t>XXXXXXXXXX</w:t>
      </w:r>
      <w:r w:rsidR="00D77871">
        <w:rPr>
          <w:rFonts w:ascii="Calibri" w:hAnsi="Calibri" w:cs="Arial"/>
          <w:sz w:val="24"/>
          <w:szCs w:val="24"/>
        </w:rPr>
        <w:t xml:space="preserve"> </w:t>
      </w:r>
      <w:r w:rsidRPr="00E010A6">
        <w:rPr>
          <w:rFonts w:ascii="Calibri" w:hAnsi="Calibri" w:cs="Arial"/>
          <w:sz w:val="24"/>
          <w:szCs w:val="24"/>
        </w:rPr>
        <w:t>(zwane</w:t>
      </w:r>
      <w:r w:rsidR="004C1704">
        <w:rPr>
          <w:rFonts w:ascii="Calibri" w:hAnsi="Calibri" w:cs="Arial"/>
          <w:sz w:val="24"/>
          <w:szCs w:val="24"/>
        </w:rPr>
        <w:t>j</w:t>
      </w:r>
      <w:r w:rsidRPr="00E010A6">
        <w:rPr>
          <w:rFonts w:ascii="Calibri" w:hAnsi="Calibri" w:cs="Arial"/>
          <w:sz w:val="24"/>
          <w:szCs w:val="24"/>
        </w:rPr>
        <w:t xml:space="preserve"> dalej </w:t>
      </w:r>
      <w:r w:rsidR="006841CD">
        <w:rPr>
          <w:rFonts w:ascii="Calibri" w:hAnsi="Calibri" w:cs="Arial"/>
          <w:sz w:val="24"/>
          <w:szCs w:val="24"/>
        </w:rPr>
        <w:t>W</w:t>
      </w:r>
      <w:r w:rsidRPr="00E010A6">
        <w:rPr>
          <w:rFonts w:ascii="Calibri" w:hAnsi="Calibri" w:cs="Arial"/>
          <w:sz w:val="24"/>
          <w:szCs w:val="24"/>
        </w:rPr>
        <w:t>nioskodawcą</w:t>
      </w:r>
      <w:r w:rsidR="00C84263" w:rsidRPr="00E010A6">
        <w:rPr>
          <w:rFonts w:ascii="Calibri" w:hAnsi="Calibri" w:cs="Arial"/>
          <w:sz w:val="24"/>
          <w:szCs w:val="24"/>
        </w:rPr>
        <w:t xml:space="preserve"> lub </w:t>
      </w:r>
      <w:r w:rsidR="00D77871">
        <w:rPr>
          <w:rFonts w:ascii="Calibri" w:hAnsi="Calibri" w:cs="Arial"/>
          <w:sz w:val="24"/>
          <w:szCs w:val="24"/>
        </w:rPr>
        <w:t>Spółką</w:t>
      </w:r>
      <w:r w:rsidRPr="00E010A6">
        <w:rPr>
          <w:rFonts w:ascii="Calibri" w:hAnsi="Calibri" w:cs="Arial"/>
          <w:sz w:val="24"/>
          <w:szCs w:val="24"/>
        </w:rPr>
        <w:t>) zaprezentowane we wniosku z dnia 1</w:t>
      </w:r>
      <w:r w:rsidR="00D77871">
        <w:rPr>
          <w:rFonts w:ascii="Calibri" w:hAnsi="Calibri" w:cs="Arial"/>
          <w:sz w:val="24"/>
          <w:szCs w:val="24"/>
        </w:rPr>
        <w:t xml:space="preserve">4 kwietnia </w:t>
      </w:r>
      <w:r w:rsidRPr="00E010A6">
        <w:rPr>
          <w:rFonts w:ascii="Calibri" w:hAnsi="Calibri" w:cs="Arial"/>
          <w:sz w:val="24"/>
          <w:szCs w:val="24"/>
        </w:rPr>
        <w:t>201</w:t>
      </w:r>
      <w:r w:rsidR="00D77871">
        <w:rPr>
          <w:rFonts w:ascii="Calibri" w:hAnsi="Calibri" w:cs="Arial"/>
          <w:sz w:val="24"/>
          <w:szCs w:val="24"/>
        </w:rPr>
        <w:t>8 r.</w:t>
      </w:r>
      <w:r w:rsidR="00A271E5">
        <w:rPr>
          <w:rFonts w:ascii="Calibri" w:hAnsi="Calibri" w:cs="Arial"/>
          <w:sz w:val="24"/>
          <w:szCs w:val="24"/>
        </w:rPr>
        <w:t xml:space="preserve"> </w:t>
      </w:r>
      <w:r w:rsidR="00D77871" w:rsidRPr="00D77871">
        <w:rPr>
          <w:rFonts w:ascii="Calibri" w:eastAsia="Times New Roman" w:hAnsi="Calibri" w:cs="Arial"/>
          <w:sz w:val="24"/>
          <w:szCs w:val="24"/>
          <w:lang w:eastAsia="pl-PL"/>
        </w:rPr>
        <w:t>uzupełnionym mail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>ami</w:t>
      </w:r>
      <w:r w:rsidR="00D77871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z dnia </w:t>
      </w:r>
      <w:r w:rsidR="00D77871">
        <w:rPr>
          <w:rFonts w:ascii="Calibri" w:eastAsia="Times New Roman" w:hAnsi="Calibri" w:cs="Arial"/>
          <w:sz w:val="24"/>
          <w:szCs w:val="24"/>
          <w:lang w:eastAsia="pl-PL"/>
        </w:rPr>
        <w:t>9 maja 2018 r.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 xml:space="preserve"> i 15 maja 2018 r.</w:t>
      </w:r>
      <w:r w:rsidR="006841CD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D77871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o udzielenie pisemnej interpretacji co do zakresu i sposobu zastosowania przepisów art.22 </w:t>
      </w:r>
      <w:r w:rsidRPr="00E010A6">
        <w:rPr>
          <w:rFonts w:ascii="Calibri" w:hAnsi="Calibri" w:cs="Arial"/>
          <w:sz w:val="24"/>
          <w:szCs w:val="24"/>
        </w:rPr>
        <w:t xml:space="preserve">ustawy z dnia </w:t>
      </w:r>
      <w:r w:rsidR="00301799">
        <w:rPr>
          <w:rFonts w:ascii="Calibri" w:hAnsi="Calibri" w:cs="Arial"/>
          <w:sz w:val="24"/>
          <w:szCs w:val="24"/>
        </w:rPr>
        <w:br/>
      </w:r>
      <w:r w:rsidRPr="00E010A6">
        <w:rPr>
          <w:rFonts w:ascii="Calibri" w:hAnsi="Calibri" w:cs="Arial"/>
          <w:sz w:val="24"/>
          <w:szCs w:val="24"/>
        </w:rPr>
        <w:t xml:space="preserve">27 sierpnia 1997 r. o </w:t>
      </w:r>
      <w:r w:rsidR="00D77871">
        <w:rPr>
          <w:rFonts w:ascii="Calibri" w:hAnsi="Calibri" w:cs="Arial"/>
          <w:sz w:val="24"/>
          <w:szCs w:val="24"/>
        </w:rPr>
        <w:t>r</w:t>
      </w:r>
      <w:r w:rsidRPr="00E010A6">
        <w:rPr>
          <w:rFonts w:ascii="Calibri" w:hAnsi="Calibri" w:cs="Arial"/>
          <w:sz w:val="24"/>
          <w:szCs w:val="24"/>
        </w:rPr>
        <w:t>ehabilitacji zawodowej i społecznej oraz zatrudnianiu osób niepełnosprawnych (Dz.U. z 201</w:t>
      </w:r>
      <w:r w:rsidR="00C84263" w:rsidRPr="00E010A6">
        <w:rPr>
          <w:rFonts w:ascii="Calibri" w:hAnsi="Calibri" w:cs="Arial"/>
          <w:sz w:val="24"/>
          <w:szCs w:val="24"/>
        </w:rPr>
        <w:t>8</w:t>
      </w:r>
      <w:r w:rsidRPr="00E010A6">
        <w:rPr>
          <w:rFonts w:ascii="Calibri" w:hAnsi="Calibri" w:cs="Arial"/>
          <w:sz w:val="24"/>
          <w:szCs w:val="24"/>
        </w:rPr>
        <w:t xml:space="preserve"> r. poz.</w:t>
      </w:r>
      <w:r w:rsidR="00C84263" w:rsidRPr="00E010A6">
        <w:rPr>
          <w:rFonts w:ascii="Calibri" w:hAnsi="Calibri" w:cs="Arial"/>
          <w:sz w:val="24"/>
          <w:szCs w:val="24"/>
        </w:rPr>
        <w:t>511</w:t>
      </w:r>
      <w:r w:rsidR="00E50197">
        <w:rPr>
          <w:rFonts w:ascii="Calibri" w:hAnsi="Calibri" w:cs="Arial"/>
          <w:sz w:val="24"/>
          <w:szCs w:val="24"/>
        </w:rPr>
        <w:t xml:space="preserve"> z późn.zm.</w:t>
      </w:r>
      <w:r w:rsidRPr="00E010A6">
        <w:rPr>
          <w:rFonts w:ascii="Calibri" w:hAnsi="Calibri" w:cs="Arial"/>
          <w:sz w:val="24"/>
          <w:szCs w:val="24"/>
        </w:rPr>
        <w:t xml:space="preserve">) zwaną dalej ustawą o rehabilitacji – </w:t>
      </w:r>
      <w:r w:rsidRPr="00E010A6">
        <w:rPr>
          <w:rFonts w:ascii="Calibri" w:hAnsi="Calibri" w:cs="Arial"/>
          <w:b/>
          <w:sz w:val="24"/>
          <w:szCs w:val="24"/>
        </w:rPr>
        <w:t>jest prawidłowe</w:t>
      </w:r>
      <w:r w:rsidRPr="00E010A6">
        <w:rPr>
          <w:rFonts w:ascii="Calibri" w:hAnsi="Calibri" w:cs="Arial"/>
          <w:sz w:val="24"/>
          <w:szCs w:val="24"/>
        </w:rPr>
        <w:t>.</w:t>
      </w:r>
    </w:p>
    <w:p w:rsidR="002E3267" w:rsidRPr="00E010A6" w:rsidRDefault="002E3267" w:rsidP="00C84263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>Uzasadnienie</w:t>
      </w:r>
      <w:r w:rsidR="004D7690" w:rsidRPr="00E010A6">
        <w:rPr>
          <w:rFonts w:ascii="Calibri" w:hAnsi="Calibri" w:cs="Arial"/>
          <w:b/>
          <w:sz w:val="24"/>
          <w:szCs w:val="24"/>
        </w:rPr>
        <w:t>:</w:t>
      </w:r>
    </w:p>
    <w:p w:rsidR="000078B5" w:rsidRPr="00D77871" w:rsidRDefault="000078B5" w:rsidP="000078B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Pismem z dnia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14 kwietnia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>
        <w:rPr>
          <w:rFonts w:ascii="Calibri" w:eastAsia="Times New Roman" w:hAnsi="Calibri" w:cs="Arial"/>
          <w:sz w:val="24"/>
          <w:szCs w:val="24"/>
          <w:lang w:eastAsia="pl-PL"/>
        </w:rPr>
        <w:t>8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 w:rsidR="00A271E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uzupełnionym mail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>ami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z dnia </w:t>
      </w:r>
      <w:r>
        <w:rPr>
          <w:rFonts w:ascii="Calibri" w:eastAsia="Times New Roman" w:hAnsi="Calibri" w:cs="Arial"/>
          <w:sz w:val="24"/>
          <w:szCs w:val="24"/>
          <w:lang w:eastAsia="pl-PL"/>
        </w:rPr>
        <w:t>9 maja 2018 r.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 xml:space="preserve"> i 15 maja 2018 r.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Wnioskodawca skierował do Prezesa Zarządu PFRON wniosek o udzielenie pisemnej interpretacji co do zakresu i sposobu zastosowania przepisów art.22 ustawy o rehabilitacji.</w:t>
      </w:r>
    </w:p>
    <w:p w:rsidR="000078B5" w:rsidRDefault="000078B5" w:rsidP="000078B5">
      <w:pPr>
        <w:spacing w:after="240" w:line="36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Wniosek swój Wnioskodawca skierował na podstawie art.10 i 10a ustawy o swobodzie działalności gospodarczej. Zgodnie z art.10 ust.1 ustawy o swobodzie działalności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gospodarczej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przedsiębiorca może złożyć do właściwego organu administracji publicznej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br/>
        <w:t xml:space="preserve">lub państwowej jednostki organizacyjnej wniosek o wydanie pisemnej interpretacji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br/>
        <w:t xml:space="preserve">co do zakresu i sposobu zastosowania przepisów, z których wynika obowiązek świadczenia przez przedsiębiorcę daniny publicznej oraz składek na ubezpieczenia społeczne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br/>
        <w:t>lub zdrowotne, w jego indywidualnej sprawie.</w:t>
      </w:r>
    </w:p>
    <w:p w:rsidR="006841CD" w:rsidRPr="006841CD" w:rsidRDefault="006841CD" w:rsidP="000078B5">
      <w:pPr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Ustawa o swobodzie działalności utraciła moc z dniem 30 kwietnia 2018 r. Jednakże w myśl art.196 ust.2 ustawy </w:t>
      </w:r>
      <w:r>
        <w:rPr>
          <w:rFonts w:ascii="Calibri" w:hAnsi="Calibri" w:cs="Arial"/>
          <w:sz w:val="24"/>
          <w:szCs w:val="24"/>
        </w:rPr>
        <w:t xml:space="preserve">Przepisy wprowadzające ustawę – Prawo przedsiębiorców oraz inne ustawy dotyczące działalności gospodarczej – do wniosków o wydanie interpretacji, </w:t>
      </w:r>
      <w:r>
        <w:rPr>
          <w:rFonts w:ascii="Calibri" w:hAnsi="Calibri" w:cs="Arial"/>
          <w:sz w:val="24"/>
          <w:szCs w:val="24"/>
        </w:rPr>
        <w:br/>
        <w:t xml:space="preserve">o których mowa w art.10 ust.1 uchylonej ustawy, w stosunku do których nie wydano interpretacji przed dniem wejścia w życie ustawy Przepisy wprowadzające (…), stosuje się przepisy dotychczasowe. </w:t>
      </w:r>
      <w:r w:rsidR="007C2542">
        <w:rPr>
          <w:rFonts w:ascii="Calibri" w:hAnsi="Calibri" w:cs="Arial"/>
          <w:sz w:val="24"/>
          <w:szCs w:val="24"/>
        </w:rPr>
        <w:t>Z tego względu wniosek Spółki zosta</w:t>
      </w:r>
      <w:r w:rsidR="009148D5">
        <w:rPr>
          <w:rFonts w:ascii="Calibri" w:hAnsi="Calibri" w:cs="Arial"/>
          <w:sz w:val="24"/>
          <w:szCs w:val="24"/>
        </w:rPr>
        <w:t xml:space="preserve">ł rozpatrzony w oparciu </w:t>
      </w:r>
      <w:r w:rsidR="009148D5">
        <w:rPr>
          <w:rFonts w:ascii="Calibri" w:hAnsi="Calibri" w:cs="Arial"/>
          <w:sz w:val="24"/>
          <w:szCs w:val="24"/>
        </w:rPr>
        <w:br/>
        <w:t>o przepisy ustawy o swobodzie działalności gospodarczej.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2E3267" w:rsidRDefault="002E3267" w:rsidP="00C84263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>W przedmiotowym wniosku Wnioskodawca przedstawił następując</w:t>
      </w:r>
      <w:r w:rsidR="00DE0369">
        <w:rPr>
          <w:rFonts w:ascii="Calibri" w:hAnsi="Calibri" w:cs="Arial"/>
          <w:b/>
          <w:sz w:val="24"/>
          <w:szCs w:val="24"/>
        </w:rPr>
        <w:t>e</w:t>
      </w:r>
      <w:r w:rsidRPr="00E010A6">
        <w:rPr>
          <w:rFonts w:ascii="Calibri" w:hAnsi="Calibri" w:cs="Arial"/>
          <w:b/>
          <w:sz w:val="24"/>
          <w:szCs w:val="24"/>
        </w:rPr>
        <w:t xml:space="preserve"> </w:t>
      </w:r>
      <w:r w:rsidR="00812C1F">
        <w:rPr>
          <w:rFonts w:ascii="Calibri" w:hAnsi="Calibri" w:cs="Arial"/>
          <w:b/>
          <w:sz w:val="24"/>
          <w:szCs w:val="24"/>
        </w:rPr>
        <w:t>zdarzenie przyszłe</w:t>
      </w:r>
      <w:r w:rsidRPr="00E010A6">
        <w:rPr>
          <w:rFonts w:ascii="Calibri" w:hAnsi="Calibri" w:cs="Arial"/>
          <w:b/>
          <w:sz w:val="24"/>
          <w:szCs w:val="24"/>
        </w:rPr>
        <w:t>:</w:t>
      </w:r>
    </w:p>
    <w:p w:rsidR="00944C5A" w:rsidRDefault="00812C1F" w:rsidP="007D3C3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Kontrahent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Spółki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>spełnia wymogi z art.22 ust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>1 ustawy o rehabilitacji, przez co jest podmiotem uprawnionym do wystawiania informacji o kwocie obniżenia wpłat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PFRON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Jednocześnie kontrahent ten zamierza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zawrzeć umowę faktoringu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 bankiem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>. 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ym samym faktor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bank)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stanie się wierzycielem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Wnioskodawcy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zakresie zapłaty wynagrodzenia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za świadczone przez kontrahenta usługi.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Spółka będzie zobowiązana wpłacać należności wynikające z faktur VAT – bezpośrednio na rachunek faktora wskazany na fakturach wystawionych przez kontrahenta, a nie na rachunek bankowy wystawcy. Wnioskodawca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tej pory, mając umowę zawartą bezpośrednio z kontrahentem i dokonując płatności bezpośrednio na rachunek bankowy kontrahenta, dokonywał obniżenia wpłat na PFRON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na podstawie art.22 ustawy o rehabilitacji</w:t>
      </w:r>
      <w:r w:rsidR="00944C5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7D3C37" w:rsidRPr="00D77871" w:rsidRDefault="007D3C37" w:rsidP="007D3C3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>Zadaniem Wnioskodawcy, ustawa o rehabilitacji nie wskazuje, że płatność ma nastąpić bezpośrednio na rachunek bankowy sprzeda</w:t>
      </w:r>
      <w:r w:rsidR="006841CD">
        <w:rPr>
          <w:rFonts w:ascii="Calibri" w:eastAsia="Times New Roman" w:hAnsi="Calibri" w:cs="Times New Roman"/>
          <w:sz w:val="24"/>
          <w:szCs w:val="24"/>
          <w:lang w:eastAsia="pl-PL"/>
        </w:rPr>
        <w:t>jącego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istotnym jest tylko by zakup usługi był udokumentowany fakturą, a uregulowanie należności za zakup usługi następował</w:t>
      </w:r>
      <w:r w:rsidR="00944C5A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terminie określonym na fakturze, z tym że w przypadku płatności dokonywanych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 pośrednictwem banku za datę uregulowania należności uważa się datę obciążenia rachunku bankowego nabywcy na podstawie polecenia przelewu.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>Ponadto, z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literalnego brzmienia przepisów ustawy o rehabilitacji nie wynika, że odbiorca usługi ma dokonywać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płatności bezpośrednio na rachunek sprzedawcy usługi, a jedynie, że płatność ma nastąpić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terminie określonym na fakturze. </w:t>
      </w:r>
    </w:p>
    <w:p w:rsidR="00944C5A" w:rsidRPr="00D77871" w:rsidRDefault="00944C5A" w:rsidP="006841CD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ocenie Wnioskodawcy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54E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sytuacji, gdy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umowy faktoringu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zawartej pomiędzy kontrahentem a faktorem, będzie on dokonywać zapłaty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wynagrodzenia za świadczone przez </w:t>
      </w:r>
      <w:r w:rsidR="00754E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kontrahenta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usługi na konto faktora, a nie bezpośrednio na konto </w:t>
      </w:r>
      <w:r w:rsidR="00754E25">
        <w:rPr>
          <w:rFonts w:ascii="Calibri" w:eastAsia="Times New Roman" w:hAnsi="Calibri" w:cs="Times New Roman"/>
          <w:sz w:val="24"/>
          <w:szCs w:val="24"/>
          <w:lang w:eastAsia="pl-PL"/>
        </w:rPr>
        <w:t>kontrahenta – dopuszczalne jest skorzystanie przez niego z obniżenia wpłat na PFRON.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Warunkiem </w:t>
      </w:r>
      <w:r w:rsidR="00754E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dokonania takiego obniżenia będzie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jednak dokonanie przez </w:t>
      </w:r>
      <w:r w:rsidR="00754E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Wnioskodawcę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>pełnej wpłaty należności wynikającej z faktury VAT, w terminie określonym w tej fakturze</w:t>
      </w:r>
      <w:r w:rsidR="00EF082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</w:p>
    <w:p w:rsidR="002E3267" w:rsidRDefault="002E3267" w:rsidP="00FC2B93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7D3C37" w:rsidRPr="00D77871" w:rsidRDefault="007D3C37" w:rsidP="007D3C37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czy w świetle ustawy o rehabilitacji, w tym w szczególności przepisu art.22 ustawy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o rehabilitacji </w:t>
      </w:r>
      <w:r w:rsidR="00A974B4">
        <w:rPr>
          <w:rFonts w:ascii="Calibri" w:eastAsia="Times New Roman" w:hAnsi="Calibri" w:cs="Arial"/>
          <w:sz w:val="24"/>
          <w:szCs w:val="24"/>
          <w:lang w:eastAsia="pl-PL"/>
        </w:rPr>
        <w:t xml:space="preserve">nadal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dopuszczalne </w:t>
      </w:r>
      <w:r w:rsidR="00A974B4">
        <w:rPr>
          <w:rFonts w:ascii="Calibri" w:eastAsia="Times New Roman" w:hAnsi="Calibri" w:cs="Arial"/>
          <w:sz w:val="24"/>
          <w:szCs w:val="24"/>
          <w:lang w:eastAsia="pl-PL"/>
        </w:rPr>
        <w:t xml:space="preserve">będzie </w:t>
      </w:r>
      <w:r w:rsidR="006841CD">
        <w:rPr>
          <w:rFonts w:ascii="Calibri" w:eastAsia="Times New Roman" w:hAnsi="Calibri" w:cs="Arial"/>
          <w:sz w:val="24"/>
          <w:szCs w:val="24"/>
          <w:lang w:eastAsia="pl-PL"/>
        </w:rPr>
        <w:t xml:space="preserve">korzystanie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przez Wnioskodawcę </w:t>
      </w:r>
      <w:r w:rsidR="006841CD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="00A974B4">
        <w:rPr>
          <w:rFonts w:ascii="Calibri" w:eastAsia="Times New Roman" w:hAnsi="Calibri" w:cs="Arial"/>
          <w:sz w:val="24"/>
          <w:szCs w:val="24"/>
          <w:lang w:eastAsia="pl-PL"/>
        </w:rPr>
        <w:t xml:space="preserve">obniżenia wpłat na PFRON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pomimo, że płatności za usługi realizowane przez </w:t>
      </w:r>
      <w:r w:rsidR="00A974B4">
        <w:rPr>
          <w:rFonts w:ascii="Calibri" w:eastAsia="Times New Roman" w:hAnsi="Calibri" w:cs="Arial"/>
          <w:sz w:val="24"/>
          <w:szCs w:val="24"/>
          <w:lang w:eastAsia="pl-PL"/>
        </w:rPr>
        <w:t xml:space="preserve">kontrahenta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dokonywane </w:t>
      </w:r>
      <w:r w:rsidR="00A974B4">
        <w:rPr>
          <w:rFonts w:ascii="Calibri" w:eastAsia="Times New Roman" w:hAnsi="Calibri" w:cs="Arial"/>
          <w:sz w:val="24"/>
          <w:szCs w:val="24"/>
          <w:lang w:eastAsia="pl-PL"/>
        </w:rPr>
        <w:t xml:space="preserve">będą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na konto faktora?</w:t>
      </w:r>
    </w:p>
    <w:p w:rsidR="002E3267" w:rsidRPr="00E010A6" w:rsidRDefault="002E3267" w:rsidP="00FC2B93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 xml:space="preserve">Na tle przedstawionego </w:t>
      </w:r>
      <w:r w:rsidR="00A271E5">
        <w:rPr>
          <w:rFonts w:ascii="Calibri" w:hAnsi="Calibri" w:cs="Arial"/>
          <w:b/>
          <w:sz w:val="24"/>
          <w:szCs w:val="24"/>
        </w:rPr>
        <w:t>zdarzenia przyszłego</w:t>
      </w:r>
      <w:r w:rsidRPr="00E010A6">
        <w:rPr>
          <w:rFonts w:ascii="Calibri" w:hAnsi="Calibri" w:cs="Arial"/>
          <w:b/>
          <w:sz w:val="24"/>
          <w:szCs w:val="24"/>
        </w:rPr>
        <w:t>, stwierdzam co następuje:</w:t>
      </w:r>
    </w:p>
    <w:p w:rsidR="002E3267" w:rsidRDefault="002E3267" w:rsidP="009148D5">
      <w:pPr>
        <w:spacing w:after="12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 xml:space="preserve">Zgodnie z art.10 ust.1 ustawy o swobodzie działalności gospodarczej </w:t>
      </w:r>
      <w:r w:rsidRPr="00E010A6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7D3C37" w:rsidRPr="00D77871" w:rsidRDefault="006841CD" w:rsidP="007D3C3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myśl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art.22 ustawy o rehabilitacji, wpłaty na Fundusz, o których mowa w art.21, ulegają obniżeniu z tytułu zakupu produkcji lub usługi, z wyłączeniem handlu, odpowiednio wytworzonej lub świadczonej przez pracodawcę posiadającego określoną strukturę zatrudnienia ogółem i osób niepełnosprawnych – zwanego sprzedającym.     </w:t>
      </w:r>
    </w:p>
    <w:p w:rsidR="007D3C37" w:rsidRPr="00D77871" w:rsidRDefault="007D3C37" w:rsidP="007D3C3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Ustawa o rehabilitacji, w art.22 ust.2, wprost wskazuje jakie warunki muszą być spełnione łącznie, aby doszło do obniżenia wpłaty na PFRON. </w:t>
      </w:r>
    </w:p>
    <w:p w:rsidR="00A271E5" w:rsidRDefault="00EA0A1E" w:rsidP="00A271E5">
      <w:pPr>
        <w:spacing w:after="100" w:afterAutospacing="1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Jednym z tych warunków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jest uregulowanie należności za zakup produkcji lub usługi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terminie określonym na fakturze, z tym że w przypadku płatności dokonywanych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 pośrednictwem banku za datę uregulowania należności uważa się datę obciążenia rachunku bankowego nabywcy na podstawie polecenia przelewu. Nie oznacza to jednak,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że jest to jedyna dopuszczalna forma płatności umożliwiająca nabycie prawa do 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>obniżenia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Skoro w tych przepisach użyto sformułowania „w przypadku”, to oznacza, że regulacja ma charakter przykładowy, dotyczący tylko jednego z wielu możliwych sposobów dokonania płatności. Pracodawca może dokonać płatności np. gotówką, czekiem, wekslem czy w drodze dwu- lub wielostronnej kompensaty albo w inny dowolny sposób. Należy jednak pamiętać, że zapłata (bez względu na jej formę) musi być dokonana w całości </w:t>
      </w:r>
      <w:r w:rsidR="009A4C8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terminie określonym </w:t>
      </w:r>
      <w:r w:rsidR="00EF082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fakturze. Istotne przy doborze formy płatności jest więc to, by możliwe było ustalenie,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br/>
        <w:t>że wierzytelność sprzeda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>jącego</w:t>
      </w:r>
      <w:r w:rsidR="00A271E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BF603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spełniającego warunki określone w art.22 ust.1 ustawy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br/>
        <w:t>o rehabilitacji</w:t>
      </w:r>
      <w:r w:rsidR="00A271E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została </w:t>
      </w:r>
      <w:r w:rsidR="00A271E5">
        <w:rPr>
          <w:rFonts w:ascii="Calibri" w:eastAsia="Times New Roman" w:hAnsi="Calibri" w:cs="Times New Roman"/>
          <w:sz w:val="24"/>
          <w:szCs w:val="24"/>
          <w:lang w:eastAsia="pl-PL"/>
        </w:rPr>
        <w:t>spłacona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pełnej wysokości i w terminie w</w:t>
      </w:r>
      <w:r w:rsidR="00EF082B">
        <w:rPr>
          <w:rFonts w:ascii="Calibri" w:eastAsia="Times New Roman" w:hAnsi="Calibri" w:cs="Times New Roman"/>
          <w:sz w:val="24"/>
          <w:szCs w:val="24"/>
          <w:lang w:eastAsia="pl-PL"/>
        </w:rPr>
        <w:t>skazanym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fakturze.  </w:t>
      </w:r>
      <w:r w:rsidR="009B1410" w:rsidRPr="00EF082B"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tosownie do </w:t>
      </w:r>
      <w:r w:rsidR="007D3C37" w:rsidRPr="00EF082B">
        <w:rPr>
          <w:rFonts w:ascii="Calibri" w:eastAsia="Times New Roman" w:hAnsi="Calibri" w:cs="Times New Roman"/>
          <w:color w:val="1B1B1B"/>
          <w:sz w:val="24"/>
          <w:szCs w:val="24"/>
          <w:lang w:eastAsia="pl-PL"/>
        </w:rPr>
        <w:t>art. 509 § 1</w:t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ustawy z dnia 23 kwietnia 1964 r. Kodeks cywilny (Dz.U. z 2017 r. poz.459 z późn.zm.), wierzyciel może bez zgody dłużnika przenieść wierzytelność na osobę trzecią (przelew), chyba że sprzeciwiałoby się to ustawie, zastrzeżeniu umownemu albo właściwości zobowiązania. W nauce prawa oraz orzecznictwie nie ma wątpliwości co do tego, że przedmiotem przelewu mogą być zarówno wierzytelności istniejące, jak i przyszłe. Co do tych ostatnich podkreśla się ich niejednorodny charakter, wskazując, że należą do nich wierzytelności z czynności prawnych dokonanych pod warunkiem zawieszającym lub </w:t>
      </w:r>
      <w:r w:rsid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zastrzeżeniem terminu, wierzytelności, u których podłoża leży częściowo tylko zrealizowany stan faktyczny uzasadniający jej powstanie oraz wierzytelności, których powstanie jest </w:t>
      </w:r>
      <w:r w:rsid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całości kwestią przyszłości (nadzieja na powstanie wierzytelności). Podkreśla się także, </w:t>
      </w:r>
      <w:r w:rsid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że wierzytelność wskazana w umowie przelewu wierzytelności przyszłej, zostaje przeniesiona na cesjonariusza dopiero z chwilą jej powstania, zatem skutek rozporządzający nie następuje w chwili zawarcia umowy cesji (wyrok Sądu Najwyższego z dnia 8 sierpnia 2003 r., </w:t>
      </w:r>
      <w:r w:rsidR="007D3C37" w:rsidRPr="00EF082B">
        <w:rPr>
          <w:rFonts w:ascii="Calibri" w:eastAsia="Times New Roman" w:hAnsi="Calibri" w:cs="Times New Roman"/>
          <w:color w:val="1B1B1B"/>
          <w:sz w:val="24"/>
          <w:szCs w:val="24"/>
          <w:lang w:eastAsia="pl-PL"/>
        </w:rPr>
        <w:t>V CK 169/02</w:t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7D3C37" w:rsidRPr="00EF08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 dnia 9 sierpnia 2005 r., </w:t>
      </w:r>
      <w:r w:rsidR="007D3C37" w:rsidRPr="00EF082B">
        <w:rPr>
          <w:rFonts w:ascii="Calibri" w:eastAsia="Times New Roman" w:hAnsi="Calibri" w:cs="Times New Roman"/>
          <w:color w:val="1B1B1B"/>
          <w:sz w:val="24"/>
          <w:szCs w:val="24"/>
          <w:lang w:eastAsia="pl-PL"/>
        </w:rPr>
        <w:t>IV CK 157/05</w:t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z dnia 26 września 2002 r., </w:t>
      </w:r>
      <w:r w:rsidR="007D3C37" w:rsidRPr="00EF082B">
        <w:rPr>
          <w:rFonts w:ascii="Calibri" w:eastAsia="Times New Roman" w:hAnsi="Calibri" w:cs="Times New Roman"/>
          <w:color w:val="1B1B1B"/>
          <w:sz w:val="24"/>
          <w:szCs w:val="24"/>
          <w:lang w:eastAsia="pl-PL"/>
        </w:rPr>
        <w:t>III CKN 346/01</w:t>
      </w:r>
      <w:r w:rsidR="007D3C37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).</w:t>
      </w:r>
    </w:p>
    <w:p w:rsidR="009148D5" w:rsidRDefault="007D3C37" w:rsidP="009148D5">
      <w:pPr>
        <w:spacing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Należy wskazać, że celem i skutkiem cesji jest przejście wierzytelności na nabywcę i utrata jej przez cedenta – zbywcę. Przelew </w:t>
      </w:r>
      <w:r w:rsidR="00A271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wierzytelności </w:t>
      </w:r>
      <w:r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powoduje więc, </w:t>
      </w:r>
      <w:r w:rsidR="00BF6035"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</w:t>
      </w:r>
      <w:r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cedent przestaje być wierzycielem, a staje się nim cesjonariusz. Dotychczasowy wierzyciel zostaje wyłączony </w:t>
      </w:r>
      <w:r w:rsidR="009148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 stosunku zobowiązanego, jaki go wiązał z dłużnikiem. Cesjonariusz nabywa wierzytelność w takim zakresie i stanie, w jakim znajdowała się ona w chwili dokonania przelewu. Zmienia się tylko osoba wierzyciela, czyli osoby uprawnionej do żądania spełnienia świadczenia. Innymi słowy, stosunek zobowiązaniowy nie ulega zmianie, natomiast zmienia się osoba uczestnicząca w nim po stronie wierzyciela (wyrok Sądu Najwyższego z dnia 5 września </w:t>
      </w:r>
      <w:r w:rsidRPr="00EF08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2001r., I CKN 379/00). W literaturze przedmiotu podkreśla się, że przelew wierzytelności nie powoduje zmiany zobowiązania i nie może pogorszyć sytuacji dłużnika. Dłużnik dalej ma obowiązek świadczenia tylko tego, do czego był zobowiązany w stosunku do zbywcy </w:t>
      </w:r>
      <w:r w:rsidR="009148D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EF08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(H. Ciepła (w:) </w:t>
      </w:r>
      <w:r w:rsidRPr="00EF082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Komentarz do kodeksu cywilnego, </w:t>
      </w:r>
      <w:r w:rsidRPr="00EF08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s. 587; B. Łubkowski (w:) </w:t>
      </w:r>
      <w:r w:rsidRPr="00EF082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Kodeks cywilny – komentarz,</w:t>
      </w:r>
      <w:r w:rsidRPr="00EF08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s. 1220).</w:t>
      </w:r>
      <w:r w:rsidR="009148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F08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Ponadto, z treści art.512 Kodeksu cywilnego wynika, że dopóki zbywca nie zawiadomił dłużnika o przelewie, spełnienie świadczenia do rąk poprzedniego wierzyciela ma skutek względem nabywcy, chyba że w chwili spełnienia świadczenia dłużnik wiedział </w:t>
      </w:r>
      <w:r w:rsidR="009148D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082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przelewie (uchwała Sądu Najwyższego z dnia 26 lutego 2014 r., sygn. akt III CZP 110/13). </w:t>
      </w:r>
      <w:r w:rsidR="009148D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082B">
        <w:rPr>
          <w:rFonts w:ascii="Calibri" w:eastAsia="Times New Roman" w:hAnsi="Calibri" w:cs="Times New Roman"/>
          <w:sz w:val="24"/>
          <w:szCs w:val="24"/>
          <w:lang w:eastAsia="pl-PL"/>
        </w:rPr>
        <w:t>A contrario – od momentu zawiadomienia dłużnika o zmianie wierzyciela powstaje obowiązek spełnienia świadczenia do rąk podmiotu wskazanego przez dotychczasowego wierzyciela.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F06CE7" w:rsidRDefault="007D3C37" w:rsidP="009148D5">
      <w:pPr>
        <w:spacing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Należy więc uznać, że stosunek prawny łączący strony umowy faktoringu oraz ich wzajemne rozliczenia stanowią realizację zasady swobody umów. W świetle zapisu art.22 ust.2 pkt 2 ustawy o rehabilitacji - wywiązanie się ze swojego zobowiązania przez </w:t>
      </w:r>
      <w:r w:rsidR="00F06C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Wnioskodawcę 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poprzez terminowe i pełne uregulowanie płatności na rzecz faktora - jest dopuszczalnym prawnie sposobem regulowania płatności, uprawniającym do </w:t>
      </w:r>
      <w:r w:rsidR="00F06CE7">
        <w:rPr>
          <w:rFonts w:ascii="Calibri" w:eastAsia="Times New Roman" w:hAnsi="Calibri" w:cs="Times New Roman"/>
          <w:sz w:val="24"/>
          <w:szCs w:val="24"/>
          <w:lang w:eastAsia="pl-PL"/>
        </w:rPr>
        <w:t>skorzystania z obniżenia wpłat na PFRON przez Spółkę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7D3C37" w:rsidRPr="00D77871" w:rsidRDefault="007D3C37" w:rsidP="009148D5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>Przepisy ustawy o rehabilitacji - w interpretowanym zakresie – nie stoją na przeszkodzie stosowania rozwiązań dotyczących zapłaty należności znanych pra</w:t>
      </w:r>
      <w:r w:rsidR="004A256C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 cywilnemu. Z tego względu dopuszczalne jest </w:t>
      </w:r>
      <w:r w:rsidR="004A25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skorzystanie z obniżenia wpłat na PFRON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przez Spółkę pomimo zmiany wierzyciela w zakresie wynagrodzenia za świadczone przez </w:t>
      </w:r>
      <w:r w:rsidR="00F06CE7">
        <w:rPr>
          <w:rFonts w:ascii="Calibri" w:eastAsia="Times New Roman" w:hAnsi="Calibri" w:cs="Arial"/>
          <w:sz w:val="24"/>
          <w:szCs w:val="24"/>
          <w:lang w:eastAsia="pl-PL"/>
        </w:rPr>
        <w:t>kontrahenta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usługi.</w:t>
      </w:r>
    </w:p>
    <w:p w:rsidR="007D3C37" w:rsidRPr="00D77871" w:rsidRDefault="007D3C37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Należy </w:t>
      </w:r>
      <w:r w:rsidR="009B1410">
        <w:rPr>
          <w:rFonts w:ascii="Calibri" w:eastAsia="Times New Roman" w:hAnsi="Calibri" w:cs="Arial"/>
          <w:sz w:val="24"/>
          <w:szCs w:val="24"/>
          <w:lang w:eastAsia="pl-PL"/>
        </w:rPr>
        <w:t xml:space="preserve">przy tym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zwrócić uwagę na to, że obowiązki 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 xml:space="preserve">kontrahenta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jako sprzedającego określone w art.22 i 22b ustawy o rehabilitacji nie przechodzą na faktora. Dlatego </w:t>
      </w:r>
      <w:r w:rsidR="00E566D1">
        <w:rPr>
          <w:rFonts w:ascii="Calibri" w:eastAsia="Times New Roman" w:hAnsi="Calibri" w:cs="Arial"/>
          <w:sz w:val="24"/>
          <w:szCs w:val="24"/>
          <w:lang w:eastAsia="pl-PL"/>
        </w:rPr>
        <w:t xml:space="preserve">kontrahent powinien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zadbać o częstotliwość i kompletność danych przekazywanych przez faktora </w:t>
      </w:r>
      <w:r w:rsidR="009B1410">
        <w:rPr>
          <w:rFonts w:ascii="Calibri" w:eastAsia="Times New Roman" w:hAnsi="Calibri" w:cs="Arial"/>
          <w:sz w:val="24"/>
          <w:szCs w:val="24"/>
          <w:lang w:eastAsia="pl-PL"/>
        </w:rPr>
        <w:t xml:space="preserve">w zakresie kwoty i terminowości zapłaty za wystawione faktury -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w związku </w:t>
      </w:r>
      <w:r w:rsidR="009B1410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z obowiązkiem weryfikacji spełnienia </w:t>
      </w:r>
      <w:r w:rsidR="009B1410">
        <w:rPr>
          <w:rFonts w:ascii="Calibri" w:eastAsia="Times New Roman" w:hAnsi="Calibri" w:cs="Arial"/>
          <w:sz w:val="24"/>
          <w:szCs w:val="24"/>
          <w:lang w:eastAsia="pl-PL"/>
        </w:rPr>
        <w:t>t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ego warunku oraz konieczności</w:t>
      </w:r>
      <w:r w:rsidR="009B1410"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terminowego wystawienia informacji. Bowiem tylko 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 xml:space="preserve">kontrahent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jest uprawnion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do wystawienia informacji o kwocie obniżenia wpłat na PFRON w przypadku uregulowania</w:t>
      </w:r>
      <w:r w:rsidR="00EF082B">
        <w:rPr>
          <w:rFonts w:ascii="Calibri" w:eastAsia="Times New Roman" w:hAnsi="Calibri" w:cs="Arial"/>
          <w:sz w:val="24"/>
          <w:szCs w:val="24"/>
          <w:lang w:eastAsia="pl-PL"/>
        </w:rPr>
        <w:t>, przez Wnioskodawcę,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należności za zakup usługi w wysokości i terminie wynikającym z faktury.  </w:t>
      </w:r>
    </w:p>
    <w:p w:rsidR="00A271E5" w:rsidRDefault="00A271E5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Pr="00D77871" w:rsidRDefault="007D3C37" w:rsidP="00EF082B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Mając powyższe na uwadze, stanowisko </w:t>
      </w:r>
      <w:r w:rsidR="004B4DF7">
        <w:rPr>
          <w:rFonts w:ascii="Calibri" w:eastAsia="Times New Roman" w:hAnsi="Calibri" w:cs="Arial"/>
          <w:sz w:val="24"/>
          <w:szCs w:val="24"/>
          <w:lang w:eastAsia="pl-PL"/>
        </w:rPr>
        <w:t>XXXXXXXXXXXXXXXXXXXXXXXXXXXX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z siedzibą </w:t>
      </w:r>
      <w:r w:rsidR="00DE0369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w </w:t>
      </w:r>
      <w:r w:rsidR="004B4DF7">
        <w:rPr>
          <w:rFonts w:ascii="Calibri" w:eastAsia="Times New Roman" w:hAnsi="Calibri" w:cs="Arial"/>
          <w:sz w:val="24"/>
          <w:szCs w:val="24"/>
          <w:lang w:eastAsia="pl-PL"/>
        </w:rPr>
        <w:t>XXXXXXXXXX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wyrażone w piśmie z dnia 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 xml:space="preserve">17 kwietnia 2018 r.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uzupełnionym mail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>a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m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>i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z dnia </w:t>
      </w:r>
      <w:r w:rsidR="009B1410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 xml:space="preserve">maja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>8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 w:rsidR="00301799">
        <w:rPr>
          <w:rFonts w:ascii="Calibri" w:eastAsia="Times New Roman" w:hAnsi="Calibri" w:cs="Arial"/>
          <w:sz w:val="24"/>
          <w:szCs w:val="24"/>
          <w:lang w:eastAsia="pl-PL"/>
        </w:rPr>
        <w:t xml:space="preserve"> i 15 maja 2018 r.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, w sprawie pisemnej interpretacji co do zakresu i sposobu zastosowania przepisów art. 22 ustawy o rehabilitacji – </w:t>
      </w:r>
      <w:r w:rsidRPr="00D77871">
        <w:rPr>
          <w:rFonts w:ascii="Calibri" w:eastAsia="Times New Roman" w:hAnsi="Calibri" w:cs="Arial"/>
          <w:b/>
          <w:sz w:val="24"/>
          <w:szCs w:val="24"/>
          <w:lang w:eastAsia="pl-PL"/>
        </w:rPr>
        <w:t>jest prawidłowe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7D3C37" w:rsidRPr="00D77871" w:rsidRDefault="007D3C37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W związku z powyższym, postanowiono jak w sentencji.</w:t>
      </w:r>
    </w:p>
    <w:p w:rsidR="00E010A6" w:rsidRPr="007D3C37" w:rsidRDefault="007D3C37" w:rsidP="00FA0461">
      <w:pPr>
        <w:spacing w:after="12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>I</w:t>
      </w:r>
      <w:r w:rsidR="00E010A6"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</w:t>
      </w:r>
      <w:r>
        <w:rPr>
          <w:rFonts w:ascii="Calibri" w:eastAsia="Times New Roman" w:hAnsi="Calibri" w:cs="Arial"/>
          <w:sz w:val="20"/>
          <w:szCs w:val="20"/>
          <w:lang w:eastAsia="pl-PL"/>
        </w:rPr>
        <w:t>r</w:t>
      </w:r>
      <w:r w:rsidR="00E010A6"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zeczywistością (wyrok Wojewódzkiego Sądu Administracyjnego w Gorzowie Wlkp. z dnia 16 lipca 2009 r., sygn. </w:t>
      </w:r>
      <w:r w:rsidR="006916CE" w:rsidRPr="007D3C37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="00E010A6"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kt II SAB/Go 8/09).      </w:t>
      </w:r>
    </w:p>
    <w:p w:rsidR="00E010A6" w:rsidRPr="00E010A6" w:rsidRDefault="00E010A6" w:rsidP="00FA0461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010A6">
        <w:rPr>
          <w:rFonts w:ascii="Calibri" w:eastAsia="Times New Roman" w:hAnsi="Calibri" w:cs="Arial"/>
          <w:b/>
          <w:sz w:val="24"/>
          <w:szCs w:val="24"/>
          <w:lang w:eastAsia="pl-PL"/>
        </w:rPr>
        <w:t>Pouczenie:</w:t>
      </w:r>
    </w:p>
    <w:p w:rsidR="00E010A6" w:rsidRPr="00E010A6" w:rsidRDefault="00E010A6" w:rsidP="00FA0461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Od niniejszej decyzji przysługuje Stronie, za pośrednictwem Prezesa Zarządu PFRON odwołanie do Ministra Rodziny, Pracy i Polityki Społecznej w terminie 14 dni od dnia jej doręczenia.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W trakcie biegu terminu do wniesienia odwołania Strona może zrzec się prawa do jego wniesienia. Z dniem doręczenia </w:t>
      </w: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Prezesowi Zarządu PFRON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oświadczenia o zrzeczeniu się prawa do wniesienia odwołania przez Stronę, decyzja staje się ostateczna i prawomocna</w:t>
      </w:r>
    </w:p>
    <w:p w:rsidR="00D77871" w:rsidRDefault="00D77871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Default="007D3C37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Default="007D3C37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Default="007D3C37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Default="007D3C37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Default="007D3C37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3C37" w:rsidRDefault="007D3C37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77871" w:rsidRDefault="00D77871" w:rsidP="00D77871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77871" w:rsidRPr="00D77871" w:rsidRDefault="00D77871" w:rsidP="00D77871">
      <w:pPr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sectPr w:rsidR="00D77871" w:rsidRPr="00D77871" w:rsidSect="00AB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D62"/>
    <w:multiLevelType w:val="hybridMultilevel"/>
    <w:tmpl w:val="8A48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97AE9"/>
    <w:multiLevelType w:val="hybridMultilevel"/>
    <w:tmpl w:val="2B3E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E3267"/>
    <w:rsid w:val="000078B5"/>
    <w:rsid w:val="00007FBF"/>
    <w:rsid w:val="00010390"/>
    <w:rsid w:val="00021652"/>
    <w:rsid w:val="00055140"/>
    <w:rsid w:val="000A52C6"/>
    <w:rsid w:val="001850C2"/>
    <w:rsid w:val="0018751C"/>
    <w:rsid w:val="0019190E"/>
    <w:rsid w:val="0023230D"/>
    <w:rsid w:val="0027749A"/>
    <w:rsid w:val="00284873"/>
    <w:rsid w:val="002E3267"/>
    <w:rsid w:val="002F23F3"/>
    <w:rsid w:val="00301799"/>
    <w:rsid w:val="003401F8"/>
    <w:rsid w:val="003712C5"/>
    <w:rsid w:val="00391EA6"/>
    <w:rsid w:val="003A1E4E"/>
    <w:rsid w:val="003B06BB"/>
    <w:rsid w:val="003B47F8"/>
    <w:rsid w:val="003C07C0"/>
    <w:rsid w:val="00403505"/>
    <w:rsid w:val="00423776"/>
    <w:rsid w:val="004A256C"/>
    <w:rsid w:val="004B4DF7"/>
    <w:rsid w:val="004C1704"/>
    <w:rsid w:val="004C78F4"/>
    <w:rsid w:val="004D7690"/>
    <w:rsid w:val="004E1F1A"/>
    <w:rsid w:val="00511C7D"/>
    <w:rsid w:val="00615549"/>
    <w:rsid w:val="00617E87"/>
    <w:rsid w:val="00671500"/>
    <w:rsid w:val="006752C4"/>
    <w:rsid w:val="006841CD"/>
    <w:rsid w:val="0068709A"/>
    <w:rsid w:val="006916CE"/>
    <w:rsid w:val="00695811"/>
    <w:rsid w:val="006A1ECE"/>
    <w:rsid w:val="00730F87"/>
    <w:rsid w:val="00737C5B"/>
    <w:rsid w:val="00754E25"/>
    <w:rsid w:val="007676E7"/>
    <w:rsid w:val="007C2542"/>
    <w:rsid w:val="007D3C37"/>
    <w:rsid w:val="00805466"/>
    <w:rsid w:val="00812C1F"/>
    <w:rsid w:val="008224CA"/>
    <w:rsid w:val="008B67C5"/>
    <w:rsid w:val="008C58C0"/>
    <w:rsid w:val="009148D5"/>
    <w:rsid w:val="009305EF"/>
    <w:rsid w:val="00941D9B"/>
    <w:rsid w:val="00944C5A"/>
    <w:rsid w:val="00951351"/>
    <w:rsid w:val="009A1C12"/>
    <w:rsid w:val="009A4C8D"/>
    <w:rsid w:val="009A6265"/>
    <w:rsid w:val="009B1410"/>
    <w:rsid w:val="009E43BD"/>
    <w:rsid w:val="00A271E5"/>
    <w:rsid w:val="00A37215"/>
    <w:rsid w:val="00A81DC8"/>
    <w:rsid w:val="00A86505"/>
    <w:rsid w:val="00A876EF"/>
    <w:rsid w:val="00A974B4"/>
    <w:rsid w:val="00AB3BCC"/>
    <w:rsid w:val="00AD5E9E"/>
    <w:rsid w:val="00B34F8A"/>
    <w:rsid w:val="00B61290"/>
    <w:rsid w:val="00B66B95"/>
    <w:rsid w:val="00B70889"/>
    <w:rsid w:val="00BA6A79"/>
    <w:rsid w:val="00BF6035"/>
    <w:rsid w:val="00C077CA"/>
    <w:rsid w:val="00C63409"/>
    <w:rsid w:val="00C84263"/>
    <w:rsid w:val="00D77871"/>
    <w:rsid w:val="00DC03E1"/>
    <w:rsid w:val="00DE0369"/>
    <w:rsid w:val="00E010A6"/>
    <w:rsid w:val="00E2688D"/>
    <w:rsid w:val="00E50197"/>
    <w:rsid w:val="00E566D1"/>
    <w:rsid w:val="00E759F8"/>
    <w:rsid w:val="00E81D9B"/>
    <w:rsid w:val="00EA0A1E"/>
    <w:rsid w:val="00EB3371"/>
    <w:rsid w:val="00EE4B3C"/>
    <w:rsid w:val="00EF082B"/>
    <w:rsid w:val="00F00FE7"/>
    <w:rsid w:val="00F06CE7"/>
    <w:rsid w:val="00F347EA"/>
    <w:rsid w:val="00F61575"/>
    <w:rsid w:val="00FA0461"/>
    <w:rsid w:val="00FC2B93"/>
    <w:rsid w:val="00FD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8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0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8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36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87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35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2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48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4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7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0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4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9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99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8E4E-3AD5-4E1D-8060-37BFC25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3</cp:revision>
  <cp:lastPrinted>2018-05-15T07:12:00Z</cp:lastPrinted>
  <dcterms:created xsi:type="dcterms:W3CDTF">2018-06-08T08:36:00Z</dcterms:created>
  <dcterms:modified xsi:type="dcterms:W3CDTF">2018-06-08T11:55:00Z</dcterms:modified>
</cp:coreProperties>
</file>