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8F95E" w14:textId="50511F43" w:rsidR="00802572" w:rsidRPr="00852A5D" w:rsidRDefault="00474791" w:rsidP="00852A5D">
      <w:pPr>
        <w:spacing w:after="0" w:line="360" w:lineRule="auto"/>
        <w:ind w:firstLine="9781"/>
        <w:jc w:val="right"/>
        <w:rPr>
          <w:rFonts w:ascii="Calibri" w:hAnsi="Calibri" w:cs="Calibri"/>
          <w:sz w:val="16"/>
          <w:szCs w:val="16"/>
        </w:rPr>
      </w:pPr>
      <w:r w:rsidRPr="00852A5D">
        <w:rPr>
          <w:rFonts w:ascii="Calibri" w:hAnsi="Calibri" w:cs="Calibri"/>
          <w:sz w:val="16"/>
          <w:szCs w:val="16"/>
        </w:rPr>
        <w:t xml:space="preserve">Załącznik </w:t>
      </w:r>
      <w:r w:rsidR="001A21C0" w:rsidRPr="00852A5D">
        <w:rPr>
          <w:rFonts w:ascii="Calibri" w:hAnsi="Calibri" w:cs="Calibri"/>
          <w:sz w:val="16"/>
          <w:szCs w:val="16"/>
        </w:rPr>
        <w:t>nr 2 do rozporządzenia Ministra Finansów z dnia 29 września 2010 r.</w:t>
      </w:r>
    </w:p>
    <w:p w14:paraId="29EEF3B0" w14:textId="77777777" w:rsidR="00852A5D" w:rsidRPr="00852A5D" w:rsidRDefault="001A21C0" w:rsidP="00852A5D">
      <w:pPr>
        <w:spacing w:after="0" w:line="360" w:lineRule="auto"/>
        <w:ind w:firstLine="9781"/>
        <w:jc w:val="right"/>
        <w:rPr>
          <w:rFonts w:ascii="Calibri" w:hAnsi="Calibri" w:cs="Calibri"/>
          <w:sz w:val="16"/>
          <w:szCs w:val="16"/>
        </w:rPr>
      </w:pPr>
      <w:r w:rsidRPr="00852A5D">
        <w:rPr>
          <w:rFonts w:ascii="Calibri" w:hAnsi="Calibri" w:cs="Calibri"/>
          <w:sz w:val="16"/>
          <w:szCs w:val="16"/>
        </w:rPr>
        <w:t xml:space="preserve">w sprawie planu działalności i sprawozdania z jego wykonania </w:t>
      </w:r>
    </w:p>
    <w:p w14:paraId="3CE0D06B" w14:textId="1B5AAE98" w:rsidR="00EA1C79" w:rsidRPr="00270418" w:rsidRDefault="00802069" w:rsidP="00270418">
      <w:pPr>
        <w:pStyle w:val="Nagwek1"/>
      </w:pPr>
      <w:r w:rsidRPr="00270418">
        <w:t>Sprawozdanie z wykonania planu działalności</w:t>
      </w:r>
      <w:r w:rsidR="000206B0" w:rsidRPr="00270418">
        <w:br/>
        <w:t xml:space="preserve">Państwowego Funduszu Rehabilitacji Osób Niepełnosprawnych </w:t>
      </w:r>
      <w:r w:rsidR="000206B0" w:rsidRPr="00270418">
        <w:br/>
      </w:r>
      <w:r w:rsidRPr="00270418">
        <w:t>za</w:t>
      </w:r>
      <w:r w:rsidR="00EA1C79" w:rsidRPr="00270418">
        <w:t xml:space="preserve"> rok 20</w:t>
      </w:r>
      <w:r w:rsidRPr="00270418">
        <w:t>19</w:t>
      </w:r>
    </w:p>
    <w:p w14:paraId="501AFC25" w14:textId="77777777" w:rsidR="0001551B" w:rsidRPr="00852A5D" w:rsidRDefault="0001551B" w:rsidP="000206B0">
      <w:pPr>
        <w:spacing w:after="0" w:line="240" w:lineRule="auto"/>
        <w:jc w:val="center"/>
        <w:rPr>
          <w:rFonts w:ascii="Calibri" w:hAnsi="Calibri" w:cs="Calibri"/>
        </w:rPr>
      </w:pPr>
    </w:p>
    <w:p w14:paraId="44FF3C24" w14:textId="719D04D2" w:rsidR="00852A5D" w:rsidRPr="00270418" w:rsidRDefault="00802069" w:rsidP="00270418">
      <w:pPr>
        <w:pStyle w:val="Nagwek2"/>
      </w:pPr>
      <w:r w:rsidRPr="00270418">
        <w:t>CZĘŚĆ A: Realizacja najważniejszych celów w roku 2019</w:t>
      </w:r>
    </w:p>
    <w:tbl>
      <w:tblPr>
        <w:tblW w:w="5000" w:type="pct"/>
        <w:tblCellMar>
          <w:left w:w="70" w:type="dxa"/>
          <w:right w:w="70" w:type="dxa"/>
        </w:tblCellMar>
        <w:tblLook w:val="04A0" w:firstRow="1" w:lastRow="0" w:firstColumn="1" w:lastColumn="0" w:noHBand="0" w:noVBand="1"/>
      </w:tblPr>
      <w:tblGrid>
        <w:gridCol w:w="443"/>
        <w:gridCol w:w="1799"/>
        <w:gridCol w:w="2586"/>
        <w:gridCol w:w="1547"/>
        <w:gridCol w:w="1196"/>
        <w:gridCol w:w="3123"/>
        <w:gridCol w:w="5000"/>
      </w:tblGrid>
      <w:tr w:rsidR="00852A5D" w:rsidRPr="00270418" w14:paraId="627762E2" w14:textId="77777777" w:rsidTr="00270418">
        <w:trPr>
          <w:trHeight w:val="2080"/>
          <w:tblHeader/>
        </w:trPr>
        <w:tc>
          <w:tcPr>
            <w:tcW w:w="141" w:type="pct"/>
            <w:tcBorders>
              <w:top w:val="single" w:sz="4" w:space="0" w:color="auto"/>
              <w:left w:val="single" w:sz="4" w:space="0" w:color="auto"/>
              <w:bottom w:val="single" w:sz="4" w:space="0" w:color="auto"/>
              <w:right w:val="single" w:sz="4" w:space="0" w:color="auto"/>
            </w:tcBorders>
            <w:shd w:val="clear" w:color="000000" w:fill="FFFFFF"/>
            <w:hideMark/>
          </w:tcPr>
          <w:p w14:paraId="46F45C14" w14:textId="77777777" w:rsidR="00852A5D" w:rsidRPr="00270418" w:rsidRDefault="00852A5D" w:rsidP="006910A5">
            <w:pPr>
              <w:spacing w:after="0" w:line="240" w:lineRule="auto"/>
              <w:rPr>
                <w:rFonts w:ascii="Calibri" w:eastAsia="Times New Roman" w:hAnsi="Calibri" w:cs="Calibri"/>
                <w:b/>
                <w:bCs/>
                <w:sz w:val="20"/>
                <w:szCs w:val="20"/>
                <w:lang w:eastAsia="pl-PL"/>
              </w:rPr>
            </w:pPr>
            <w:r w:rsidRPr="00270418">
              <w:rPr>
                <w:rFonts w:ascii="Calibri" w:eastAsia="Times New Roman" w:hAnsi="Calibri" w:cs="Calibri"/>
                <w:b/>
                <w:bCs/>
                <w:sz w:val="20"/>
                <w:szCs w:val="20"/>
                <w:lang w:eastAsia="pl-PL"/>
              </w:rPr>
              <w:t>Lp.</w:t>
            </w:r>
          </w:p>
        </w:tc>
        <w:tc>
          <w:tcPr>
            <w:tcW w:w="573" w:type="pct"/>
            <w:tcBorders>
              <w:top w:val="single" w:sz="4" w:space="0" w:color="auto"/>
              <w:left w:val="single" w:sz="4" w:space="0" w:color="auto"/>
              <w:bottom w:val="single" w:sz="4" w:space="0" w:color="auto"/>
              <w:right w:val="single" w:sz="4" w:space="0" w:color="auto"/>
            </w:tcBorders>
            <w:shd w:val="clear" w:color="000000" w:fill="FFFFFF"/>
            <w:hideMark/>
          </w:tcPr>
          <w:p w14:paraId="277D579D" w14:textId="77777777" w:rsidR="00852A5D" w:rsidRPr="00270418" w:rsidRDefault="00852A5D" w:rsidP="006910A5">
            <w:pPr>
              <w:spacing w:after="0" w:line="240" w:lineRule="auto"/>
              <w:rPr>
                <w:rFonts w:ascii="Calibri" w:eastAsia="Times New Roman" w:hAnsi="Calibri" w:cs="Calibri"/>
                <w:b/>
                <w:bCs/>
                <w:sz w:val="20"/>
                <w:szCs w:val="20"/>
                <w:lang w:eastAsia="pl-PL"/>
              </w:rPr>
            </w:pPr>
            <w:r w:rsidRPr="00270418">
              <w:rPr>
                <w:rFonts w:ascii="Calibri" w:eastAsia="Times New Roman" w:hAnsi="Calibri" w:cs="Calibri"/>
                <w:b/>
                <w:bCs/>
                <w:sz w:val="20"/>
                <w:szCs w:val="20"/>
                <w:lang w:eastAsia="pl-PL"/>
              </w:rPr>
              <w:t>Cel</w:t>
            </w:r>
          </w:p>
        </w:tc>
        <w:tc>
          <w:tcPr>
            <w:tcW w:w="824" w:type="pct"/>
            <w:tcBorders>
              <w:top w:val="single" w:sz="4" w:space="0" w:color="auto"/>
              <w:left w:val="nil"/>
              <w:bottom w:val="single" w:sz="4" w:space="0" w:color="auto"/>
              <w:right w:val="single" w:sz="4" w:space="0" w:color="000000"/>
            </w:tcBorders>
            <w:shd w:val="clear" w:color="000000" w:fill="FFFFFF"/>
            <w:hideMark/>
          </w:tcPr>
          <w:p w14:paraId="74C4F84F" w14:textId="7E5178BD" w:rsidR="00852A5D" w:rsidRPr="00270418" w:rsidRDefault="00852A5D" w:rsidP="006910A5">
            <w:pPr>
              <w:spacing w:after="0" w:line="240" w:lineRule="auto"/>
              <w:rPr>
                <w:rFonts w:ascii="Calibri" w:eastAsia="Times New Roman" w:hAnsi="Calibri" w:cs="Calibri"/>
                <w:b/>
                <w:bCs/>
                <w:sz w:val="20"/>
                <w:szCs w:val="20"/>
                <w:lang w:eastAsia="pl-PL"/>
              </w:rPr>
            </w:pPr>
            <w:r w:rsidRPr="00270418">
              <w:rPr>
                <w:rFonts w:ascii="Calibri" w:eastAsia="Times New Roman" w:hAnsi="Calibri" w:cs="Calibri"/>
                <w:b/>
                <w:bCs/>
                <w:sz w:val="20"/>
                <w:szCs w:val="20"/>
                <w:lang w:eastAsia="pl-PL"/>
              </w:rPr>
              <w:t>Mierniki określające stopień realizacji celu - Nazwa</w:t>
            </w:r>
          </w:p>
        </w:tc>
        <w:tc>
          <w:tcPr>
            <w:tcW w:w="493" w:type="pct"/>
            <w:tcBorders>
              <w:top w:val="single" w:sz="4" w:space="0" w:color="auto"/>
              <w:left w:val="nil"/>
              <w:bottom w:val="single" w:sz="4" w:space="0" w:color="auto"/>
              <w:right w:val="single" w:sz="4" w:space="0" w:color="000000"/>
            </w:tcBorders>
            <w:shd w:val="clear" w:color="000000" w:fill="FFFFFF"/>
          </w:tcPr>
          <w:p w14:paraId="4376E263" w14:textId="6DA354AF" w:rsidR="00852A5D" w:rsidRPr="00270418" w:rsidRDefault="00852A5D" w:rsidP="006910A5">
            <w:pPr>
              <w:spacing w:after="0" w:line="240" w:lineRule="auto"/>
              <w:rPr>
                <w:rFonts w:ascii="Calibri" w:eastAsia="Times New Roman" w:hAnsi="Calibri" w:cs="Calibri"/>
                <w:b/>
                <w:bCs/>
                <w:sz w:val="20"/>
                <w:szCs w:val="20"/>
                <w:lang w:eastAsia="pl-PL"/>
              </w:rPr>
            </w:pPr>
            <w:r w:rsidRPr="00270418">
              <w:rPr>
                <w:rFonts w:ascii="Calibri" w:eastAsia="Times New Roman" w:hAnsi="Calibri" w:cs="Calibri"/>
                <w:b/>
                <w:bCs/>
                <w:sz w:val="20"/>
                <w:szCs w:val="20"/>
                <w:lang w:eastAsia="pl-PL"/>
              </w:rPr>
              <w:t>Mierniki określające stopień realizacji celu - Planowana wartość do osiągnięcia na koniec roku, którego dotyczy sprawozdanie</w:t>
            </w:r>
          </w:p>
        </w:tc>
        <w:tc>
          <w:tcPr>
            <w:tcW w:w="381" w:type="pct"/>
            <w:tcBorders>
              <w:top w:val="single" w:sz="4" w:space="0" w:color="auto"/>
              <w:left w:val="nil"/>
              <w:bottom w:val="single" w:sz="4" w:space="0" w:color="auto"/>
              <w:right w:val="single" w:sz="4" w:space="0" w:color="000000"/>
            </w:tcBorders>
            <w:shd w:val="clear" w:color="000000" w:fill="FFFFFF"/>
          </w:tcPr>
          <w:p w14:paraId="0E96EE8A" w14:textId="10713F81" w:rsidR="00852A5D" w:rsidRPr="00270418" w:rsidRDefault="00852A5D" w:rsidP="006910A5">
            <w:pPr>
              <w:spacing w:after="0" w:line="240" w:lineRule="auto"/>
              <w:rPr>
                <w:rFonts w:ascii="Calibri" w:eastAsia="Times New Roman" w:hAnsi="Calibri" w:cs="Calibri"/>
                <w:b/>
                <w:bCs/>
                <w:sz w:val="20"/>
                <w:szCs w:val="20"/>
                <w:lang w:eastAsia="pl-PL"/>
              </w:rPr>
            </w:pPr>
            <w:r w:rsidRPr="00270418">
              <w:rPr>
                <w:rFonts w:ascii="Calibri" w:eastAsia="Times New Roman" w:hAnsi="Calibri" w:cs="Calibri"/>
                <w:b/>
                <w:bCs/>
                <w:sz w:val="20"/>
                <w:szCs w:val="20"/>
                <w:lang w:eastAsia="pl-PL"/>
              </w:rPr>
              <w:t>Mierniki określające stopień realizacji celu - Osiągnięta wartość na koniec roku 2019</w:t>
            </w:r>
          </w:p>
        </w:tc>
        <w:tc>
          <w:tcPr>
            <w:tcW w:w="995" w:type="pct"/>
            <w:tcBorders>
              <w:top w:val="single" w:sz="4" w:space="0" w:color="auto"/>
              <w:left w:val="single" w:sz="4" w:space="0" w:color="auto"/>
              <w:bottom w:val="single" w:sz="4" w:space="0" w:color="000000"/>
              <w:right w:val="single" w:sz="4" w:space="0" w:color="auto"/>
            </w:tcBorders>
            <w:shd w:val="clear" w:color="000000" w:fill="FFFFFF"/>
            <w:hideMark/>
          </w:tcPr>
          <w:p w14:paraId="4F49E911" w14:textId="77777777" w:rsidR="00852A5D" w:rsidRPr="00270418" w:rsidRDefault="00852A5D" w:rsidP="006910A5">
            <w:pPr>
              <w:spacing w:after="0" w:line="240" w:lineRule="auto"/>
              <w:rPr>
                <w:rFonts w:ascii="Calibri" w:eastAsia="Times New Roman" w:hAnsi="Calibri" w:cs="Calibri"/>
                <w:b/>
                <w:bCs/>
                <w:sz w:val="20"/>
                <w:szCs w:val="20"/>
                <w:lang w:eastAsia="pl-PL"/>
              </w:rPr>
            </w:pPr>
            <w:r w:rsidRPr="00270418">
              <w:rPr>
                <w:rFonts w:ascii="Calibri" w:eastAsia="Times New Roman" w:hAnsi="Calibri" w:cs="Calibri"/>
                <w:b/>
                <w:bCs/>
                <w:sz w:val="20"/>
                <w:szCs w:val="20"/>
                <w:lang w:eastAsia="pl-PL"/>
              </w:rPr>
              <w:t xml:space="preserve">Najważniejsze planowane zadania </w:t>
            </w:r>
            <w:r w:rsidRPr="00270418">
              <w:rPr>
                <w:rFonts w:ascii="Calibri" w:eastAsia="Times New Roman" w:hAnsi="Calibri" w:cs="Calibri"/>
                <w:b/>
                <w:bCs/>
                <w:sz w:val="20"/>
                <w:szCs w:val="20"/>
                <w:lang w:eastAsia="pl-PL"/>
              </w:rPr>
              <w:br/>
              <w:t>służące realizacji celu</w:t>
            </w:r>
          </w:p>
        </w:tc>
        <w:tc>
          <w:tcPr>
            <w:tcW w:w="1593" w:type="pct"/>
            <w:tcBorders>
              <w:top w:val="single" w:sz="4" w:space="0" w:color="auto"/>
              <w:left w:val="single" w:sz="4" w:space="0" w:color="auto"/>
              <w:bottom w:val="single" w:sz="4" w:space="0" w:color="000000"/>
              <w:right w:val="single" w:sz="4" w:space="0" w:color="auto"/>
            </w:tcBorders>
            <w:shd w:val="clear" w:color="000000" w:fill="FFFFFF"/>
            <w:hideMark/>
          </w:tcPr>
          <w:p w14:paraId="617F0F36" w14:textId="2C9B8C7F" w:rsidR="00852A5D" w:rsidRPr="00270418" w:rsidRDefault="00852A5D" w:rsidP="006910A5">
            <w:pPr>
              <w:spacing w:after="0" w:line="240" w:lineRule="auto"/>
              <w:rPr>
                <w:rFonts w:ascii="Calibri" w:eastAsia="Times New Roman" w:hAnsi="Calibri" w:cs="Calibri"/>
                <w:b/>
                <w:bCs/>
                <w:sz w:val="20"/>
                <w:szCs w:val="20"/>
                <w:lang w:eastAsia="pl-PL"/>
              </w:rPr>
            </w:pPr>
            <w:r w:rsidRPr="00270418">
              <w:rPr>
                <w:rFonts w:ascii="Calibri" w:eastAsia="Times New Roman" w:hAnsi="Calibri" w:cs="Calibri"/>
                <w:b/>
                <w:bCs/>
                <w:sz w:val="20"/>
                <w:szCs w:val="20"/>
                <w:lang w:eastAsia="pl-PL"/>
              </w:rPr>
              <w:t>Najważniejsze podjęte zadania</w:t>
            </w:r>
            <w:r w:rsidR="00270418" w:rsidRPr="00270418">
              <w:rPr>
                <w:rFonts w:ascii="Calibri" w:eastAsia="Times New Roman" w:hAnsi="Calibri" w:cs="Calibri"/>
                <w:b/>
                <w:bCs/>
                <w:sz w:val="20"/>
                <w:szCs w:val="20"/>
                <w:lang w:eastAsia="pl-PL"/>
              </w:rPr>
              <w:t xml:space="preserve"> </w:t>
            </w:r>
            <w:r w:rsidRPr="00270418">
              <w:rPr>
                <w:rFonts w:ascii="Calibri" w:eastAsia="Times New Roman" w:hAnsi="Calibri" w:cs="Calibri"/>
                <w:b/>
                <w:bCs/>
                <w:sz w:val="20"/>
                <w:szCs w:val="20"/>
                <w:lang w:eastAsia="pl-PL"/>
              </w:rPr>
              <w:t xml:space="preserve"> służące realizacji celu</w:t>
            </w:r>
          </w:p>
        </w:tc>
      </w:tr>
      <w:tr w:rsidR="00763763" w:rsidRPr="00852A5D" w14:paraId="02ACE8BF" w14:textId="77777777" w:rsidTr="00852A5D">
        <w:trPr>
          <w:trHeight w:val="204"/>
        </w:trPr>
        <w:tc>
          <w:tcPr>
            <w:tcW w:w="141" w:type="pct"/>
            <w:tcBorders>
              <w:top w:val="nil"/>
              <w:left w:val="single" w:sz="4" w:space="0" w:color="auto"/>
              <w:bottom w:val="single" w:sz="4" w:space="0" w:color="auto"/>
              <w:right w:val="single" w:sz="4" w:space="0" w:color="auto"/>
            </w:tcBorders>
            <w:shd w:val="clear" w:color="000000" w:fill="FFFFFF"/>
            <w:hideMark/>
          </w:tcPr>
          <w:p w14:paraId="333556BB" w14:textId="77777777" w:rsidR="008C033D" w:rsidRPr="00852A5D" w:rsidRDefault="008C033D"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1</w:t>
            </w:r>
          </w:p>
        </w:tc>
        <w:tc>
          <w:tcPr>
            <w:tcW w:w="573" w:type="pct"/>
            <w:tcBorders>
              <w:top w:val="nil"/>
              <w:left w:val="nil"/>
              <w:bottom w:val="single" w:sz="4" w:space="0" w:color="auto"/>
              <w:right w:val="single" w:sz="4" w:space="0" w:color="auto"/>
            </w:tcBorders>
            <w:shd w:val="clear" w:color="000000" w:fill="FFFFFF"/>
            <w:hideMark/>
          </w:tcPr>
          <w:p w14:paraId="204D00DA" w14:textId="77777777" w:rsidR="008C033D" w:rsidRPr="00852A5D" w:rsidRDefault="008C033D"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2</w:t>
            </w:r>
          </w:p>
        </w:tc>
        <w:tc>
          <w:tcPr>
            <w:tcW w:w="824" w:type="pct"/>
            <w:tcBorders>
              <w:top w:val="single" w:sz="4" w:space="0" w:color="auto"/>
              <w:left w:val="nil"/>
              <w:bottom w:val="single" w:sz="4" w:space="0" w:color="auto"/>
              <w:right w:val="single" w:sz="4" w:space="0" w:color="auto"/>
            </w:tcBorders>
            <w:shd w:val="clear" w:color="000000" w:fill="FFFFFF"/>
            <w:hideMark/>
          </w:tcPr>
          <w:p w14:paraId="45267885" w14:textId="77777777" w:rsidR="008C033D" w:rsidRPr="00852A5D" w:rsidRDefault="008C033D"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3</w:t>
            </w:r>
          </w:p>
        </w:tc>
        <w:tc>
          <w:tcPr>
            <w:tcW w:w="493" w:type="pct"/>
            <w:tcBorders>
              <w:top w:val="single" w:sz="4" w:space="0" w:color="auto"/>
              <w:left w:val="nil"/>
              <w:bottom w:val="single" w:sz="4" w:space="0" w:color="auto"/>
              <w:right w:val="single" w:sz="4" w:space="0" w:color="auto"/>
            </w:tcBorders>
            <w:shd w:val="clear" w:color="000000" w:fill="FFFFFF"/>
            <w:hideMark/>
          </w:tcPr>
          <w:p w14:paraId="6FEA7189" w14:textId="77777777" w:rsidR="008C033D" w:rsidRPr="00852A5D" w:rsidRDefault="008C033D"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4</w:t>
            </w:r>
          </w:p>
        </w:tc>
        <w:tc>
          <w:tcPr>
            <w:tcW w:w="381" w:type="pct"/>
            <w:tcBorders>
              <w:top w:val="single" w:sz="4" w:space="0" w:color="auto"/>
              <w:left w:val="nil"/>
              <w:bottom w:val="single" w:sz="4" w:space="0" w:color="auto"/>
              <w:right w:val="single" w:sz="4" w:space="0" w:color="auto"/>
            </w:tcBorders>
            <w:shd w:val="clear" w:color="000000" w:fill="FFFFFF"/>
            <w:hideMark/>
          </w:tcPr>
          <w:p w14:paraId="10129234" w14:textId="77777777" w:rsidR="008C033D" w:rsidRPr="00852A5D" w:rsidRDefault="008C033D"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5</w:t>
            </w:r>
          </w:p>
        </w:tc>
        <w:tc>
          <w:tcPr>
            <w:tcW w:w="995" w:type="pct"/>
            <w:tcBorders>
              <w:top w:val="nil"/>
              <w:left w:val="nil"/>
              <w:bottom w:val="single" w:sz="4" w:space="0" w:color="auto"/>
              <w:right w:val="single" w:sz="4" w:space="0" w:color="auto"/>
            </w:tcBorders>
            <w:shd w:val="clear" w:color="000000" w:fill="FFFFFF"/>
            <w:hideMark/>
          </w:tcPr>
          <w:p w14:paraId="337F8B11" w14:textId="77777777" w:rsidR="008C033D" w:rsidRPr="00852A5D" w:rsidRDefault="008C033D"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6</w:t>
            </w:r>
          </w:p>
        </w:tc>
        <w:tc>
          <w:tcPr>
            <w:tcW w:w="1593" w:type="pct"/>
            <w:tcBorders>
              <w:top w:val="nil"/>
              <w:left w:val="nil"/>
              <w:bottom w:val="single" w:sz="4" w:space="0" w:color="auto"/>
              <w:right w:val="single" w:sz="4" w:space="0" w:color="auto"/>
            </w:tcBorders>
            <w:shd w:val="clear" w:color="000000" w:fill="FFFFFF"/>
            <w:hideMark/>
          </w:tcPr>
          <w:p w14:paraId="3F06CB2A" w14:textId="77777777" w:rsidR="008C033D" w:rsidRPr="00852A5D" w:rsidRDefault="008C033D"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7</w:t>
            </w:r>
          </w:p>
        </w:tc>
      </w:tr>
      <w:tr w:rsidR="00763763" w:rsidRPr="00852A5D" w14:paraId="13FB5B77" w14:textId="77777777" w:rsidTr="00852A5D">
        <w:trPr>
          <w:trHeight w:val="1185"/>
        </w:trPr>
        <w:tc>
          <w:tcPr>
            <w:tcW w:w="141" w:type="pct"/>
            <w:vMerge w:val="restart"/>
            <w:tcBorders>
              <w:top w:val="single" w:sz="4" w:space="0" w:color="auto"/>
              <w:left w:val="single" w:sz="4" w:space="0" w:color="auto"/>
              <w:bottom w:val="single" w:sz="4" w:space="0" w:color="auto"/>
              <w:right w:val="single" w:sz="4" w:space="0" w:color="auto"/>
            </w:tcBorders>
            <w:shd w:val="clear" w:color="000000" w:fill="FFFFFF"/>
            <w:hideMark/>
          </w:tcPr>
          <w:p w14:paraId="3E699CBC" w14:textId="77777777" w:rsidR="008C033D" w:rsidRPr="00852A5D" w:rsidRDefault="008C033D"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1</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4AEBEB9" w14:textId="77777777" w:rsidR="008C033D" w:rsidRPr="00852A5D" w:rsidRDefault="008C033D"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K1. Zwiększenie zatrudnienia Osób Niepełnosprawnych</w:t>
            </w:r>
            <w:r w:rsidRPr="00852A5D">
              <w:rPr>
                <w:rFonts w:ascii="Calibri" w:eastAsia="Times New Roman" w:hAnsi="Calibri" w:cs="Calibri"/>
                <w:sz w:val="18"/>
                <w:szCs w:val="18"/>
                <w:lang w:eastAsia="pl-PL"/>
              </w:rPr>
              <w:br/>
              <w:t>(REHABILITACJA ZAWODOWA)</w:t>
            </w:r>
          </w:p>
        </w:tc>
        <w:tc>
          <w:tcPr>
            <w:tcW w:w="824" w:type="pct"/>
            <w:tcBorders>
              <w:top w:val="single" w:sz="4" w:space="0" w:color="auto"/>
              <w:left w:val="nil"/>
              <w:bottom w:val="single" w:sz="4" w:space="0" w:color="auto"/>
              <w:right w:val="single" w:sz="4" w:space="0" w:color="auto"/>
            </w:tcBorders>
            <w:shd w:val="clear" w:color="auto" w:fill="auto"/>
            <w:hideMark/>
          </w:tcPr>
          <w:p w14:paraId="6ED7BBA9" w14:textId="77777777" w:rsidR="008C033D" w:rsidRPr="00852A5D" w:rsidRDefault="008C033D"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Liczba pracujących Osób Niepełnosprawnych w wieku produkcyjnym / Liczba Osób Niepełnosprawnych w wieku produkcyjnym ogółem</w:t>
            </w:r>
          </w:p>
        </w:tc>
        <w:tc>
          <w:tcPr>
            <w:tcW w:w="493" w:type="pct"/>
            <w:tcBorders>
              <w:top w:val="single" w:sz="4" w:space="0" w:color="auto"/>
              <w:left w:val="nil"/>
              <w:bottom w:val="single" w:sz="4" w:space="0" w:color="auto"/>
              <w:right w:val="single" w:sz="4" w:space="0" w:color="auto"/>
            </w:tcBorders>
            <w:shd w:val="clear" w:color="auto" w:fill="auto"/>
            <w:hideMark/>
          </w:tcPr>
          <w:p w14:paraId="6547375B" w14:textId="77777777" w:rsidR="008C033D" w:rsidRPr="00852A5D" w:rsidRDefault="008C033D"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 xml:space="preserve">Nie mniej niż </w:t>
            </w:r>
            <w:r w:rsidRPr="00852A5D">
              <w:rPr>
                <w:rFonts w:ascii="Calibri" w:eastAsia="Times New Roman" w:hAnsi="Calibri" w:cs="Calibri"/>
                <w:sz w:val="18"/>
                <w:szCs w:val="18"/>
                <w:lang w:eastAsia="pl-PL"/>
              </w:rPr>
              <w:br/>
              <w:t xml:space="preserve">w roku bazowym </w:t>
            </w:r>
            <w:r w:rsidRPr="00852A5D">
              <w:rPr>
                <w:rFonts w:ascii="Calibri" w:eastAsia="Times New Roman" w:hAnsi="Calibri" w:cs="Calibri"/>
                <w:sz w:val="18"/>
                <w:szCs w:val="18"/>
                <w:lang w:eastAsia="pl-PL"/>
              </w:rPr>
              <w:br/>
              <w:t xml:space="preserve"> (26,3%)</w:t>
            </w:r>
          </w:p>
        </w:tc>
        <w:tc>
          <w:tcPr>
            <w:tcW w:w="381" w:type="pct"/>
            <w:tcBorders>
              <w:top w:val="single" w:sz="4" w:space="0" w:color="auto"/>
              <w:left w:val="nil"/>
              <w:bottom w:val="single" w:sz="4" w:space="0" w:color="auto"/>
              <w:right w:val="single" w:sz="4" w:space="0" w:color="auto"/>
            </w:tcBorders>
            <w:shd w:val="clear" w:color="auto" w:fill="auto"/>
            <w:hideMark/>
          </w:tcPr>
          <w:p w14:paraId="78238CB9" w14:textId="77777777" w:rsidR="008C033D" w:rsidRPr="00852A5D" w:rsidRDefault="008C033D"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27,67% *</w:t>
            </w:r>
          </w:p>
        </w:tc>
        <w:tc>
          <w:tcPr>
            <w:tcW w:w="99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6DAA047" w14:textId="2DDE45EE" w:rsidR="008C033D" w:rsidRPr="00852A5D" w:rsidRDefault="008C033D"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 xml:space="preserve">- Dofinansowania do wynagrodzeń </w:t>
            </w:r>
            <w:r w:rsidR="00763763" w:rsidRPr="00852A5D">
              <w:rPr>
                <w:rFonts w:ascii="Calibri" w:eastAsia="Times New Roman" w:hAnsi="Calibri" w:cs="Calibri"/>
                <w:sz w:val="18"/>
                <w:szCs w:val="18"/>
                <w:lang w:eastAsia="pl-PL"/>
              </w:rPr>
              <w:t>P</w:t>
            </w:r>
            <w:r w:rsidRPr="00852A5D">
              <w:rPr>
                <w:rFonts w:ascii="Calibri" w:eastAsia="Times New Roman" w:hAnsi="Calibri" w:cs="Calibri"/>
                <w:sz w:val="18"/>
                <w:szCs w:val="18"/>
                <w:lang w:eastAsia="pl-PL"/>
              </w:rPr>
              <w:t xml:space="preserve">racowników </w:t>
            </w:r>
            <w:r w:rsidR="00763763" w:rsidRPr="00852A5D">
              <w:rPr>
                <w:rFonts w:ascii="Calibri" w:eastAsia="Times New Roman" w:hAnsi="Calibri" w:cs="Calibri"/>
                <w:sz w:val="18"/>
                <w:szCs w:val="18"/>
                <w:lang w:eastAsia="pl-PL"/>
              </w:rPr>
              <w:t>N</w:t>
            </w:r>
            <w:r w:rsidRPr="00852A5D">
              <w:rPr>
                <w:rFonts w:ascii="Calibri" w:eastAsia="Times New Roman" w:hAnsi="Calibri" w:cs="Calibri"/>
                <w:sz w:val="18"/>
                <w:szCs w:val="18"/>
                <w:lang w:eastAsia="pl-PL"/>
              </w:rPr>
              <w:t xml:space="preserve">iepełnosprawnych; </w:t>
            </w:r>
            <w:r w:rsidRPr="00852A5D">
              <w:rPr>
                <w:rFonts w:ascii="Calibri" w:eastAsia="Times New Roman" w:hAnsi="Calibri" w:cs="Calibri"/>
                <w:sz w:val="18"/>
                <w:szCs w:val="18"/>
                <w:lang w:eastAsia="pl-PL"/>
              </w:rPr>
              <w:br/>
              <w:t xml:space="preserve">- Refundacja składek na ubezpieczenia społeczne Osób Niepełnosprawnych prowadzących działalność gospodarczą/rolniczą; </w:t>
            </w:r>
            <w:r w:rsidRPr="00852A5D">
              <w:rPr>
                <w:rFonts w:ascii="Calibri" w:eastAsia="Times New Roman" w:hAnsi="Calibri" w:cs="Calibri"/>
                <w:sz w:val="18"/>
                <w:szCs w:val="18"/>
                <w:lang w:eastAsia="pl-PL"/>
              </w:rPr>
              <w:br/>
              <w:t>- Zrekompensowanie gminom dochodów utraconych na skutek zastosowania ustawowych zwolnień;</w:t>
            </w:r>
            <w:r w:rsidRPr="00852A5D">
              <w:rPr>
                <w:rFonts w:ascii="Calibri" w:eastAsia="Times New Roman" w:hAnsi="Calibri" w:cs="Calibri"/>
                <w:sz w:val="18"/>
                <w:szCs w:val="18"/>
                <w:lang w:eastAsia="pl-PL"/>
              </w:rPr>
              <w:br/>
              <w:t>- Obsługa dotacji budżetowej;</w:t>
            </w:r>
            <w:r w:rsidRPr="00852A5D">
              <w:rPr>
                <w:rFonts w:ascii="Calibri" w:eastAsia="Times New Roman" w:hAnsi="Calibri" w:cs="Calibri"/>
                <w:sz w:val="18"/>
                <w:szCs w:val="18"/>
                <w:lang w:eastAsia="pl-PL"/>
              </w:rPr>
              <w:br/>
              <w:t>- Programy Rady Nadzorczej w zakresie rehabilitacji zawodowej, w tym:</w:t>
            </w:r>
            <w:r w:rsidR="0071544F">
              <w:rPr>
                <w:rFonts w:ascii="Calibri" w:eastAsia="Times New Roman" w:hAnsi="Calibri" w:cs="Calibri"/>
                <w:sz w:val="18"/>
                <w:szCs w:val="18"/>
                <w:lang w:eastAsia="pl-PL"/>
              </w:rPr>
              <w:t xml:space="preserve"> </w:t>
            </w:r>
            <w:r w:rsidRPr="00852A5D">
              <w:rPr>
                <w:rFonts w:ascii="Calibri" w:eastAsia="Times New Roman" w:hAnsi="Calibri" w:cs="Calibri"/>
                <w:sz w:val="18"/>
                <w:szCs w:val="18"/>
                <w:lang w:eastAsia="pl-PL"/>
              </w:rPr>
              <w:t>Absolwent, Stabilne zatrudnienie, Praca-Integracja;</w:t>
            </w:r>
            <w:r w:rsidRPr="00852A5D">
              <w:rPr>
                <w:rFonts w:ascii="Calibri" w:eastAsia="Times New Roman" w:hAnsi="Calibri" w:cs="Calibri"/>
                <w:sz w:val="18"/>
                <w:szCs w:val="18"/>
                <w:lang w:eastAsia="pl-PL"/>
              </w:rPr>
              <w:br/>
              <w:t>- Dofinansowanie do oprocentowania kredytów bankowych;</w:t>
            </w:r>
            <w:r w:rsidRPr="00852A5D">
              <w:rPr>
                <w:rFonts w:ascii="Calibri" w:eastAsia="Times New Roman" w:hAnsi="Calibri" w:cs="Calibri"/>
                <w:sz w:val="18"/>
                <w:szCs w:val="18"/>
                <w:lang w:eastAsia="pl-PL"/>
              </w:rPr>
              <w:br/>
              <w:t>- Zwrot kosztów budowy lub przebudowy związanej z modernizacją obiektów i pomieszczeń zakładu, transportowych i administracyjnych.</w:t>
            </w:r>
          </w:p>
        </w:tc>
        <w:tc>
          <w:tcPr>
            <w:tcW w:w="1593" w:type="pct"/>
            <w:vMerge w:val="restart"/>
            <w:tcBorders>
              <w:top w:val="single" w:sz="4" w:space="0" w:color="auto"/>
              <w:left w:val="single" w:sz="4" w:space="0" w:color="auto"/>
              <w:bottom w:val="single" w:sz="4" w:space="0" w:color="auto"/>
              <w:right w:val="single" w:sz="4" w:space="0" w:color="auto"/>
            </w:tcBorders>
            <w:shd w:val="clear" w:color="000000" w:fill="FFFFFF"/>
            <w:hideMark/>
          </w:tcPr>
          <w:p w14:paraId="70310854" w14:textId="77777777" w:rsidR="00270418" w:rsidRDefault="008C033D"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 xml:space="preserve">W ramach rehabilitacji zawodowej Osób Niepełnosprawnych realizowane były zadania ustawowe o charakterze stałym, o zróżnicowanym wpływie na aktywność zawodową </w:t>
            </w:r>
            <w:r w:rsidR="00763763" w:rsidRPr="00852A5D">
              <w:rPr>
                <w:rFonts w:ascii="Calibri" w:eastAsia="Times New Roman" w:hAnsi="Calibri" w:cs="Calibri"/>
                <w:sz w:val="18"/>
                <w:szCs w:val="18"/>
                <w:lang w:eastAsia="pl-PL"/>
              </w:rPr>
              <w:t>O</w:t>
            </w:r>
            <w:r w:rsidRPr="00852A5D">
              <w:rPr>
                <w:rFonts w:ascii="Calibri" w:eastAsia="Times New Roman" w:hAnsi="Calibri" w:cs="Calibri"/>
                <w:sz w:val="18"/>
                <w:szCs w:val="18"/>
                <w:lang w:eastAsia="pl-PL"/>
              </w:rPr>
              <w:t xml:space="preserve">sób z </w:t>
            </w:r>
            <w:r w:rsidR="00763763" w:rsidRPr="00852A5D">
              <w:rPr>
                <w:rFonts w:ascii="Calibri" w:eastAsia="Times New Roman" w:hAnsi="Calibri" w:cs="Calibri"/>
                <w:sz w:val="18"/>
                <w:szCs w:val="18"/>
                <w:lang w:eastAsia="pl-PL"/>
              </w:rPr>
              <w:t>N</w:t>
            </w:r>
            <w:r w:rsidRPr="00852A5D">
              <w:rPr>
                <w:rFonts w:ascii="Calibri" w:eastAsia="Times New Roman" w:hAnsi="Calibri" w:cs="Calibri"/>
                <w:sz w:val="18"/>
                <w:szCs w:val="18"/>
                <w:lang w:eastAsia="pl-PL"/>
              </w:rPr>
              <w:t xml:space="preserve">iepełnosprawnościami, np. </w:t>
            </w:r>
          </w:p>
          <w:p w14:paraId="004AE959" w14:textId="77777777" w:rsidR="00270418" w:rsidRDefault="008C033D" w:rsidP="00270418">
            <w:pPr>
              <w:pStyle w:val="Akapitzlist"/>
              <w:numPr>
                <w:ilvl w:val="0"/>
                <w:numId w:val="4"/>
              </w:numPr>
              <w:spacing w:after="0" w:line="240" w:lineRule="auto"/>
              <w:rPr>
                <w:rFonts w:ascii="Calibri" w:eastAsia="Times New Roman" w:hAnsi="Calibri" w:cs="Calibri"/>
                <w:sz w:val="18"/>
                <w:szCs w:val="18"/>
                <w:lang w:eastAsia="pl-PL"/>
              </w:rPr>
            </w:pPr>
            <w:r w:rsidRPr="00270418">
              <w:rPr>
                <w:rFonts w:ascii="Calibri" w:eastAsia="Times New Roman" w:hAnsi="Calibri" w:cs="Calibri"/>
                <w:sz w:val="18"/>
                <w:szCs w:val="18"/>
                <w:lang w:eastAsia="pl-PL"/>
              </w:rPr>
              <w:t xml:space="preserve">- dofinansowania do wynagrodzeń </w:t>
            </w:r>
            <w:r w:rsidR="00763763" w:rsidRPr="00270418">
              <w:rPr>
                <w:rFonts w:ascii="Calibri" w:eastAsia="Times New Roman" w:hAnsi="Calibri" w:cs="Calibri"/>
                <w:sz w:val="18"/>
                <w:szCs w:val="18"/>
                <w:lang w:eastAsia="pl-PL"/>
              </w:rPr>
              <w:t>P</w:t>
            </w:r>
            <w:r w:rsidRPr="00270418">
              <w:rPr>
                <w:rFonts w:ascii="Calibri" w:eastAsia="Times New Roman" w:hAnsi="Calibri" w:cs="Calibri"/>
                <w:sz w:val="18"/>
                <w:szCs w:val="18"/>
                <w:lang w:eastAsia="pl-PL"/>
              </w:rPr>
              <w:t xml:space="preserve">racowników </w:t>
            </w:r>
            <w:r w:rsidR="00763763" w:rsidRPr="00270418">
              <w:rPr>
                <w:rFonts w:ascii="Calibri" w:eastAsia="Times New Roman" w:hAnsi="Calibri" w:cs="Calibri"/>
                <w:sz w:val="18"/>
                <w:szCs w:val="18"/>
                <w:lang w:eastAsia="pl-PL"/>
              </w:rPr>
              <w:t>N</w:t>
            </w:r>
            <w:r w:rsidRPr="00270418">
              <w:rPr>
                <w:rFonts w:ascii="Calibri" w:eastAsia="Times New Roman" w:hAnsi="Calibri" w:cs="Calibri"/>
                <w:sz w:val="18"/>
                <w:szCs w:val="18"/>
                <w:lang w:eastAsia="pl-PL"/>
              </w:rPr>
              <w:t>iepełnosprawnych (307,9 tys. osób),</w:t>
            </w:r>
          </w:p>
          <w:p w14:paraId="2D15BBAE" w14:textId="77777777" w:rsidR="00270418" w:rsidRDefault="008C033D" w:rsidP="00270418">
            <w:pPr>
              <w:pStyle w:val="Akapitzlist"/>
              <w:numPr>
                <w:ilvl w:val="0"/>
                <w:numId w:val="4"/>
              </w:numPr>
              <w:spacing w:after="0" w:line="240" w:lineRule="auto"/>
              <w:rPr>
                <w:rFonts w:ascii="Calibri" w:eastAsia="Times New Roman" w:hAnsi="Calibri" w:cs="Calibri"/>
                <w:sz w:val="18"/>
                <w:szCs w:val="18"/>
                <w:lang w:eastAsia="pl-PL"/>
              </w:rPr>
            </w:pPr>
            <w:r w:rsidRPr="00270418">
              <w:rPr>
                <w:rFonts w:ascii="Calibri" w:eastAsia="Times New Roman" w:hAnsi="Calibri" w:cs="Calibri"/>
                <w:sz w:val="18"/>
                <w:szCs w:val="18"/>
                <w:lang w:eastAsia="pl-PL"/>
              </w:rPr>
              <w:t xml:space="preserve">refundacje składek na ubezpieczenia społeczne </w:t>
            </w:r>
            <w:r w:rsidR="00432479" w:rsidRPr="00270418">
              <w:rPr>
                <w:rFonts w:ascii="Calibri" w:eastAsia="Times New Roman" w:hAnsi="Calibri" w:cs="Calibri"/>
                <w:sz w:val="18"/>
                <w:szCs w:val="18"/>
                <w:lang w:eastAsia="pl-PL"/>
              </w:rPr>
              <w:t>O</w:t>
            </w:r>
            <w:r w:rsidRPr="00270418">
              <w:rPr>
                <w:rFonts w:ascii="Calibri" w:eastAsia="Times New Roman" w:hAnsi="Calibri" w:cs="Calibri"/>
                <w:sz w:val="18"/>
                <w:szCs w:val="18"/>
                <w:lang w:eastAsia="pl-PL"/>
              </w:rPr>
              <w:t xml:space="preserve">sób </w:t>
            </w:r>
            <w:r w:rsidR="00763763" w:rsidRPr="00270418">
              <w:rPr>
                <w:rFonts w:ascii="Calibri" w:eastAsia="Times New Roman" w:hAnsi="Calibri" w:cs="Calibri"/>
                <w:sz w:val="18"/>
                <w:szCs w:val="18"/>
                <w:lang w:eastAsia="pl-PL"/>
              </w:rPr>
              <w:t>Niepe</w:t>
            </w:r>
            <w:r w:rsidRPr="00270418">
              <w:rPr>
                <w:rFonts w:ascii="Calibri" w:eastAsia="Times New Roman" w:hAnsi="Calibri" w:cs="Calibri"/>
                <w:sz w:val="18"/>
                <w:szCs w:val="18"/>
                <w:lang w:eastAsia="pl-PL"/>
              </w:rPr>
              <w:t>łnosprawnych prowadzących działalność gospodarczą lub rolniczą (32,3 tys. osób),</w:t>
            </w:r>
          </w:p>
          <w:p w14:paraId="362C915C" w14:textId="77777777" w:rsidR="00270418" w:rsidRDefault="008C033D" w:rsidP="00270418">
            <w:pPr>
              <w:pStyle w:val="Akapitzlist"/>
              <w:numPr>
                <w:ilvl w:val="0"/>
                <w:numId w:val="4"/>
              </w:numPr>
              <w:spacing w:after="0" w:line="240" w:lineRule="auto"/>
              <w:rPr>
                <w:rFonts w:ascii="Calibri" w:eastAsia="Times New Roman" w:hAnsi="Calibri" w:cs="Calibri"/>
                <w:sz w:val="18"/>
                <w:szCs w:val="18"/>
                <w:lang w:eastAsia="pl-PL"/>
              </w:rPr>
            </w:pPr>
            <w:r w:rsidRPr="00270418">
              <w:rPr>
                <w:rFonts w:ascii="Calibri" w:eastAsia="Times New Roman" w:hAnsi="Calibri" w:cs="Calibri"/>
                <w:sz w:val="18"/>
                <w:szCs w:val="18"/>
                <w:lang w:eastAsia="pl-PL"/>
              </w:rPr>
              <w:t xml:space="preserve">zwrot kosztów budowy lub przebudowy związanej </w:t>
            </w:r>
            <w:r w:rsidR="00432479" w:rsidRPr="00270418">
              <w:rPr>
                <w:rFonts w:ascii="Calibri" w:eastAsia="Times New Roman" w:hAnsi="Calibri" w:cs="Calibri"/>
                <w:sz w:val="18"/>
                <w:szCs w:val="18"/>
                <w:lang w:eastAsia="pl-PL"/>
              </w:rPr>
              <w:br/>
            </w:r>
            <w:r w:rsidRPr="00270418">
              <w:rPr>
                <w:rFonts w:ascii="Calibri" w:eastAsia="Times New Roman" w:hAnsi="Calibri" w:cs="Calibri"/>
                <w:sz w:val="18"/>
                <w:szCs w:val="18"/>
                <w:lang w:eastAsia="pl-PL"/>
              </w:rPr>
              <w:t>z modernizacją obiektów i pomieszczeń zakładu, transportowych i administracyjnych (16,8 tys. osób),</w:t>
            </w:r>
          </w:p>
          <w:p w14:paraId="05A7E5D5" w14:textId="77777777" w:rsidR="00270418" w:rsidRDefault="008C033D" w:rsidP="00270418">
            <w:pPr>
              <w:pStyle w:val="Akapitzlist"/>
              <w:numPr>
                <w:ilvl w:val="0"/>
                <w:numId w:val="4"/>
              </w:numPr>
              <w:spacing w:after="0" w:line="240" w:lineRule="auto"/>
              <w:rPr>
                <w:rFonts w:ascii="Calibri" w:eastAsia="Times New Roman" w:hAnsi="Calibri" w:cs="Calibri"/>
                <w:sz w:val="18"/>
                <w:szCs w:val="18"/>
                <w:lang w:eastAsia="pl-PL"/>
              </w:rPr>
            </w:pPr>
            <w:r w:rsidRPr="00270418">
              <w:rPr>
                <w:rFonts w:ascii="Calibri" w:eastAsia="Times New Roman" w:hAnsi="Calibri" w:cs="Calibri"/>
                <w:sz w:val="18"/>
                <w:szCs w:val="18"/>
                <w:lang w:eastAsia="pl-PL"/>
              </w:rPr>
              <w:t>zadania zlecane (12,2 tys. osób);</w:t>
            </w:r>
          </w:p>
          <w:p w14:paraId="4C847CD1" w14:textId="77777777" w:rsidR="00270418" w:rsidRDefault="008C033D" w:rsidP="00270418">
            <w:pPr>
              <w:pStyle w:val="Akapitzlist"/>
              <w:numPr>
                <w:ilvl w:val="0"/>
                <w:numId w:val="4"/>
              </w:numPr>
              <w:spacing w:after="0" w:line="240" w:lineRule="auto"/>
              <w:rPr>
                <w:rFonts w:ascii="Calibri" w:eastAsia="Times New Roman" w:hAnsi="Calibri" w:cs="Calibri"/>
                <w:sz w:val="18"/>
                <w:szCs w:val="18"/>
                <w:lang w:eastAsia="pl-PL"/>
              </w:rPr>
            </w:pPr>
            <w:r w:rsidRPr="00270418">
              <w:rPr>
                <w:rFonts w:ascii="Calibri" w:eastAsia="Times New Roman" w:hAnsi="Calibri" w:cs="Calibri"/>
                <w:sz w:val="18"/>
                <w:szCs w:val="18"/>
                <w:lang w:eastAsia="pl-PL"/>
              </w:rPr>
              <w:t xml:space="preserve">- Przelewy redystrybucyjne do powiatów i województw </w:t>
            </w:r>
            <w:r w:rsidR="00432479" w:rsidRPr="00270418">
              <w:rPr>
                <w:rFonts w:ascii="Calibri" w:eastAsia="Times New Roman" w:hAnsi="Calibri" w:cs="Calibri"/>
                <w:sz w:val="18"/>
                <w:szCs w:val="18"/>
                <w:lang w:eastAsia="pl-PL"/>
              </w:rPr>
              <w:br/>
            </w:r>
            <w:r w:rsidRPr="00270418">
              <w:rPr>
                <w:rFonts w:ascii="Calibri" w:eastAsia="Times New Roman" w:hAnsi="Calibri" w:cs="Calibri"/>
                <w:sz w:val="18"/>
                <w:szCs w:val="18"/>
                <w:lang w:eastAsia="pl-PL"/>
              </w:rPr>
              <w:t>(7,8 tys. osób);</w:t>
            </w:r>
          </w:p>
          <w:p w14:paraId="5C183103" w14:textId="77777777" w:rsidR="00270418" w:rsidRDefault="008C033D" w:rsidP="00270418">
            <w:pPr>
              <w:pStyle w:val="Akapitzlist"/>
              <w:numPr>
                <w:ilvl w:val="0"/>
                <w:numId w:val="4"/>
              </w:numPr>
              <w:spacing w:after="0" w:line="240" w:lineRule="auto"/>
              <w:rPr>
                <w:rFonts w:ascii="Calibri" w:eastAsia="Times New Roman" w:hAnsi="Calibri" w:cs="Calibri"/>
                <w:sz w:val="18"/>
                <w:szCs w:val="18"/>
                <w:lang w:eastAsia="pl-PL"/>
              </w:rPr>
            </w:pPr>
            <w:r w:rsidRPr="00270418">
              <w:rPr>
                <w:rFonts w:ascii="Calibri" w:eastAsia="Times New Roman" w:hAnsi="Calibri" w:cs="Calibri"/>
                <w:sz w:val="18"/>
                <w:szCs w:val="18"/>
                <w:lang w:eastAsia="pl-PL"/>
              </w:rPr>
              <w:t>- Dofinansowanie do oprocentowania kredytów bankowych (3,7 tys. osób);</w:t>
            </w:r>
          </w:p>
          <w:p w14:paraId="0C437C11" w14:textId="225332D1" w:rsidR="008C033D" w:rsidRPr="00270418" w:rsidRDefault="008C033D" w:rsidP="00270418">
            <w:pPr>
              <w:pStyle w:val="Akapitzlist"/>
              <w:numPr>
                <w:ilvl w:val="0"/>
                <w:numId w:val="4"/>
              </w:numPr>
              <w:spacing w:after="0" w:line="240" w:lineRule="auto"/>
              <w:rPr>
                <w:rFonts w:ascii="Calibri" w:eastAsia="Times New Roman" w:hAnsi="Calibri" w:cs="Calibri"/>
                <w:sz w:val="18"/>
                <w:szCs w:val="18"/>
                <w:lang w:eastAsia="pl-PL"/>
              </w:rPr>
            </w:pPr>
            <w:r w:rsidRPr="00270418">
              <w:rPr>
                <w:rFonts w:ascii="Calibri" w:eastAsia="Times New Roman" w:hAnsi="Calibri" w:cs="Calibri"/>
                <w:sz w:val="18"/>
                <w:szCs w:val="18"/>
                <w:lang w:eastAsia="pl-PL"/>
              </w:rPr>
              <w:t>programy Rady Nadzorczej (1,9 tys. osób).</w:t>
            </w:r>
            <w:r w:rsidRPr="00270418">
              <w:rPr>
                <w:rFonts w:ascii="Calibri" w:eastAsia="Times New Roman" w:hAnsi="Calibri" w:cs="Calibri"/>
                <w:sz w:val="18"/>
                <w:szCs w:val="18"/>
                <w:lang w:eastAsia="pl-PL"/>
              </w:rPr>
              <w:br/>
              <w:t>Z udziałem dotacji budżetowej zrekompensowano 299 gminom dochody utracone na skutek zastosowania ustawowych zwolnień.</w:t>
            </w:r>
            <w:r w:rsidRPr="00270418">
              <w:rPr>
                <w:rFonts w:ascii="Calibri" w:eastAsia="Times New Roman" w:hAnsi="Calibri" w:cs="Calibri"/>
                <w:sz w:val="18"/>
                <w:szCs w:val="18"/>
                <w:lang w:eastAsia="pl-PL"/>
              </w:rPr>
              <w:br/>
              <w:t>Ponadto obszarze w tym PFRON realizował 5 projektów finansowanych ze środków UE.</w:t>
            </w:r>
          </w:p>
        </w:tc>
      </w:tr>
      <w:tr w:rsidR="00763763" w:rsidRPr="00852A5D" w14:paraId="1669B218" w14:textId="77777777" w:rsidTr="00852A5D">
        <w:trPr>
          <w:trHeight w:val="3844"/>
        </w:trPr>
        <w:tc>
          <w:tcPr>
            <w:tcW w:w="141" w:type="pct"/>
            <w:vMerge/>
            <w:tcBorders>
              <w:top w:val="single" w:sz="4" w:space="0" w:color="auto"/>
              <w:left w:val="single" w:sz="4" w:space="0" w:color="auto"/>
              <w:bottom w:val="single" w:sz="4" w:space="0" w:color="auto"/>
              <w:right w:val="single" w:sz="4" w:space="0" w:color="auto"/>
            </w:tcBorders>
            <w:vAlign w:val="center"/>
            <w:hideMark/>
          </w:tcPr>
          <w:p w14:paraId="2CF09C0E" w14:textId="77777777" w:rsidR="008C033D" w:rsidRPr="00852A5D" w:rsidRDefault="008C033D" w:rsidP="008C033D">
            <w:pPr>
              <w:spacing w:after="0" w:line="240" w:lineRule="auto"/>
              <w:rPr>
                <w:rFonts w:ascii="Calibri" w:eastAsia="Times New Roman" w:hAnsi="Calibri" w:cs="Calibri"/>
                <w:sz w:val="18"/>
                <w:szCs w:val="18"/>
                <w:lang w:eastAsia="pl-PL"/>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14:paraId="259F84ED" w14:textId="77777777" w:rsidR="008C033D" w:rsidRPr="00852A5D" w:rsidRDefault="008C033D" w:rsidP="008C033D">
            <w:pPr>
              <w:spacing w:after="0" w:line="240" w:lineRule="auto"/>
              <w:rPr>
                <w:rFonts w:ascii="Calibri" w:eastAsia="Times New Roman" w:hAnsi="Calibri" w:cs="Calibri"/>
                <w:sz w:val="18"/>
                <w:szCs w:val="18"/>
                <w:lang w:eastAsia="pl-PL"/>
              </w:rPr>
            </w:pPr>
          </w:p>
        </w:tc>
        <w:tc>
          <w:tcPr>
            <w:tcW w:w="824" w:type="pct"/>
            <w:tcBorders>
              <w:top w:val="single" w:sz="4" w:space="0" w:color="auto"/>
              <w:left w:val="nil"/>
              <w:bottom w:val="single" w:sz="4" w:space="0" w:color="auto"/>
              <w:right w:val="single" w:sz="4" w:space="0" w:color="auto"/>
            </w:tcBorders>
            <w:shd w:val="clear" w:color="auto" w:fill="auto"/>
            <w:hideMark/>
          </w:tcPr>
          <w:p w14:paraId="73BB48A5" w14:textId="77777777" w:rsidR="008C033D" w:rsidRPr="00852A5D" w:rsidRDefault="008C033D"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Liczba Osób Niepełnosprawnych objętych wsparciem przez PFRON w zakresie rehabilitacji zawodowej (SODiR + inne formy) / Liczba pracujących Osób Niepełnosprawnych w wieku produkcyjnym</w:t>
            </w:r>
          </w:p>
        </w:tc>
        <w:tc>
          <w:tcPr>
            <w:tcW w:w="493" w:type="pct"/>
            <w:tcBorders>
              <w:top w:val="single" w:sz="4" w:space="0" w:color="auto"/>
              <w:left w:val="nil"/>
              <w:bottom w:val="single" w:sz="4" w:space="0" w:color="auto"/>
              <w:right w:val="single" w:sz="4" w:space="0" w:color="auto"/>
            </w:tcBorders>
            <w:shd w:val="clear" w:color="auto" w:fill="auto"/>
            <w:hideMark/>
          </w:tcPr>
          <w:p w14:paraId="72DEC5E5" w14:textId="77777777" w:rsidR="008C033D" w:rsidRPr="00852A5D" w:rsidRDefault="008C033D"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 xml:space="preserve">Nie mniej niż </w:t>
            </w:r>
            <w:r w:rsidRPr="00852A5D">
              <w:rPr>
                <w:rFonts w:ascii="Calibri" w:eastAsia="Times New Roman" w:hAnsi="Calibri" w:cs="Calibri"/>
                <w:sz w:val="18"/>
                <w:szCs w:val="18"/>
                <w:lang w:eastAsia="pl-PL"/>
              </w:rPr>
              <w:br/>
              <w:t xml:space="preserve">w roku bazowym </w:t>
            </w:r>
            <w:r w:rsidRPr="00852A5D">
              <w:rPr>
                <w:rFonts w:ascii="Calibri" w:eastAsia="Times New Roman" w:hAnsi="Calibri" w:cs="Calibri"/>
                <w:sz w:val="18"/>
                <w:szCs w:val="18"/>
                <w:lang w:eastAsia="pl-PL"/>
              </w:rPr>
              <w:br/>
              <w:t>(88,4%)</w:t>
            </w:r>
          </w:p>
        </w:tc>
        <w:tc>
          <w:tcPr>
            <w:tcW w:w="381" w:type="pct"/>
            <w:tcBorders>
              <w:top w:val="single" w:sz="4" w:space="0" w:color="auto"/>
              <w:left w:val="nil"/>
              <w:bottom w:val="single" w:sz="4" w:space="0" w:color="auto"/>
              <w:right w:val="single" w:sz="4" w:space="0" w:color="auto"/>
            </w:tcBorders>
            <w:shd w:val="clear" w:color="auto" w:fill="auto"/>
            <w:hideMark/>
          </w:tcPr>
          <w:p w14:paraId="0EEBF980" w14:textId="76BF3F79" w:rsidR="005427F8" w:rsidRPr="00852A5D" w:rsidRDefault="008C033D"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86,97%</w:t>
            </w:r>
          </w:p>
          <w:p w14:paraId="675AC804" w14:textId="0B13BAA5" w:rsidR="005427F8" w:rsidRPr="00852A5D" w:rsidRDefault="005427F8" w:rsidP="006910A5">
            <w:pPr>
              <w:rPr>
                <w:rFonts w:ascii="Calibri" w:eastAsia="Times New Roman" w:hAnsi="Calibri" w:cs="Calibri"/>
                <w:sz w:val="18"/>
                <w:szCs w:val="18"/>
                <w:lang w:eastAsia="pl-PL"/>
              </w:rPr>
            </w:pPr>
          </w:p>
        </w:tc>
        <w:tc>
          <w:tcPr>
            <w:tcW w:w="995" w:type="pct"/>
            <w:vMerge/>
            <w:tcBorders>
              <w:top w:val="single" w:sz="4" w:space="0" w:color="auto"/>
              <w:left w:val="single" w:sz="4" w:space="0" w:color="auto"/>
              <w:bottom w:val="single" w:sz="4" w:space="0" w:color="auto"/>
              <w:right w:val="single" w:sz="4" w:space="0" w:color="auto"/>
            </w:tcBorders>
            <w:vAlign w:val="center"/>
            <w:hideMark/>
          </w:tcPr>
          <w:p w14:paraId="20B83BF7" w14:textId="77777777" w:rsidR="008C033D" w:rsidRPr="00852A5D" w:rsidRDefault="008C033D" w:rsidP="008C033D">
            <w:pPr>
              <w:spacing w:after="0" w:line="240" w:lineRule="auto"/>
              <w:rPr>
                <w:rFonts w:ascii="Calibri" w:eastAsia="Times New Roman" w:hAnsi="Calibri" w:cs="Calibri"/>
                <w:sz w:val="18"/>
                <w:szCs w:val="18"/>
                <w:lang w:eastAsia="pl-PL"/>
              </w:rPr>
            </w:pPr>
          </w:p>
        </w:tc>
        <w:tc>
          <w:tcPr>
            <w:tcW w:w="1593" w:type="pct"/>
            <w:vMerge/>
            <w:tcBorders>
              <w:top w:val="single" w:sz="4" w:space="0" w:color="auto"/>
              <w:left w:val="single" w:sz="4" w:space="0" w:color="auto"/>
              <w:bottom w:val="single" w:sz="4" w:space="0" w:color="auto"/>
              <w:right w:val="single" w:sz="4" w:space="0" w:color="auto"/>
            </w:tcBorders>
            <w:vAlign w:val="center"/>
            <w:hideMark/>
          </w:tcPr>
          <w:p w14:paraId="56E12588" w14:textId="77777777" w:rsidR="008C033D" w:rsidRPr="00852A5D" w:rsidRDefault="008C033D" w:rsidP="008C033D">
            <w:pPr>
              <w:spacing w:after="0" w:line="240" w:lineRule="auto"/>
              <w:rPr>
                <w:rFonts w:ascii="Calibri" w:eastAsia="Times New Roman" w:hAnsi="Calibri" w:cs="Calibri"/>
                <w:sz w:val="18"/>
                <w:szCs w:val="18"/>
                <w:lang w:eastAsia="pl-PL"/>
              </w:rPr>
            </w:pPr>
          </w:p>
        </w:tc>
      </w:tr>
      <w:tr w:rsidR="00763763" w:rsidRPr="00852A5D" w14:paraId="67708741" w14:textId="77777777" w:rsidTr="006910A5">
        <w:trPr>
          <w:trHeight w:val="1984"/>
        </w:trPr>
        <w:tc>
          <w:tcPr>
            <w:tcW w:w="141" w:type="pct"/>
            <w:tcBorders>
              <w:top w:val="single" w:sz="4" w:space="0" w:color="auto"/>
              <w:left w:val="single" w:sz="4" w:space="0" w:color="auto"/>
              <w:bottom w:val="single" w:sz="4" w:space="0" w:color="auto"/>
              <w:right w:val="single" w:sz="4" w:space="0" w:color="auto"/>
            </w:tcBorders>
            <w:shd w:val="clear" w:color="000000" w:fill="FFFFFF"/>
            <w:hideMark/>
          </w:tcPr>
          <w:p w14:paraId="6FE1F478" w14:textId="77777777" w:rsidR="008C033D" w:rsidRPr="00852A5D" w:rsidRDefault="008C033D"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lastRenderedPageBreak/>
              <w:t>2</w:t>
            </w:r>
          </w:p>
        </w:tc>
        <w:tc>
          <w:tcPr>
            <w:tcW w:w="573" w:type="pct"/>
            <w:tcBorders>
              <w:top w:val="single" w:sz="4" w:space="0" w:color="auto"/>
              <w:left w:val="nil"/>
              <w:bottom w:val="single" w:sz="4" w:space="0" w:color="auto"/>
              <w:right w:val="single" w:sz="4" w:space="0" w:color="auto"/>
            </w:tcBorders>
            <w:shd w:val="clear" w:color="auto" w:fill="auto"/>
            <w:hideMark/>
          </w:tcPr>
          <w:p w14:paraId="4A6C90CF" w14:textId="77777777" w:rsidR="008C033D" w:rsidRPr="00852A5D" w:rsidRDefault="008C033D"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 xml:space="preserve">K2. Systemowe wsparcie rodzin w funkcji socjalnej, wychowawczej i opiekuńczej </w:t>
            </w:r>
            <w:r w:rsidRPr="00852A5D">
              <w:rPr>
                <w:rFonts w:ascii="Calibri" w:eastAsia="Times New Roman" w:hAnsi="Calibri" w:cs="Calibri"/>
                <w:sz w:val="18"/>
                <w:szCs w:val="18"/>
                <w:lang w:eastAsia="pl-PL"/>
              </w:rPr>
              <w:br/>
              <w:t>(REHABILITACJA SPOŁECZNA)</w:t>
            </w:r>
          </w:p>
        </w:tc>
        <w:tc>
          <w:tcPr>
            <w:tcW w:w="824" w:type="pct"/>
            <w:tcBorders>
              <w:top w:val="single" w:sz="4" w:space="0" w:color="auto"/>
              <w:left w:val="nil"/>
              <w:bottom w:val="single" w:sz="4" w:space="0" w:color="auto"/>
              <w:right w:val="single" w:sz="4" w:space="0" w:color="auto"/>
            </w:tcBorders>
            <w:shd w:val="clear" w:color="auto" w:fill="auto"/>
            <w:hideMark/>
          </w:tcPr>
          <w:p w14:paraId="41FC40B9" w14:textId="77777777" w:rsidR="008C033D" w:rsidRPr="00852A5D" w:rsidRDefault="008C033D"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Liczba Osób Niepełnosprawnych objętych wsparciem przez PFRON w ramach rehabilitacji społecznej / Liczba Osób Niepełnosprawnych prawnie (wg Spisu Powszechnego 2011)</w:t>
            </w:r>
          </w:p>
        </w:tc>
        <w:tc>
          <w:tcPr>
            <w:tcW w:w="493" w:type="pct"/>
            <w:tcBorders>
              <w:top w:val="single" w:sz="4" w:space="0" w:color="auto"/>
              <w:left w:val="nil"/>
              <w:bottom w:val="single" w:sz="4" w:space="0" w:color="auto"/>
              <w:right w:val="single" w:sz="4" w:space="0" w:color="auto"/>
            </w:tcBorders>
            <w:shd w:val="clear" w:color="auto" w:fill="auto"/>
            <w:hideMark/>
          </w:tcPr>
          <w:p w14:paraId="054BC5CA" w14:textId="77777777" w:rsidR="008C033D" w:rsidRPr="00852A5D" w:rsidRDefault="008C033D"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 xml:space="preserve">Nie mniej niż </w:t>
            </w:r>
            <w:r w:rsidRPr="00852A5D">
              <w:rPr>
                <w:rFonts w:ascii="Calibri" w:eastAsia="Times New Roman" w:hAnsi="Calibri" w:cs="Calibri"/>
                <w:sz w:val="18"/>
                <w:szCs w:val="18"/>
                <w:lang w:eastAsia="pl-PL"/>
              </w:rPr>
              <w:br/>
              <w:t xml:space="preserve">w roku bazowym </w:t>
            </w:r>
            <w:r w:rsidRPr="00852A5D">
              <w:rPr>
                <w:rFonts w:ascii="Calibri" w:eastAsia="Times New Roman" w:hAnsi="Calibri" w:cs="Calibri"/>
                <w:sz w:val="18"/>
                <w:szCs w:val="18"/>
                <w:lang w:eastAsia="pl-PL"/>
              </w:rPr>
              <w:br/>
              <w:t>(21,0%)</w:t>
            </w:r>
          </w:p>
        </w:tc>
        <w:tc>
          <w:tcPr>
            <w:tcW w:w="381" w:type="pct"/>
            <w:tcBorders>
              <w:top w:val="single" w:sz="4" w:space="0" w:color="auto"/>
              <w:left w:val="nil"/>
              <w:bottom w:val="single" w:sz="4" w:space="0" w:color="auto"/>
              <w:right w:val="single" w:sz="4" w:space="0" w:color="auto"/>
            </w:tcBorders>
            <w:shd w:val="clear" w:color="auto" w:fill="auto"/>
            <w:hideMark/>
          </w:tcPr>
          <w:p w14:paraId="0FCA70C5" w14:textId="4CFB6AFE" w:rsidR="00BE6297" w:rsidRPr="00852A5D" w:rsidRDefault="008C033D"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22,60%</w:t>
            </w:r>
          </w:p>
          <w:p w14:paraId="26CB1033" w14:textId="77777777" w:rsidR="00BE6297" w:rsidRPr="00852A5D" w:rsidRDefault="00BE6297" w:rsidP="006910A5">
            <w:pPr>
              <w:rPr>
                <w:rFonts w:ascii="Calibri" w:eastAsia="Times New Roman" w:hAnsi="Calibri" w:cs="Calibri"/>
                <w:sz w:val="18"/>
                <w:szCs w:val="18"/>
                <w:lang w:eastAsia="pl-PL"/>
              </w:rPr>
            </w:pPr>
          </w:p>
          <w:p w14:paraId="46EF7BEC" w14:textId="6454DDBA" w:rsidR="00BE6297" w:rsidRPr="00852A5D" w:rsidRDefault="00BE6297" w:rsidP="006910A5">
            <w:pPr>
              <w:rPr>
                <w:rFonts w:ascii="Calibri" w:eastAsia="Times New Roman" w:hAnsi="Calibri" w:cs="Calibri"/>
                <w:sz w:val="18"/>
                <w:szCs w:val="18"/>
                <w:lang w:eastAsia="pl-PL"/>
              </w:rPr>
            </w:pPr>
          </w:p>
        </w:tc>
        <w:tc>
          <w:tcPr>
            <w:tcW w:w="995" w:type="pct"/>
            <w:tcBorders>
              <w:top w:val="single" w:sz="4" w:space="0" w:color="auto"/>
              <w:left w:val="nil"/>
              <w:bottom w:val="single" w:sz="4" w:space="0" w:color="auto"/>
              <w:right w:val="single" w:sz="4" w:space="0" w:color="auto"/>
            </w:tcBorders>
            <w:shd w:val="clear" w:color="auto" w:fill="auto"/>
            <w:hideMark/>
          </w:tcPr>
          <w:p w14:paraId="570939C6" w14:textId="77777777" w:rsidR="00270418" w:rsidRDefault="008C033D" w:rsidP="00270418">
            <w:pPr>
              <w:pStyle w:val="Akapitzlist"/>
              <w:numPr>
                <w:ilvl w:val="0"/>
                <w:numId w:val="3"/>
              </w:numPr>
              <w:spacing w:after="0" w:line="240" w:lineRule="auto"/>
              <w:rPr>
                <w:rFonts w:ascii="Calibri" w:eastAsia="Times New Roman" w:hAnsi="Calibri" w:cs="Calibri"/>
                <w:sz w:val="18"/>
                <w:szCs w:val="18"/>
                <w:lang w:eastAsia="pl-PL"/>
              </w:rPr>
            </w:pPr>
            <w:r w:rsidRPr="00270418">
              <w:rPr>
                <w:rFonts w:ascii="Calibri" w:eastAsia="Times New Roman" w:hAnsi="Calibri" w:cs="Calibri"/>
                <w:sz w:val="18"/>
                <w:szCs w:val="18"/>
                <w:lang w:eastAsia="pl-PL"/>
              </w:rPr>
              <w:t>- Programy Rady Nadzorczej w zakresie rehabilitacji społecznej, w tym: Aktywny Samorząd, Pomoc Osobom Niepełnosprawnym poszkodowanym w wyniku żywiołu, Rehabilitacja 25 plus,</w:t>
            </w:r>
            <w:r w:rsidR="0071544F" w:rsidRPr="00270418">
              <w:rPr>
                <w:rFonts w:ascii="Calibri" w:eastAsia="Times New Roman" w:hAnsi="Calibri" w:cs="Calibri"/>
                <w:sz w:val="18"/>
                <w:szCs w:val="18"/>
                <w:lang w:eastAsia="pl-PL"/>
              </w:rPr>
              <w:t xml:space="preserve"> </w:t>
            </w:r>
            <w:r w:rsidRPr="00270418">
              <w:rPr>
                <w:rFonts w:ascii="Calibri" w:eastAsia="Times New Roman" w:hAnsi="Calibri" w:cs="Calibri"/>
                <w:sz w:val="18"/>
                <w:szCs w:val="18"/>
                <w:lang w:eastAsia="pl-PL"/>
              </w:rPr>
              <w:t>Zajęcia klubowe w WTZ;</w:t>
            </w:r>
          </w:p>
          <w:p w14:paraId="57BDC7AC" w14:textId="77777777" w:rsidR="00270418" w:rsidRDefault="008C033D" w:rsidP="00270418">
            <w:pPr>
              <w:pStyle w:val="Akapitzlist"/>
              <w:numPr>
                <w:ilvl w:val="0"/>
                <w:numId w:val="3"/>
              </w:numPr>
              <w:spacing w:after="0" w:line="240" w:lineRule="auto"/>
              <w:rPr>
                <w:rFonts w:ascii="Calibri" w:eastAsia="Times New Roman" w:hAnsi="Calibri" w:cs="Calibri"/>
                <w:sz w:val="18"/>
                <w:szCs w:val="18"/>
                <w:lang w:eastAsia="pl-PL"/>
              </w:rPr>
            </w:pPr>
            <w:r w:rsidRPr="00270418">
              <w:rPr>
                <w:rFonts w:ascii="Calibri" w:eastAsia="Times New Roman" w:hAnsi="Calibri" w:cs="Calibri"/>
                <w:sz w:val="18"/>
                <w:szCs w:val="18"/>
                <w:lang w:eastAsia="pl-PL"/>
              </w:rPr>
              <w:t>Dofinansowanie kosztów szkoleń, o których mowa w art. 18 ustawy o języku migowym i innych środkach komunikowania się;</w:t>
            </w:r>
          </w:p>
          <w:p w14:paraId="0F7E1E4B" w14:textId="77777777" w:rsidR="00270418" w:rsidRDefault="008C033D" w:rsidP="00270418">
            <w:pPr>
              <w:pStyle w:val="Akapitzlist"/>
              <w:numPr>
                <w:ilvl w:val="0"/>
                <w:numId w:val="3"/>
              </w:numPr>
              <w:spacing w:after="0" w:line="240" w:lineRule="auto"/>
              <w:rPr>
                <w:rFonts w:ascii="Calibri" w:eastAsia="Times New Roman" w:hAnsi="Calibri" w:cs="Calibri"/>
                <w:sz w:val="18"/>
                <w:szCs w:val="18"/>
                <w:lang w:eastAsia="pl-PL"/>
              </w:rPr>
            </w:pPr>
            <w:r w:rsidRPr="00270418">
              <w:rPr>
                <w:rFonts w:ascii="Calibri" w:eastAsia="Times New Roman" w:hAnsi="Calibri" w:cs="Calibri"/>
                <w:sz w:val="18"/>
                <w:szCs w:val="18"/>
                <w:lang w:eastAsia="pl-PL"/>
              </w:rPr>
              <w:t xml:space="preserve">Refundacja kosztów wydawania certyfikatów przez podmioty uprawnione do szkolenia psów asystujących - art. 20b; </w:t>
            </w:r>
          </w:p>
          <w:p w14:paraId="35689071" w14:textId="77777777" w:rsidR="00270418" w:rsidRDefault="008C033D" w:rsidP="00270418">
            <w:pPr>
              <w:pStyle w:val="Akapitzlist"/>
              <w:numPr>
                <w:ilvl w:val="0"/>
                <w:numId w:val="3"/>
              </w:numPr>
              <w:spacing w:after="0" w:line="240" w:lineRule="auto"/>
              <w:rPr>
                <w:rFonts w:ascii="Calibri" w:eastAsia="Times New Roman" w:hAnsi="Calibri" w:cs="Calibri"/>
                <w:sz w:val="18"/>
                <w:szCs w:val="18"/>
                <w:lang w:eastAsia="pl-PL"/>
              </w:rPr>
            </w:pPr>
            <w:r w:rsidRPr="00270418">
              <w:rPr>
                <w:rFonts w:ascii="Calibri" w:eastAsia="Times New Roman" w:hAnsi="Calibri" w:cs="Calibri"/>
                <w:sz w:val="18"/>
                <w:szCs w:val="18"/>
                <w:lang w:eastAsia="pl-PL"/>
              </w:rPr>
              <w:t xml:space="preserve">Zadania zlecane; </w:t>
            </w:r>
          </w:p>
          <w:p w14:paraId="670114D9" w14:textId="77777777" w:rsidR="00270418" w:rsidRDefault="008C033D" w:rsidP="00270418">
            <w:pPr>
              <w:pStyle w:val="Akapitzlist"/>
              <w:numPr>
                <w:ilvl w:val="0"/>
                <w:numId w:val="3"/>
              </w:numPr>
              <w:spacing w:after="0" w:line="240" w:lineRule="auto"/>
              <w:rPr>
                <w:rFonts w:ascii="Calibri" w:eastAsia="Times New Roman" w:hAnsi="Calibri" w:cs="Calibri"/>
                <w:sz w:val="18"/>
                <w:szCs w:val="18"/>
                <w:lang w:eastAsia="pl-PL"/>
              </w:rPr>
            </w:pPr>
            <w:r w:rsidRPr="00270418">
              <w:rPr>
                <w:rFonts w:ascii="Calibri" w:eastAsia="Times New Roman" w:hAnsi="Calibri" w:cs="Calibri"/>
                <w:sz w:val="18"/>
                <w:szCs w:val="18"/>
                <w:lang w:eastAsia="pl-PL"/>
              </w:rPr>
              <w:t>Wyrównywanie różnic między regionami;</w:t>
            </w:r>
          </w:p>
          <w:p w14:paraId="6C71E6A5" w14:textId="4F352684" w:rsidR="008C033D" w:rsidRPr="00270418" w:rsidRDefault="008C033D" w:rsidP="00270418">
            <w:pPr>
              <w:pStyle w:val="Akapitzlist"/>
              <w:numPr>
                <w:ilvl w:val="0"/>
                <w:numId w:val="3"/>
              </w:numPr>
              <w:spacing w:after="0" w:line="240" w:lineRule="auto"/>
              <w:rPr>
                <w:rFonts w:ascii="Calibri" w:eastAsia="Times New Roman" w:hAnsi="Calibri" w:cs="Calibri"/>
                <w:sz w:val="18"/>
                <w:szCs w:val="18"/>
                <w:lang w:eastAsia="pl-PL"/>
              </w:rPr>
            </w:pPr>
            <w:r w:rsidRPr="00270418">
              <w:rPr>
                <w:rFonts w:ascii="Calibri" w:eastAsia="Times New Roman" w:hAnsi="Calibri" w:cs="Calibri"/>
                <w:sz w:val="18"/>
                <w:szCs w:val="18"/>
                <w:lang w:eastAsia="pl-PL"/>
              </w:rPr>
              <w:t>Przelewy redystrybucyjne do samorządów terytorialnych.</w:t>
            </w:r>
          </w:p>
        </w:tc>
        <w:tc>
          <w:tcPr>
            <w:tcW w:w="1593" w:type="pct"/>
            <w:tcBorders>
              <w:top w:val="single" w:sz="4" w:space="0" w:color="auto"/>
              <w:left w:val="nil"/>
              <w:bottom w:val="single" w:sz="4" w:space="0" w:color="auto"/>
              <w:right w:val="single" w:sz="4" w:space="0" w:color="auto"/>
            </w:tcBorders>
            <w:shd w:val="clear" w:color="000000" w:fill="FFFFFF"/>
            <w:hideMark/>
          </w:tcPr>
          <w:p w14:paraId="40A82C44" w14:textId="77777777" w:rsidR="00270418" w:rsidRDefault="008C033D"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W ramach rehabilitacji społecznej Osób Niepełnosprawnych realizowano zadania ustawowe, np.</w:t>
            </w:r>
          </w:p>
          <w:p w14:paraId="78D274C7" w14:textId="77777777" w:rsidR="00270418" w:rsidRDefault="008C033D" w:rsidP="00270418">
            <w:pPr>
              <w:pStyle w:val="Akapitzlist"/>
              <w:numPr>
                <w:ilvl w:val="0"/>
                <w:numId w:val="2"/>
              </w:numPr>
              <w:spacing w:after="0" w:line="240" w:lineRule="auto"/>
              <w:rPr>
                <w:rFonts w:ascii="Calibri" w:eastAsia="Times New Roman" w:hAnsi="Calibri" w:cs="Calibri"/>
                <w:sz w:val="18"/>
                <w:szCs w:val="18"/>
                <w:lang w:eastAsia="pl-PL"/>
              </w:rPr>
            </w:pPr>
            <w:r w:rsidRPr="00270418">
              <w:rPr>
                <w:rFonts w:ascii="Calibri" w:eastAsia="Times New Roman" w:hAnsi="Calibri" w:cs="Calibri"/>
                <w:sz w:val="18"/>
                <w:szCs w:val="18"/>
                <w:lang w:eastAsia="pl-PL"/>
              </w:rPr>
              <w:t>- przelewy redystrybucyjne do samorządów powiatowych i wojewódzkich (455,6 tys. osób);</w:t>
            </w:r>
          </w:p>
          <w:p w14:paraId="182296CE" w14:textId="77777777" w:rsidR="00270418" w:rsidRDefault="008C033D" w:rsidP="00270418">
            <w:pPr>
              <w:pStyle w:val="Akapitzlist"/>
              <w:numPr>
                <w:ilvl w:val="0"/>
                <w:numId w:val="2"/>
              </w:numPr>
              <w:spacing w:after="0" w:line="240" w:lineRule="auto"/>
              <w:rPr>
                <w:rFonts w:ascii="Calibri" w:eastAsia="Times New Roman" w:hAnsi="Calibri" w:cs="Calibri"/>
                <w:sz w:val="18"/>
                <w:szCs w:val="18"/>
                <w:lang w:eastAsia="pl-PL"/>
              </w:rPr>
            </w:pPr>
            <w:r w:rsidRPr="00270418">
              <w:rPr>
                <w:rFonts w:ascii="Calibri" w:eastAsia="Times New Roman" w:hAnsi="Calibri" w:cs="Calibri"/>
                <w:sz w:val="18"/>
                <w:szCs w:val="18"/>
                <w:lang w:eastAsia="pl-PL"/>
              </w:rPr>
              <w:t>zadania zlecane (193,6 tys. osób);</w:t>
            </w:r>
          </w:p>
          <w:p w14:paraId="5C8271AD" w14:textId="77777777" w:rsidR="00270418" w:rsidRDefault="008C033D" w:rsidP="00270418">
            <w:pPr>
              <w:pStyle w:val="Akapitzlist"/>
              <w:numPr>
                <w:ilvl w:val="0"/>
                <w:numId w:val="2"/>
              </w:numPr>
              <w:spacing w:after="0" w:line="240" w:lineRule="auto"/>
              <w:rPr>
                <w:rFonts w:ascii="Calibri" w:eastAsia="Times New Roman" w:hAnsi="Calibri" w:cs="Calibri"/>
                <w:sz w:val="18"/>
                <w:szCs w:val="18"/>
                <w:lang w:eastAsia="pl-PL"/>
              </w:rPr>
            </w:pPr>
            <w:r w:rsidRPr="00270418">
              <w:rPr>
                <w:rFonts w:ascii="Calibri" w:eastAsia="Times New Roman" w:hAnsi="Calibri" w:cs="Calibri"/>
                <w:sz w:val="18"/>
                <w:szCs w:val="18"/>
                <w:lang w:eastAsia="pl-PL"/>
              </w:rPr>
              <w:t>programy Rady Nadzorczej (25,9 tys. osób);</w:t>
            </w:r>
          </w:p>
          <w:p w14:paraId="60954467" w14:textId="77777777" w:rsidR="00270418" w:rsidRDefault="008C033D" w:rsidP="00270418">
            <w:pPr>
              <w:pStyle w:val="Akapitzlist"/>
              <w:numPr>
                <w:ilvl w:val="0"/>
                <w:numId w:val="2"/>
              </w:numPr>
              <w:spacing w:after="0" w:line="240" w:lineRule="auto"/>
              <w:rPr>
                <w:rFonts w:ascii="Calibri" w:eastAsia="Times New Roman" w:hAnsi="Calibri" w:cs="Calibri"/>
                <w:sz w:val="18"/>
                <w:szCs w:val="18"/>
                <w:lang w:eastAsia="pl-PL"/>
              </w:rPr>
            </w:pPr>
            <w:r w:rsidRPr="00270418">
              <w:rPr>
                <w:rFonts w:ascii="Calibri" w:eastAsia="Times New Roman" w:hAnsi="Calibri" w:cs="Calibri"/>
                <w:sz w:val="18"/>
                <w:szCs w:val="18"/>
                <w:lang w:eastAsia="pl-PL"/>
              </w:rPr>
              <w:t>wyrównywanie różnic między regionami III (29,0 tys. osób);</w:t>
            </w:r>
          </w:p>
          <w:p w14:paraId="68AA46F1" w14:textId="6EB8BAB1" w:rsidR="008C033D" w:rsidRPr="00270418" w:rsidRDefault="008C033D" w:rsidP="00270418">
            <w:pPr>
              <w:pStyle w:val="Akapitzlist"/>
              <w:numPr>
                <w:ilvl w:val="0"/>
                <w:numId w:val="2"/>
              </w:numPr>
              <w:spacing w:after="0" w:line="240" w:lineRule="auto"/>
              <w:rPr>
                <w:rFonts w:ascii="Calibri" w:eastAsia="Times New Roman" w:hAnsi="Calibri" w:cs="Calibri"/>
                <w:sz w:val="18"/>
                <w:szCs w:val="18"/>
                <w:lang w:eastAsia="pl-PL"/>
              </w:rPr>
            </w:pPr>
            <w:r w:rsidRPr="00270418">
              <w:rPr>
                <w:rFonts w:ascii="Calibri" w:eastAsia="Times New Roman" w:hAnsi="Calibri" w:cs="Calibri"/>
                <w:sz w:val="18"/>
                <w:szCs w:val="18"/>
                <w:lang w:eastAsia="pl-PL"/>
              </w:rPr>
              <w:t>dofinansowanie kosztów szkoleń, o których mowa w art. 18 ustawy o języku migowym i innych środkach komunikowania się (3,5 tys. osób).</w:t>
            </w:r>
            <w:r w:rsidRPr="00270418">
              <w:rPr>
                <w:rFonts w:ascii="Calibri" w:eastAsia="Times New Roman" w:hAnsi="Calibri" w:cs="Calibri"/>
                <w:sz w:val="18"/>
                <w:szCs w:val="18"/>
                <w:lang w:eastAsia="pl-PL"/>
              </w:rPr>
              <w:br/>
              <w:t>Równolegle z działaniami ustawowymi realizowano 3 projekty finansowane ze środków UE zbieżne z celem.</w:t>
            </w:r>
          </w:p>
        </w:tc>
      </w:tr>
      <w:tr w:rsidR="00763763" w:rsidRPr="00852A5D" w14:paraId="3110A4EF" w14:textId="77777777" w:rsidTr="006910A5">
        <w:trPr>
          <w:trHeight w:val="1724"/>
        </w:trPr>
        <w:tc>
          <w:tcPr>
            <w:tcW w:w="141" w:type="pct"/>
            <w:vMerge w:val="restart"/>
            <w:tcBorders>
              <w:top w:val="nil"/>
              <w:left w:val="single" w:sz="4" w:space="0" w:color="auto"/>
              <w:bottom w:val="single" w:sz="4" w:space="0" w:color="000000"/>
              <w:right w:val="single" w:sz="4" w:space="0" w:color="auto"/>
            </w:tcBorders>
            <w:shd w:val="clear" w:color="000000" w:fill="FFFFFF"/>
            <w:hideMark/>
          </w:tcPr>
          <w:p w14:paraId="6301C48B" w14:textId="77777777" w:rsidR="005427F8" w:rsidRPr="00852A5D" w:rsidRDefault="005427F8"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3</w:t>
            </w:r>
          </w:p>
        </w:tc>
        <w:tc>
          <w:tcPr>
            <w:tcW w:w="573" w:type="pct"/>
            <w:vMerge w:val="restart"/>
            <w:tcBorders>
              <w:top w:val="nil"/>
              <w:left w:val="single" w:sz="4" w:space="0" w:color="auto"/>
              <w:bottom w:val="single" w:sz="4" w:space="0" w:color="auto"/>
              <w:right w:val="single" w:sz="4" w:space="0" w:color="auto"/>
            </w:tcBorders>
            <w:shd w:val="clear" w:color="auto" w:fill="auto"/>
            <w:hideMark/>
          </w:tcPr>
          <w:p w14:paraId="55DDF2F8" w14:textId="77777777" w:rsidR="005427F8" w:rsidRPr="00852A5D" w:rsidRDefault="005427F8"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F1. Poprawa efektywności i skuteczności pozyskiwania środków finansowych</w:t>
            </w:r>
          </w:p>
        </w:tc>
        <w:tc>
          <w:tcPr>
            <w:tcW w:w="824" w:type="pct"/>
            <w:tcBorders>
              <w:top w:val="nil"/>
              <w:left w:val="nil"/>
              <w:bottom w:val="single" w:sz="4" w:space="0" w:color="auto"/>
              <w:right w:val="single" w:sz="4" w:space="0" w:color="auto"/>
            </w:tcBorders>
            <w:shd w:val="clear" w:color="auto" w:fill="auto"/>
            <w:hideMark/>
          </w:tcPr>
          <w:p w14:paraId="3EBEF234" w14:textId="77777777" w:rsidR="005427F8" w:rsidRPr="00852A5D" w:rsidRDefault="005427F8"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Wskaźnik faktycznej realizacji przychodów: Kwota wpłat dokonanych / Kwota wpłat zadeklarowanych oraz wynikających z decyzji określających, przypisujących zobowiązanie (w rozpatrywanym okresie)</w:t>
            </w:r>
          </w:p>
        </w:tc>
        <w:tc>
          <w:tcPr>
            <w:tcW w:w="493" w:type="pct"/>
            <w:tcBorders>
              <w:top w:val="nil"/>
              <w:left w:val="nil"/>
              <w:bottom w:val="single" w:sz="4" w:space="0" w:color="auto"/>
              <w:right w:val="single" w:sz="4" w:space="0" w:color="auto"/>
            </w:tcBorders>
            <w:shd w:val="clear" w:color="auto" w:fill="auto"/>
            <w:hideMark/>
          </w:tcPr>
          <w:p w14:paraId="3E5E9420" w14:textId="77777777" w:rsidR="005427F8" w:rsidRPr="00852A5D" w:rsidRDefault="005427F8"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 xml:space="preserve">Propozycja przedziału </w:t>
            </w:r>
            <w:r w:rsidRPr="00852A5D">
              <w:rPr>
                <w:rFonts w:ascii="Calibri" w:eastAsia="Times New Roman" w:hAnsi="Calibri" w:cs="Calibri"/>
                <w:sz w:val="18"/>
                <w:szCs w:val="18"/>
                <w:lang w:eastAsia="pl-PL"/>
              </w:rPr>
              <w:br/>
              <w:t>99,5%-100%</w:t>
            </w:r>
          </w:p>
        </w:tc>
        <w:tc>
          <w:tcPr>
            <w:tcW w:w="381" w:type="pct"/>
            <w:tcBorders>
              <w:top w:val="nil"/>
              <w:left w:val="nil"/>
              <w:bottom w:val="single" w:sz="4" w:space="0" w:color="auto"/>
              <w:right w:val="single" w:sz="4" w:space="0" w:color="auto"/>
            </w:tcBorders>
            <w:shd w:val="clear" w:color="auto" w:fill="auto"/>
            <w:hideMark/>
          </w:tcPr>
          <w:p w14:paraId="4D65644B" w14:textId="77777777" w:rsidR="005427F8" w:rsidRPr="00852A5D" w:rsidRDefault="005427F8"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100,14%</w:t>
            </w:r>
          </w:p>
        </w:tc>
        <w:tc>
          <w:tcPr>
            <w:tcW w:w="995" w:type="pct"/>
            <w:tcBorders>
              <w:top w:val="nil"/>
              <w:left w:val="nil"/>
              <w:bottom w:val="single" w:sz="4" w:space="0" w:color="auto"/>
              <w:right w:val="single" w:sz="4" w:space="0" w:color="auto"/>
            </w:tcBorders>
            <w:shd w:val="clear" w:color="auto" w:fill="auto"/>
            <w:hideMark/>
          </w:tcPr>
          <w:p w14:paraId="7A33BFA2" w14:textId="77777777" w:rsidR="00270418" w:rsidRDefault="005427F8" w:rsidP="00270418">
            <w:pPr>
              <w:pStyle w:val="Akapitzlist"/>
              <w:numPr>
                <w:ilvl w:val="0"/>
                <w:numId w:val="1"/>
              </w:numPr>
              <w:spacing w:after="0" w:line="240" w:lineRule="auto"/>
              <w:rPr>
                <w:rFonts w:ascii="Calibri" w:eastAsia="Times New Roman" w:hAnsi="Calibri" w:cs="Calibri"/>
                <w:sz w:val="18"/>
                <w:szCs w:val="18"/>
                <w:lang w:eastAsia="pl-PL"/>
              </w:rPr>
            </w:pPr>
            <w:r w:rsidRPr="00270418">
              <w:rPr>
                <w:rFonts w:ascii="Calibri" w:eastAsia="Times New Roman" w:hAnsi="Calibri" w:cs="Calibri"/>
                <w:sz w:val="18"/>
                <w:szCs w:val="18"/>
                <w:lang w:eastAsia="pl-PL"/>
              </w:rPr>
              <w:t xml:space="preserve">Ewidencja pracodawców zobowiązanych do wpłat na PFRON;  </w:t>
            </w:r>
          </w:p>
          <w:p w14:paraId="6F34235B" w14:textId="77777777" w:rsidR="00270418" w:rsidRDefault="005427F8" w:rsidP="00270418">
            <w:pPr>
              <w:pStyle w:val="Akapitzlist"/>
              <w:numPr>
                <w:ilvl w:val="0"/>
                <w:numId w:val="1"/>
              </w:numPr>
              <w:spacing w:after="0" w:line="240" w:lineRule="auto"/>
              <w:rPr>
                <w:rFonts w:ascii="Calibri" w:eastAsia="Times New Roman" w:hAnsi="Calibri" w:cs="Calibri"/>
                <w:sz w:val="18"/>
                <w:szCs w:val="18"/>
                <w:lang w:eastAsia="pl-PL"/>
              </w:rPr>
            </w:pPr>
            <w:r w:rsidRPr="00270418">
              <w:rPr>
                <w:rFonts w:ascii="Calibri" w:eastAsia="Times New Roman" w:hAnsi="Calibri" w:cs="Calibri"/>
                <w:sz w:val="18"/>
                <w:szCs w:val="18"/>
                <w:lang w:eastAsia="pl-PL"/>
              </w:rPr>
              <w:t xml:space="preserve">Monitorowanie zaległości we wpłatach; </w:t>
            </w:r>
          </w:p>
          <w:p w14:paraId="45C574D3" w14:textId="697601E8" w:rsidR="005427F8" w:rsidRPr="00270418" w:rsidRDefault="005427F8" w:rsidP="00270418">
            <w:pPr>
              <w:pStyle w:val="Akapitzlist"/>
              <w:numPr>
                <w:ilvl w:val="0"/>
                <w:numId w:val="1"/>
              </w:numPr>
              <w:spacing w:after="0" w:line="240" w:lineRule="auto"/>
              <w:rPr>
                <w:rFonts w:ascii="Calibri" w:eastAsia="Times New Roman" w:hAnsi="Calibri" w:cs="Calibri"/>
                <w:sz w:val="18"/>
                <w:szCs w:val="18"/>
                <w:lang w:eastAsia="pl-PL"/>
              </w:rPr>
            </w:pPr>
            <w:r w:rsidRPr="00270418">
              <w:rPr>
                <w:rFonts w:ascii="Calibri" w:eastAsia="Times New Roman" w:hAnsi="Calibri" w:cs="Calibri"/>
                <w:sz w:val="18"/>
                <w:szCs w:val="18"/>
                <w:lang w:eastAsia="pl-PL"/>
              </w:rPr>
              <w:t>Monitorowanie poprawności wykorzystania ulg z tytułu art. 22 ustawy o rehabilitacji.</w:t>
            </w:r>
          </w:p>
        </w:tc>
        <w:tc>
          <w:tcPr>
            <w:tcW w:w="1593" w:type="pct"/>
            <w:vMerge w:val="restart"/>
            <w:tcBorders>
              <w:top w:val="nil"/>
              <w:left w:val="single" w:sz="4" w:space="0" w:color="auto"/>
              <w:bottom w:val="single" w:sz="4" w:space="0" w:color="000000"/>
              <w:right w:val="single" w:sz="4" w:space="0" w:color="auto"/>
            </w:tcBorders>
            <w:shd w:val="clear" w:color="000000" w:fill="FFFFFF"/>
            <w:hideMark/>
          </w:tcPr>
          <w:p w14:paraId="431FABDA" w14:textId="6C5D5573" w:rsidR="005427F8" w:rsidRPr="00852A5D" w:rsidRDefault="005427F8"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 xml:space="preserve">Prowadzono bieżącą ewidencję pracodawców zobowiązanych </w:t>
            </w:r>
            <w:r w:rsidR="00432479" w:rsidRPr="00852A5D">
              <w:rPr>
                <w:rFonts w:ascii="Calibri" w:eastAsia="Times New Roman" w:hAnsi="Calibri" w:cs="Calibri"/>
                <w:sz w:val="18"/>
                <w:szCs w:val="18"/>
                <w:lang w:eastAsia="pl-PL"/>
              </w:rPr>
              <w:br/>
            </w:r>
            <w:r w:rsidRPr="00852A5D">
              <w:rPr>
                <w:rFonts w:ascii="Calibri" w:eastAsia="Times New Roman" w:hAnsi="Calibri" w:cs="Calibri"/>
                <w:sz w:val="18"/>
                <w:szCs w:val="18"/>
                <w:lang w:eastAsia="pl-PL"/>
              </w:rPr>
              <w:t>do wpłat na PFRON, jak również monitorowanie zaległości we wpłatach. Zidentyfikowano ponad 1300 nowych podmiotów niewypełniających obowiązku wpłat.</w:t>
            </w:r>
            <w:r w:rsidRPr="00852A5D">
              <w:rPr>
                <w:rFonts w:ascii="Calibri" w:eastAsia="Times New Roman" w:hAnsi="Calibri" w:cs="Calibri"/>
                <w:sz w:val="18"/>
                <w:szCs w:val="18"/>
                <w:lang w:eastAsia="pl-PL"/>
              </w:rPr>
              <w:br/>
              <w:t>Fundusz zintensyfikował działania w zakresie postępowań administracyjnych i wydawania decyzji zwrotowych, skutkujących wzrostem stanu należności PFRON.</w:t>
            </w:r>
            <w:r w:rsidRPr="00852A5D">
              <w:rPr>
                <w:rFonts w:ascii="Calibri" w:eastAsia="Times New Roman" w:hAnsi="Calibri" w:cs="Calibri"/>
                <w:sz w:val="18"/>
                <w:szCs w:val="18"/>
                <w:lang w:eastAsia="pl-PL"/>
              </w:rPr>
              <w:br/>
              <w:t>Intensywnie weryfikowano opłacanie składek ubezp</w:t>
            </w:r>
            <w:r w:rsidR="00432479" w:rsidRPr="00852A5D">
              <w:rPr>
                <w:rFonts w:ascii="Calibri" w:eastAsia="Times New Roman" w:hAnsi="Calibri" w:cs="Calibri"/>
                <w:sz w:val="18"/>
                <w:szCs w:val="18"/>
                <w:lang w:eastAsia="pl-PL"/>
              </w:rPr>
              <w:t>ieczeniowych</w:t>
            </w:r>
            <w:r w:rsidRPr="00852A5D">
              <w:rPr>
                <w:rFonts w:ascii="Calibri" w:eastAsia="Times New Roman" w:hAnsi="Calibri" w:cs="Calibri"/>
                <w:sz w:val="18"/>
                <w:szCs w:val="18"/>
                <w:lang w:eastAsia="pl-PL"/>
              </w:rPr>
              <w:t xml:space="preserve"> przez podmioty ubiegające się o dofinansowanie do wynagrodzeń </w:t>
            </w:r>
            <w:r w:rsidR="00763763" w:rsidRPr="00852A5D">
              <w:rPr>
                <w:rFonts w:ascii="Calibri" w:eastAsia="Times New Roman" w:hAnsi="Calibri" w:cs="Calibri"/>
                <w:sz w:val="18"/>
                <w:szCs w:val="18"/>
                <w:lang w:eastAsia="pl-PL"/>
              </w:rPr>
              <w:t>P</w:t>
            </w:r>
            <w:r w:rsidRPr="00852A5D">
              <w:rPr>
                <w:rFonts w:ascii="Calibri" w:eastAsia="Times New Roman" w:hAnsi="Calibri" w:cs="Calibri"/>
                <w:sz w:val="18"/>
                <w:szCs w:val="18"/>
                <w:lang w:eastAsia="pl-PL"/>
              </w:rPr>
              <w:t xml:space="preserve">racowników z </w:t>
            </w:r>
            <w:r w:rsidR="00763763" w:rsidRPr="00852A5D">
              <w:rPr>
                <w:rFonts w:ascii="Calibri" w:eastAsia="Times New Roman" w:hAnsi="Calibri" w:cs="Calibri"/>
                <w:sz w:val="18"/>
                <w:szCs w:val="18"/>
                <w:lang w:eastAsia="pl-PL"/>
              </w:rPr>
              <w:t>Niepe</w:t>
            </w:r>
            <w:r w:rsidRPr="00852A5D">
              <w:rPr>
                <w:rFonts w:ascii="Calibri" w:eastAsia="Times New Roman" w:hAnsi="Calibri" w:cs="Calibri"/>
                <w:sz w:val="18"/>
                <w:szCs w:val="18"/>
                <w:lang w:eastAsia="pl-PL"/>
              </w:rPr>
              <w:t>łnosprawnościami.</w:t>
            </w:r>
            <w:r w:rsidRPr="00852A5D">
              <w:rPr>
                <w:rFonts w:ascii="Calibri" w:eastAsia="Times New Roman" w:hAnsi="Calibri" w:cs="Calibri"/>
                <w:sz w:val="18"/>
                <w:szCs w:val="18"/>
                <w:lang w:eastAsia="pl-PL"/>
              </w:rPr>
              <w:br/>
              <w:t>We współpracy z organami skarbowymi prowadzono postępowania windykacyjne i egzekucyjne.</w:t>
            </w:r>
          </w:p>
        </w:tc>
      </w:tr>
      <w:tr w:rsidR="00763763" w:rsidRPr="00852A5D" w14:paraId="16654BA9" w14:textId="77777777" w:rsidTr="006910A5">
        <w:trPr>
          <w:trHeight w:val="997"/>
        </w:trPr>
        <w:tc>
          <w:tcPr>
            <w:tcW w:w="141" w:type="pct"/>
            <w:vMerge/>
            <w:tcBorders>
              <w:top w:val="nil"/>
              <w:left w:val="single" w:sz="4" w:space="0" w:color="auto"/>
              <w:bottom w:val="single" w:sz="4" w:space="0" w:color="auto"/>
              <w:right w:val="single" w:sz="4" w:space="0" w:color="auto"/>
            </w:tcBorders>
            <w:hideMark/>
          </w:tcPr>
          <w:p w14:paraId="66943D63" w14:textId="77777777" w:rsidR="005427F8" w:rsidRPr="00852A5D" w:rsidRDefault="005427F8" w:rsidP="006910A5">
            <w:pPr>
              <w:spacing w:after="0" w:line="240" w:lineRule="auto"/>
              <w:rPr>
                <w:rFonts w:ascii="Calibri" w:eastAsia="Times New Roman" w:hAnsi="Calibri" w:cs="Calibri"/>
                <w:sz w:val="18"/>
                <w:szCs w:val="18"/>
                <w:lang w:eastAsia="pl-PL"/>
              </w:rPr>
            </w:pPr>
          </w:p>
        </w:tc>
        <w:tc>
          <w:tcPr>
            <w:tcW w:w="573" w:type="pct"/>
            <w:vMerge/>
            <w:tcBorders>
              <w:top w:val="nil"/>
              <w:left w:val="single" w:sz="4" w:space="0" w:color="auto"/>
              <w:bottom w:val="single" w:sz="4" w:space="0" w:color="auto"/>
              <w:right w:val="single" w:sz="4" w:space="0" w:color="auto"/>
            </w:tcBorders>
            <w:hideMark/>
          </w:tcPr>
          <w:p w14:paraId="6003F3A0" w14:textId="77777777" w:rsidR="005427F8" w:rsidRPr="00852A5D" w:rsidRDefault="005427F8" w:rsidP="006910A5">
            <w:pPr>
              <w:spacing w:after="0" w:line="240" w:lineRule="auto"/>
              <w:rPr>
                <w:rFonts w:ascii="Calibri" w:eastAsia="Times New Roman" w:hAnsi="Calibri" w:cs="Calibri"/>
                <w:sz w:val="18"/>
                <w:szCs w:val="18"/>
                <w:lang w:eastAsia="pl-PL"/>
              </w:rPr>
            </w:pPr>
          </w:p>
        </w:tc>
        <w:tc>
          <w:tcPr>
            <w:tcW w:w="824" w:type="pct"/>
            <w:tcBorders>
              <w:top w:val="nil"/>
              <w:left w:val="nil"/>
              <w:bottom w:val="single" w:sz="4" w:space="0" w:color="auto"/>
              <w:right w:val="single" w:sz="4" w:space="0" w:color="auto"/>
            </w:tcBorders>
            <w:shd w:val="clear" w:color="auto" w:fill="auto"/>
            <w:hideMark/>
          </w:tcPr>
          <w:p w14:paraId="12A63A36" w14:textId="77777777" w:rsidR="005427F8" w:rsidRPr="00852A5D" w:rsidRDefault="005427F8"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Kwota odzyskana w wyniku działań windykacyjnych / Kapitał należności objętych postępowaniem windykacyjnym</w:t>
            </w:r>
          </w:p>
        </w:tc>
        <w:tc>
          <w:tcPr>
            <w:tcW w:w="493" w:type="pct"/>
            <w:tcBorders>
              <w:top w:val="nil"/>
              <w:left w:val="nil"/>
              <w:bottom w:val="single" w:sz="4" w:space="0" w:color="auto"/>
              <w:right w:val="single" w:sz="4" w:space="0" w:color="auto"/>
            </w:tcBorders>
            <w:shd w:val="clear" w:color="auto" w:fill="auto"/>
            <w:hideMark/>
          </w:tcPr>
          <w:p w14:paraId="0E13F17A" w14:textId="77777777" w:rsidR="005427F8" w:rsidRPr="00852A5D" w:rsidRDefault="005427F8"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 xml:space="preserve">Wzrost o 5% </w:t>
            </w:r>
            <w:r w:rsidRPr="00852A5D">
              <w:rPr>
                <w:rFonts w:ascii="Calibri" w:eastAsia="Times New Roman" w:hAnsi="Calibri" w:cs="Calibri"/>
                <w:sz w:val="18"/>
                <w:szCs w:val="18"/>
                <w:lang w:eastAsia="pl-PL"/>
              </w:rPr>
              <w:br/>
              <w:t xml:space="preserve">w stosunku do </w:t>
            </w:r>
            <w:r w:rsidRPr="00852A5D">
              <w:rPr>
                <w:rFonts w:ascii="Calibri" w:eastAsia="Times New Roman" w:hAnsi="Calibri" w:cs="Calibri"/>
                <w:sz w:val="18"/>
                <w:szCs w:val="18"/>
                <w:lang w:eastAsia="pl-PL"/>
              </w:rPr>
              <w:br/>
              <w:t>roku 2018</w:t>
            </w:r>
          </w:p>
        </w:tc>
        <w:tc>
          <w:tcPr>
            <w:tcW w:w="381" w:type="pct"/>
            <w:tcBorders>
              <w:top w:val="nil"/>
              <w:left w:val="nil"/>
              <w:bottom w:val="single" w:sz="4" w:space="0" w:color="auto"/>
              <w:right w:val="single" w:sz="4" w:space="0" w:color="auto"/>
            </w:tcBorders>
            <w:shd w:val="clear" w:color="auto" w:fill="auto"/>
            <w:hideMark/>
          </w:tcPr>
          <w:p w14:paraId="2E239037" w14:textId="77777777" w:rsidR="005427F8" w:rsidRPr="00852A5D" w:rsidRDefault="005427F8"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17,02%</w:t>
            </w:r>
          </w:p>
        </w:tc>
        <w:tc>
          <w:tcPr>
            <w:tcW w:w="995" w:type="pct"/>
            <w:tcBorders>
              <w:top w:val="nil"/>
              <w:left w:val="nil"/>
              <w:bottom w:val="single" w:sz="4" w:space="0" w:color="auto"/>
              <w:right w:val="single" w:sz="4" w:space="0" w:color="auto"/>
            </w:tcBorders>
            <w:shd w:val="clear" w:color="auto" w:fill="auto"/>
            <w:hideMark/>
          </w:tcPr>
          <w:p w14:paraId="25605EFB" w14:textId="77777777" w:rsidR="005427F8" w:rsidRPr="00852A5D" w:rsidRDefault="005427F8"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 Windykacja i egzekucja należności</w:t>
            </w:r>
          </w:p>
        </w:tc>
        <w:tc>
          <w:tcPr>
            <w:tcW w:w="1593" w:type="pct"/>
            <w:vMerge/>
            <w:tcBorders>
              <w:top w:val="nil"/>
              <w:left w:val="single" w:sz="4" w:space="0" w:color="auto"/>
              <w:bottom w:val="single" w:sz="4" w:space="0" w:color="auto"/>
              <w:right w:val="single" w:sz="4" w:space="0" w:color="auto"/>
            </w:tcBorders>
            <w:hideMark/>
          </w:tcPr>
          <w:p w14:paraId="7D288438" w14:textId="77777777" w:rsidR="005427F8" w:rsidRPr="00852A5D" w:rsidRDefault="005427F8" w:rsidP="006910A5">
            <w:pPr>
              <w:spacing w:after="0" w:line="240" w:lineRule="auto"/>
              <w:rPr>
                <w:rFonts w:ascii="Calibri" w:eastAsia="Times New Roman" w:hAnsi="Calibri" w:cs="Calibri"/>
                <w:sz w:val="18"/>
                <w:szCs w:val="18"/>
                <w:lang w:eastAsia="pl-PL"/>
              </w:rPr>
            </w:pPr>
          </w:p>
        </w:tc>
      </w:tr>
      <w:tr w:rsidR="00763763" w:rsidRPr="00852A5D" w14:paraId="366FB38A" w14:textId="77777777" w:rsidTr="006910A5">
        <w:trPr>
          <w:trHeight w:val="1923"/>
        </w:trPr>
        <w:tc>
          <w:tcPr>
            <w:tcW w:w="141" w:type="pct"/>
            <w:tcBorders>
              <w:top w:val="nil"/>
              <w:left w:val="single" w:sz="4" w:space="0" w:color="auto"/>
              <w:bottom w:val="single" w:sz="4" w:space="0" w:color="auto"/>
              <w:right w:val="single" w:sz="4" w:space="0" w:color="auto"/>
            </w:tcBorders>
            <w:shd w:val="clear" w:color="000000" w:fill="FFFFFF"/>
            <w:hideMark/>
          </w:tcPr>
          <w:p w14:paraId="47145ADA" w14:textId="77777777" w:rsidR="005427F8" w:rsidRPr="00852A5D" w:rsidRDefault="005427F8"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lastRenderedPageBreak/>
              <w:t>4</w:t>
            </w:r>
          </w:p>
        </w:tc>
        <w:tc>
          <w:tcPr>
            <w:tcW w:w="573" w:type="pct"/>
            <w:tcBorders>
              <w:top w:val="nil"/>
              <w:left w:val="nil"/>
              <w:bottom w:val="nil"/>
              <w:right w:val="single" w:sz="4" w:space="0" w:color="auto"/>
            </w:tcBorders>
            <w:shd w:val="clear" w:color="auto" w:fill="auto"/>
            <w:hideMark/>
          </w:tcPr>
          <w:p w14:paraId="72EE2978" w14:textId="4C008B29" w:rsidR="005427F8" w:rsidRPr="00852A5D" w:rsidRDefault="005427F8"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 xml:space="preserve">F2. Oszczędne i efektywne gospodarowanie środkami publicznymi dla wspierania </w:t>
            </w:r>
            <w:r w:rsidR="00763763" w:rsidRPr="00852A5D">
              <w:rPr>
                <w:rFonts w:ascii="Calibri" w:eastAsia="Times New Roman" w:hAnsi="Calibri" w:cs="Calibri"/>
                <w:sz w:val="18"/>
                <w:szCs w:val="18"/>
                <w:lang w:eastAsia="pl-PL"/>
              </w:rPr>
              <w:t>O</w:t>
            </w:r>
            <w:r w:rsidRPr="00852A5D">
              <w:rPr>
                <w:rFonts w:ascii="Calibri" w:eastAsia="Times New Roman" w:hAnsi="Calibri" w:cs="Calibri"/>
                <w:sz w:val="18"/>
                <w:szCs w:val="18"/>
                <w:lang w:eastAsia="pl-PL"/>
              </w:rPr>
              <w:t xml:space="preserve">sób </w:t>
            </w:r>
            <w:r w:rsidR="00763763" w:rsidRPr="00852A5D">
              <w:rPr>
                <w:rFonts w:ascii="Calibri" w:eastAsia="Times New Roman" w:hAnsi="Calibri" w:cs="Calibri"/>
                <w:sz w:val="18"/>
                <w:szCs w:val="18"/>
                <w:lang w:eastAsia="pl-PL"/>
              </w:rPr>
              <w:t>N</w:t>
            </w:r>
            <w:r w:rsidRPr="00852A5D">
              <w:rPr>
                <w:rFonts w:ascii="Calibri" w:eastAsia="Times New Roman" w:hAnsi="Calibri" w:cs="Calibri"/>
                <w:sz w:val="18"/>
                <w:szCs w:val="18"/>
                <w:lang w:eastAsia="pl-PL"/>
              </w:rPr>
              <w:t>iepełnosprawnych</w:t>
            </w:r>
          </w:p>
        </w:tc>
        <w:tc>
          <w:tcPr>
            <w:tcW w:w="824" w:type="pct"/>
            <w:tcBorders>
              <w:top w:val="nil"/>
              <w:left w:val="nil"/>
              <w:bottom w:val="single" w:sz="4" w:space="0" w:color="auto"/>
              <w:right w:val="single" w:sz="4" w:space="0" w:color="auto"/>
            </w:tcBorders>
            <w:shd w:val="clear" w:color="auto" w:fill="auto"/>
            <w:hideMark/>
          </w:tcPr>
          <w:p w14:paraId="35B9DD5A" w14:textId="77777777" w:rsidR="005427F8" w:rsidRPr="00852A5D" w:rsidRDefault="005427F8"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Koszt alokacji każdego 1000 zł przez PFRON (koszty działalności PFRON stanowiące wydatek bieżący / Łączna kwota wydatków ponoszonych przez PFRON w danym roku budżetowym * 1000)</w:t>
            </w:r>
          </w:p>
        </w:tc>
        <w:tc>
          <w:tcPr>
            <w:tcW w:w="493" w:type="pct"/>
            <w:tcBorders>
              <w:top w:val="nil"/>
              <w:left w:val="nil"/>
              <w:bottom w:val="single" w:sz="4" w:space="0" w:color="auto"/>
              <w:right w:val="single" w:sz="4" w:space="0" w:color="auto"/>
            </w:tcBorders>
            <w:shd w:val="clear" w:color="auto" w:fill="auto"/>
            <w:hideMark/>
          </w:tcPr>
          <w:p w14:paraId="366D89CE" w14:textId="77777777" w:rsidR="005427F8" w:rsidRPr="00852A5D" w:rsidRDefault="005427F8"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 xml:space="preserve">Stabilizacja poziomu wykonania w przedziale </w:t>
            </w:r>
            <w:r w:rsidRPr="00852A5D">
              <w:rPr>
                <w:rFonts w:ascii="Calibri" w:eastAsia="Times New Roman" w:hAnsi="Calibri" w:cs="Calibri"/>
                <w:sz w:val="18"/>
                <w:szCs w:val="18"/>
                <w:lang w:eastAsia="pl-PL"/>
              </w:rPr>
              <w:br/>
              <w:t>24-25 zł</w:t>
            </w:r>
          </w:p>
        </w:tc>
        <w:tc>
          <w:tcPr>
            <w:tcW w:w="381" w:type="pct"/>
            <w:tcBorders>
              <w:top w:val="nil"/>
              <w:left w:val="nil"/>
              <w:bottom w:val="single" w:sz="4" w:space="0" w:color="auto"/>
              <w:right w:val="single" w:sz="4" w:space="0" w:color="auto"/>
            </w:tcBorders>
            <w:shd w:val="clear" w:color="auto" w:fill="auto"/>
            <w:hideMark/>
          </w:tcPr>
          <w:p w14:paraId="234C81F3" w14:textId="77777777" w:rsidR="005427F8" w:rsidRPr="00852A5D" w:rsidRDefault="005427F8"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21,83 zł</w:t>
            </w:r>
          </w:p>
        </w:tc>
        <w:tc>
          <w:tcPr>
            <w:tcW w:w="995" w:type="pct"/>
            <w:tcBorders>
              <w:top w:val="nil"/>
              <w:left w:val="nil"/>
              <w:bottom w:val="single" w:sz="4" w:space="0" w:color="auto"/>
              <w:right w:val="single" w:sz="4" w:space="0" w:color="auto"/>
            </w:tcBorders>
            <w:shd w:val="clear" w:color="auto" w:fill="auto"/>
            <w:hideMark/>
          </w:tcPr>
          <w:p w14:paraId="49220026" w14:textId="77777777" w:rsidR="005427F8" w:rsidRPr="00852A5D" w:rsidRDefault="005427F8"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 Obsługa działalności bieżącej Funduszu;</w:t>
            </w:r>
            <w:r w:rsidRPr="00852A5D">
              <w:rPr>
                <w:rFonts w:ascii="Calibri" w:eastAsia="Times New Roman" w:hAnsi="Calibri" w:cs="Calibri"/>
                <w:sz w:val="18"/>
                <w:szCs w:val="18"/>
                <w:lang w:eastAsia="pl-PL"/>
              </w:rPr>
              <w:br/>
              <w:t xml:space="preserve"> - Zapewnienie stabilności finansowej PFRON.</w:t>
            </w:r>
          </w:p>
        </w:tc>
        <w:tc>
          <w:tcPr>
            <w:tcW w:w="1593" w:type="pct"/>
            <w:tcBorders>
              <w:top w:val="nil"/>
              <w:left w:val="nil"/>
              <w:bottom w:val="single" w:sz="4" w:space="0" w:color="auto"/>
              <w:right w:val="single" w:sz="4" w:space="0" w:color="auto"/>
            </w:tcBorders>
            <w:shd w:val="clear" w:color="000000" w:fill="FFFFFF"/>
            <w:hideMark/>
          </w:tcPr>
          <w:p w14:paraId="386C8679" w14:textId="77777777" w:rsidR="005427F8" w:rsidRPr="00852A5D" w:rsidRDefault="005427F8"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Dla zwiększenia efektywności finansowej w trakcie roku budżetowego dokonywano bieżących przesunięć w strukturze wydatków Funduszu. Oszczędnemu gospodarowaniu środkami publicznymi sprzyjało podejmowane inwestycji z uwzględnieniem bieżących priorytetów, jak również generowanie przychodów finansowych w oparciu o czasowo wolne środki Funduszu. Zapewniono stabilność finansową PFRON poprzez monitorowanie zobowiązań i stanu środków pieniężnych.</w:t>
            </w:r>
          </w:p>
        </w:tc>
      </w:tr>
      <w:tr w:rsidR="00763763" w:rsidRPr="00852A5D" w14:paraId="4507A259" w14:textId="77777777" w:rsidTr="006910A5">
        <w:trPr>
          <w:trHeight w:val="1398"/>
        </w:trPr>
        <w:tc>
          <w:tcPr>
            <w:tcW w:w="141" w:type="pct"/>
            <w:tcBorders>
              <w:top w:val="nil"/>
              <w:left w:val="single" w:sz="4" w:space="0" w:color="auto"/>
              <w:bottom w:val="single" w:sz="4" w:space="0" w:color="auto"/>
              <w:right w:val="single" w:sz="4" w:space="0" w:color="auto"/>
            </w:tcBorders>
            <w:shd w:val="clear" w:color="000000" w:fill="FFFFFF"/>
            <w:hideMark/>
          </w:tcPr>
          <w:p w14:paraId="764777F7" w14:textId="77777777" w:rsidR="005427F8" w:rsidRPr="00852A5D" w:rsidRDefault="005427F8"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5</w:t>
            </w:r>
          </w:p>
        </w:tc>
        <w:tc>
          <w:tcPr>
            <w:tcW w:w="573" w:type="pct"/>
            <w:tcBorders>
              <w:top w:val="single" w:sz="4" w:space="0" w:color="auto"/>
              <w:left w:val="nil"/>
              <w:bottom w:val="single" w:sz="4" w:space="0" w:color="auto"/>
              <w:right w:val="single" w:sz="4" w:space="0" w:color="auto"/>
            </w:tcBorders>
            <w:shd w:val="clear" w:color="auto" w:fill="auto"/>
            <w:hideMark/>
          </w:tcPr>
          <w:p w14:paraId="2ED23FD5" w14:textId="77777777" w:rsidR="005427F8" w:rsidRPr="00852A5D" w:rsidRDefault="005427F8"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R1. Podniesienie poziomu bezpieczeństwa zasobów</w:t>
            </w:r>
          </w:p>
        </w:tc>
        <w:tc>
          <w:tcPr>
            <w:tcW w:w="824" w:type="pct"/>
            <w:tcBorders>
              <w:top w:val="nil"/>
              <w:left w:val="nil"/>
              <w:bottom w:val="single" w:sz="4" w:space="0" w:color="auto"/>
              <w:right w:val="single" w:sz="4" w:space="0" w:color="auto"/>
            </w:tcBorders>
            <w:shd w:val="clear" w:color="auto" w:fill="auto"/>
            <w:hideMark/>
          </w:tcPr>
          <w:p w14:paraId="52E7A705" w14:textId="77777777" w:rsidR="005427F8" w:rsidRPr="00852A5D" w:rsidRDefault="005427F8"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Stopień podatności na zagrożenia</w:t>
            </w:r>
          </w:p>
        </w:tc>
        <w:tc>
          <w:tcPr>
            <w:tcW w:w="493" w:type="pct"/>
            <w:tcBorders>
              <w:top w:val="nil"/>
              <w:left w:val="nil"/>
              <w:bottom w:val="single" w:sz="4" w:space="0" w:color="auto"/>
              <w:right w:val="single" w:sz="4" w:space="0" w:color="auto"/>
            </w:tcBorders>
            <w:shd w:val="clear" w:color="auto" w:fill="auto"/>
            <w:hideMark/>
          </w:tcPr>
          <w:p w14:paraId="1BFF4016" w14:textId="77777777" w:rsidR="005427F8" w:rsidRPr="00852A5D" w:rsidRDefault="005427F8"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Wyeliminowane lub mitygowane 100% podatności</w:t>
            </w:r>
          </w:p>
        </w:tc>
        <w:tc>
          <w:tcPr>
            <w:tcW w:w="381" w:type="pct"/>
            <w:tcBorders>
              <w:top w:val="nil"/>
              <w:left w:val="nil"/>
              <w:bottom w:val="single" w:sz="4" w:space="0" w:color="auto"/>
              <w:right w:val="single" w:sz="4" w:space="0" w:color="auto"/>
            </w:tcBorders>
            <w:shd w:val="clear" w:color="auto" w:fill="auto"/>
            <w:hideMark/>
          </w:tcPr>
          <w:p w14:paraId="2A4A5A98" w14:textId="77777777" w:rsidR="005427F8" w:rsidRPr="00852A5D" w:rsidRDefault="005427F8"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43%</w:t>
            </w:r>
          </w:p>
        </w:tc>
        <w:tc>
          <w:tcPr>
            <w:tcW w:w="995" w:type="pct"/>
            <w:tcBorders>
              <w:top w:val="nil"/>
              <w:left w:val="nil"/>
              <w:bottom w:val="single" w:sz="4" w:space="0" w:color="auto"/>
              <w:right w:val="single" w:sz="4" w:space="0" w:color="auto"/>
            </w:tcBorders>
            <w:shd w:val="clear" w:color="auto" w:fill="auto"/>
            <w:hideMark/>
          </w:tcPr>
          <w:p w14:paraId="01824174" w14:textId="77777777" w:rsidR="005427F8" w:rsidRPr="00852A5D" w:rsidRDefault="005427F8"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 Realizacja zaleceń z audytów bezpieczeństwa</w:t>
            </w:r>
          </w:p>
        </w:tc>
        <w:tc>
          <w:tcPr>
            <w:tcW w:w="1593" w:type="pct"/>
            <w:tcBorders>
              <w:top w:val="nil"/>
              <w:left w:val="nil"/>
              <w:bottom w:val="single" w:sz="4" w:space="0" w:color="auto"/>
              <w:right w:val="single" w:sz="4" w:space="0" w:color="auto"/>
            </w:tcBorders>
            <w:shd w:val="clear" w:color="000000" w:fill="FFFFFF"/>
            <w:hideMark/>
          </w:tcPr>
          <w:p w14:paraId="7D15B682" w14:textId="77777777" w:rsidR="005427F8" w:rsidRPr="00852A5D" w:rsidRDefault="005427F8"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Przeprowadzono reaudyt obszaru bezpieczeństwa zasobów teleinformatycznych, weryfikujący bazę zidentyfikowanych podatności i diagnozujący nowe. Łączny wynik efektu mitygowania podatności uwzględnia priorytety nadane działaniom w odpowiedzi na wyższe ryzyko.</w:t>
            </w:r>
          </w:p>
        </w:tc>
      </w:tr>
      <w:tr w:rsidR="00763763" w:rsidRPr="00852A5D" w14:paraId="089A1F51" w14:textId="77777777" w:rsidTr="008C033D">
        <w:trPr>
          <w:trHeight w:val="216"/>
        </w:trPr>
        <w:tc>
          <w:tcPr>
            <w:tcW w:w="5000" w:type="pct"/>
            <w:gridSpan w:val="7"/>
            <w:tcBorders>
              <w:top w:val="single" w:sz="4" w:space="0" w:color="auto"/>
              <w:left w:val="nil"/>
              <w:bottom w:val="nil"/>
              <w:right w:val="nil"/>
            </w:tcBorders>
            <w:shd w:val="clear" w:color="000000" w:fill="FFFFFF"/>
            <w:vAlign w:val="center"/>
            <w:hideMark/>
          </w:tcPr>
          <w:p w14:paraId="21E72219" w14:textId="77777777" w:rsidR="00507807" w:rsidRDefault="005427F8" w:rsidP="0071544F">
            <w:pPr>
              <w:spacing w:after="0" w:line="36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 - Wykonanie wg danych PFRON za 2019 rok i danych</w:t>
            </w:r>
            <w:r w:rsidR="00AE1F7F" w:rsidRPr="00852A5D">
              <w:rPr>
                <w:rFonts w:ascii="Calibri" w:eastAsia="Times New Roman" w:hAnsi="Calibri" w:cs="Calibri"/>
                <w:sz w:val="18"/>
                <w:szCs w:val="18"/>
                <w:lang w:eastAsia="pl-PL"/>
              </w:rPr>
              <w:t xml:space="preserve"> </w:t>
            </w:r>
            <w:r w:rsidRPr="00852A5D">
              <w:rPr>
                <w:rFonts w:ascii="Calibri" w:eastAsia="Times New Roman" w:hAnsi="Calibri" w:cs="Calibri"/>
                <w:sz w:val="18"/>
                <w:szCs w:val="18"/>
                <w:lang w:eastAsia="pl-PL"/>
              </w:rPr>
              <w:t>GUS za III.kw 2019 r. dostępnych na dzień sporządzenia sprawozdania</w:t>
            </w:r>
          </w:p>
          <w:p w14:paraId="50EBFEC8" w14:textId="58326F5D" w:rsidR="0071544F" w:rsidRPr="00852A5D" w:rsidRDefault="0071544F" w:rsidP="005427F8">
            <w:pPr>
              <w:spacing w:after="0" w:line="240" w:lineRule="auto"/>
              <w:rPr>
                <w:rFonts w:ascii="Calibri" w:eastAsia="Times New Roman" w:hAnsi="Calibri" w:cs="Calibri"/>
                <w:sz w:val="18"/>
                <w:szCs w:val="18"/>
                <w:lang w:eastAsia="pl-PL"/>
              </w:rPr>
            </w:pPr>
          </w:p>
        </w:tc>
      </w:tr>
    </w:tbl>
    <w:p w14:paraId="3F481790" w14:textId="77777777" w:rsidR="002A7E75" w:rsidRDefault="002A7E75">
      <w:pPr>
        <w:rPr>
          <w:rFonts w:ascii="Calibri" w:eastAsia="Times New Roman" w:hAnsi="Calibri" w:cs="Calibri"/>
          <w:b/>
          <w:bCs/>
          <w:sz w:val="20"/>
          <w:szCs w:val="20"/>
          <w:lang w:eastAsia="pl-PL"/>
        </w:rPr>
      </w:pPr>
      <w:r>
        <w:br w:type="page"/>
      </w:r>
    </w:p>
    <w:p w14:paraId="1D10AE1E" w14:textId="3E618C17" w:rsidR="006910A5" w:rsidRPr="00852A5D" w:rsidRDefault="00802069" w:rsidP="001952EC">
      <w:pPr>
        <w:pStyle w:val="Nagwek2"/>
      </w:pPr>
      <w:bookmarkStart w:id="0" w:name="_GoBack"/>
      <w:r w:rsidRPr="00852A5D">
        <w:lastRenderedPageBreak/>
        <w:t>CZĘŚ</w:t>
      </w:r>
      <w:bookmarkEnd w:id="0"/>
      <w:r w:rsidRPr="00852A5D">
        <w:t>Ć C: Realizacja innych celów w roku 2019</w:t>
      </w:r>
    </w:p>
    <w:tbl>
      <w:tblPr>
        <w:tblW w:w="0" w:type="auto"/>
        <w:tblCellMar>
          <w:left w:w="70" w:type="dxa"/>
          <w:right w:w="70" w:type="dxa"/>
        </w:tblCellMar>
        <w:tblLook w:val="04A0" w:firstRow="1" w:lastRow="0" w:firstColumn="1" w:lastColumn="0" w:noHBand="0" w:noVBand="1"/>
      </w:tblPr>
      <w:tblGrid>
        <w:gridCol w:w="386"/>
        <w:gridCol w:w="1857"/>
        <w:gridCol w:w="2579"/>
        <w:gridCol w:w="1532"/>
        <w:gridCol w:w="1134"/>
        <w:gridCol w:w="3260"/>
        <w:gridCol w:w="4926"/>
      </w:tblGrid>
      <w:tr w:rsidR="006910A5" w:rsidRPr="002A7E75" w14:paraId="59C3812D" w14:textId="77777777" w:rsidTr="002A7E75">
        <w:trPr>
          <w:trHeight w:val="1450"/>
          <w:tblHeader/>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5E0EE4B1" w14:textId="1FF3A536" w:rsidR="006910A5" w:rsidRPr="002A7E75" w:rsidRDefault="006910A5" w:rsidP="006910A5">
            <w:pPr>
              <w:spacing w:after="0" w:line="240" w:lineRule="auto"/>
              <w:rPr>
                <w:rFonts w:ascii="Calibri" w:eastAsia="Times New Roman" w:hAnsi="Calibri" w:cs="Calibri"/>
                <w:b/>
                <w:bCs/>
                <w:sz w:val="20"/>
                <w:szCs w:val="20"/>
                <w:lang w:eastAsia="pl-PL"/>
              </w:rPr>
            </w:pPr>
            <w:r w:rsidRPr="002A7E75">
              <w:rPr>
                <w:rFonts w:ascii="Calibri" w:eastAsia="Times New Roman" w:hAnsi="Calibri" w:cs="Calibri"/>
                <w:b/>
                <w:bCs/>
                <w:sz w:val="20"/>
                <w:szCs w:val="20"/>
                <w:lang w:eastAsia="pl-PL"/>
              </w:rPr>
              <w:t>Lp.</w:t>
            </w:r>
          </w:p>
        </w:tc>
        <w:tc>
          <w:tcPr>
            <w:tcW w:w="1857" w:type="dxa"/>
            <w:tcBorders>
              <w:top w:val="single" w:sz="4" w:space="0" w:color="auto"/>
              <w:left w:val="single" w:sz="4" w:space="0" w:color="auto"/>
              <w:bottom w:val="single" w:sz="4" w:space="0" w:color="auto"/>
              <w:right w:val="single" w:sz="4" w:space="0" w:color="auto"/>
            </w:tcBorders>
            <w:shd w:val="clear" w:color="000000" w:fill="FFFFFF"/>
            <w:hideMark/>
          </w:tcPr>
          <w:p w14:paraId="7C683975" w14:textId="1EE85C53" w:rsidR="006910A5" w:rsidRPr="002A7E75" w:rsidRDefault="006910A5" w:rsidP="006910A5">
            <w:pPr>
              <w:spacing w:after="0" w:line="240" w:lineRule="auto"/>
              <w:rPr>
                <w:rFonts w:ascii="Calibri" w:eastAsia="Times New Roman" w:hAnsi="Calibri" w:cs="Calibri"/>
                <w:b/>
                <w:bCs/>
                <w:sz w:val="20"/>
                <w:szCs w:val="20"/>
                <w:lang w:eastAsia="pl-PL"/>
              </w:rPr>
            </w:pPr>
            <w:r w:rsidRPr="002A7E75">
              <w:rPr>
                <w:rFonts w:ascii="Calibri" w:eastAsia="Times New Roman" w:hAnsi="Calibri" w:cs="Calibri"/>
                <w:b/>
                <w:bCs/>
                <w:sz w:val="20"/>
                <w:szCs w:val="20"/>
                <w:lang w:eastAsia="pl-PL"/>
              </w:rPr>
              <w:t>Cel</w:t>
            </w:r>
          </w:p>
        </w:tc>
        <w:tc>
          <w:tcPr>
            <w:tcW w:w="2579" w:type="dxa"/>
            <w:tcBorders>
              <w:top w:val="single" w:sz="4" w:space="0" w:color="auto"/>
              <w:left w:val="nil"/>
              <w:bottom w:val="single" w:sz="4" w:space="0" w:color="auto"/>
              <w:right w:val="single" w:sz="4" w:space="0" w:color="000000"/>
            </w:tcBorders>
            <w:shd w:val="clear" w:color="000000" w:fill="FFFFFF"/>
            <w:hideMark/>
          </w:tcPr>
          <w:p w14:paraId="581087B7" w14:textId="272D531D" w:rsidR="006910A5" w:rsidRPr="002A7E75" w:rsidRDefault="006910A5" w:rsidP="006910A5">
            <w:pPr>
              <w:spacing w:after="0" w:line="240" w:lineRule="auto"/>
              <w:rPr>
                <w:rFonts w:ascii="Calibri" w:eastAsia="Times New Roman" w:hAnsi="Calibri" w:cs="Calibri"/>
                <w:b/>
                <w:bCs/>
                <w:sz w:val="20"/>
                <w:szCs w:val="20"/>
                <w:lang w:eastAsia="pl-PL"/>
              </w:rPr>
            </w:pPr>
            <w:r w:rsidRPr="002A7E75">
              <w:rPr>
                <w:rFonts w:ascii="Calibri" w:eastAsia="Times New Roman" w:hAnsi="Calibri" w:cs="Calibri"/>
                <w:b/>
                <w:bCs/>
                <w:sz w:val="20"/>
                <w:szCs w:val="20"/>
                <w:lang w:eastAsia="pl-PL"/>
              </w:rPr>
              <w:t>Mierniki określające stopień realizacji celu - Nazwa</w:t>
            </w:r>
          </w:p>
        </w:tc>
        <w:tc>
          <w:tcPr>
            <w:tcW w:w="1532" w:type="dxa"/>
            <w:tcBorders>
              <w:top w:val="single" w:sz="4" w:space="0" w:color="auto"/>
              <w:left w:val="nil"/>
              <w:bottom w:val="single" w:sz="4" w:space="0" w:color="auto"/>
              <w:right w:val="single" w:sz="4" w:space="0" w:color="000000"/>
            </w:tcBorders>
            <w:shd w:val="clear" w:color="000000" w:fill="FFFFFF"/>
          </w:tcPr>
          <w:p w14:paraId="0D33500D" w14:textId="20481038" w:rsidR="006910A5" w:rsidRPr="002A7E75" w:rsidRDefault="006910A5" w:rsidP="006910A5">
            <w:pPr>
              <w:spacing w:after="0" w:line="240" w:lineRule="auto"/>
              <w:rPr>
                <w:rFonts w:ascii="Calibri" w:eastAsia="Times New Roman" w:hAnsi="Calibri" w:cs="Calibri"/>
                <w:b/>
                <w:bCs/>
                <w:sz w:val="20"/>
                <w:szCs w:val="20"/>
                <w:lang w:eastAsia="pl-PL"/>
              </w:rPr>
            </w:pPr>
            <w:r w:rsidRPr="002A7E75">
              <w:rPr>
                <w:rFonts w:ascii="Calibri" w:eastAsia="Times New Roman" w:hAnsi="Calibri" w:cs="Calibri"/>
                <w:b/>
                <w:bCs/>
                <w:sz w:val="20"/>
                <w:szCs w:val="20"/>
                <w:lang w:eastAsia="pl-PL"/>
              </w:rPr>
              <w:t>Mierniki określające stopień realizacji celu - Planowana wartość do osiągnięcia na koniec roku, którego dotyczy sprawozdanie</w:t>
            </w:r>
          </w:p>
        </w:tc>
        <w:tc>
          <w:tcPr>
            <w:tcW w:w="1134" w:type="dxa"/>
            <w:tcBorders>
              <w:top w:val="single" w:sz="4" w:space="0" w:color="auto"/>
              <w:left w:val="nil"/>
              <w:bottom w:val="single" w:sz="4" w:space="0" w:color="auto"/>
              <w:right w:val="single" w:sz="4" w:space="0" w:color="000000"/>
            </w:tcBorders>
            <w:shd w:val="clear" w:color="000000" w:fill="FFFFFF"/>
          </w:tcPr>
          <w:p w14:paraId="45713191" w14:textId="10424DDA" w:rsidR="006910A5" w:rsidRPr="002A7E75" w:rsidRDefault="006910A5" w:rsidP="006910A5">
            <w:pPr>
              <w:spacing w:after="0" w:line="240" w:lineRule="auto"/>
              <w:rPr>
                <w:rFonts w:ascii="Calibri" w:eastAsia="Times New Roman" w:hAnsi="Calibri" w:cs="Calibri"/>
                <w:b/>
                <w:bCs/>
                <w:sz w:val="20"/>
                <w:szCs w:val="20"/>
                <w:lang w:eastAsia="pl-PL"/>
              </w:rPr>
            </w:pPr>
            <w:r w:rsidRPr="002A7E75">
              <w:rPr>
                <w:rFonts w:ascii="Calibri" w:eastAsia="Times New Roman" w:hAnsi="Calibri" w:cs="Calibri"/>
                <w:b/>
                <w:bCs/>
                <w:sz w:val="20"/>
                <w:szCs w:val="20"/>
                <w:lang w:eastAsia="pl-PL"/>
              </w:rPr>
              <w:t>Mierniki określające stopień realizacji celu - Osiągnięta wartość na koniec roku 2019</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14:paraId="22876F74" w14:textId="60F30DDA" w:rsidR="006910A5" w:rsidRPr="002A7E75" w:rsidRDefault="006910A5" w:rsidP="006910A5">
            <w:pPr>
              <w:spacing w:after="0" w:line="240" w:lineRule="auto"/>
              <w:rPr>
                <w:rFonts w:ascii="Calibri" w:eastAsia="Times New Roman" w:hAnsi="Calibri" w:cs="Calibri"/>
                <w:b/>
                <w:bCs/>
                <w:sz w:val="20"/>
                <w:szCs w:val="20"/>
                <w:lang w:eastAsia="pl-PL"/>
              </w:rPr>
            </w:pPr>
            <w:r w:rsidRPr="002A7E75">
              <w:rPr>
                <w:rFonts w:ascii="Calibri" w:eastAsia="Times New Roman" w:hAnsi="Calibri" w:cs="Calibri"/>
                <w:b/>
                <w:bCs/>
                <w:sz w:val="20"/>
                <w:szCs w:val="20"/>
                <w:lang w:eastAsia="pl-PL"/>
              </w:rPr>
              <w:t xml:space="preserve">Najważniejsze planowane zadania </w:t>
            </w:r>
            <w:r w:rsidRPr="002A7E75">
              <w:rPr>
                <w:rFonts w:ascii="Calibri" w:eastAsia="Times New Roman" w:hAnsi="Calibri" w:cs="Calibri"/>
                <w:b/>
                <w:bCs/>
                <w:sz w:val="20"/>
                <w:szCs w:val="20"/>
                <w:lang w:eastAsia="pl-PL"/>
              </w:rPr>
              <w:br/>
              <w:t>służące realizacji celu</w:t>
            </w:r>
          </w:p>
        </w:tc>
        <w:tc>
          <w:tcPr>
            <w:tcW w:w="4926" w:type="dxa"/>
            <w:tcBorders>
              <w:top w:val="single" w:sz="4" w:space="0" w:color="auto"/>
              <w:left w:val="single" w:sz="4" w:space="0" w:color="auto"/>
              <w:bottom w:val="single" w:sz="4" w:space="0" w:color="000000"/>
              <w:right w:val="single" w:sz="4" w:space="0" w:color="auto"/>
            </w:tcBorders>
            <w:shd w:val="clear" w:color="000000" w:fill="FFFFFF"/>
            <w:hideMark/>
          </w:tcPr>
          <w:p w14:paraId="40CB7E92" w14:textId="021F2A47" w:rsidR="006910A5" w:rsidRPr="002A7E75" w:rsidRDefault="006910A5" w:rsidP="006910A5">
            <w:pPr>
              <w:spacing w:after="0" w:line="240" w:lineRule="auto"/>
              <w:rPr>
                <w:rFonts w:ascii="Calibri" w:eastAsia="Times New Roman" w:hAnsi="Calibri" w:cs="Calibri"/>
                <w:b/>
                <w:bCs/>
                <w:sz w:val="20"/>
                <w:szCs w:val="20"/>
                <w:lang w:eastAsia="pl-PL"/>
              </w:rPr>
            </w:pPr>
            <w:r w:rsidRPr="002A7E75">
              <w:rPr>
                <w:rFonts w:ascii="Calibri" w:eastAsia="Times New Roman" w:hAnsi="Calibri" w:cs="Calibri"/>
                <w:b/>
                <w:bCs/>
                <w:sz w:val="20"/>
                <w:szCs w:val="20"/>
                <w:lang w:eastAsia="pl-PL"/>
              </w:rPr>
              <w:t>Najważniejsze podjęte zadania</w:t>
            </w:r>
            <w:r w:rsidRPr="002A7E75">
              <w:rPr>
                <w:rFonts w:ascii="Calibri" w:eastAsia="Times New Roman" w:hAnsi="Calibri" w:cs="Calibri"/>
                <w:b/>
                <w:bCs/>
                <w:sz w:val="20"/>
                <w:szCs w:val="20"/>
                <w:lang w:eastAsia="pl-PL"/>
              </w:rPr>
              <w:br/>
              <w:t xml:space="preserve"> służące realizacji celu</w:t>
            </w:r>
          </w:p>
        </w:tc>
      </w:tr>
      <w:tr w:rsidR="00763763" w:rsidRPr="00852A5D" w14:paraId="2D830169" w14:textId="77777777" w:rsidTr="006910A5">
        <w:trPr>
          <w:trHeight w:val="276"/>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71F40C70" w14:textId="77777777" w:rsidR="0001551B" w:rsidRPr="00852A5D" w:rsidRDefault="0001551B"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1</w:t>
            </w:r>
          </w:p>
        </w:tc>
        <w:tc>
          <w:tcPr>
            <w:tcW w:w="1857" w:type="dxa"/>
            <w:tcBorders>
              <w:top w:val="single" w:sz="4" w:space="0" w:color="auto"/>
              <w:left w:val="nil"/>
              <w:bottom w:val="single" w:sz="4" w:space="0" w:color="auto"/>
              <w:right w:val="single" w:sz="4" w:space="0" w:color="auto"/>
            </w:tcBorders>
            <w:shd w:val="clear" w:color="000000" w:fill="FFFFFF"/>
            <w:hideMark/>
          </w:tcPr>
          <w:p w14:paraId="3A8E1E26" w14:textId="77777777" w:rsidR="0001551B" w:rsidRPr="00852A5D" w:rsidRDefault="0001551B"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2</w:t>
            </w:r>
          </w:p>
        </w:tc>
        <w:tc>
          <w:tcPr>
            <w:tcW w:w="2579" w:type="dxa"/>
            <w:tcBorders>
              <w:top w:val="single" w:sz="4" w:space="0" w:color="auto"/>
              <w:left w:val="nil"/>
              <w:bottom w:val="single" w:sz="4" w:space="0" w:color="auto"/>
              <w:right w:val="single" w:sz="4" w:space="0" w:color="auto"/>
            </w:tcBorders>
            <w:shd w:val="clear" w:color="000000" w:fill="FFFFFF"/>
            <w:hideMark/>
          </w:tcPr>
          <w:p w14:paraId="79275C36" w14:textId="77777777" w:rsidR="0001551B" w:rsidRPr="00852A5D" w:rsidRDefault="0001551B"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3</w:t>
            </w:r>
          </w:p>
        </w:tc>
        <w:tc>
          <w:tcPr>
            <w:tcW w:w="1532" w:type="dxa"/>
            <w:tcBorders>
              <w:top w:val="single" w:sz="4" w:space="0" w:color="auto"/>
              <w:left w:val="nil"/>
              <w:bottom w:val="single" w:sz="4" w:space="0" w:color="auto"/>
              <w:right w:val="single" w:sz="4" w:space="0" w:color="auto"/>
            </w:tcBorders>
            <w:shd w:val="clear" w:color="000000" w:fill="FFFFFF"/>
            <w:hideMark/>
          </w:tcPr>
          <w:p w14:paraId="76097D99" w14:textId="77777777" w:rsidR="0001551B" w:rsidRPr="00852A5D" w:rsidRDefault="0001551B"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4</w:t>
            </w:r>
          </w:p>
        </w:tc>
        <w:tc>
          <w:tcPr>
            <w:tcW w:w="1134" w:type="dxa"/>
            <w:tcBorders>
              <w:top w:val="single" w:sz="4" w:space="0" w:color="auto"/>
              <w:left w:val="nil"/>
              <w:bottom w:val="single" w:sz="4" w:space="0" w:color="auto"/>
              <w:right w:val="single" w:sz="4" w:space="0" w:color="auto"/>
            </w:tcBorders>
            <w:shd w:val="clear" w:color="000000" w:fill="FFFFFF"/>
            <w:hideMark/>
          </w:tcPr>
          <w:p w14:paraId="65244BB1" w14:textId="77777777" w:rsidR="0001551B" w:rsidRPr="00852A5D" w:rsidRDefault="0001551B"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5</w:t>
            </w:r>
          </w:p>
        </w:tc>
        <w:tc>
          <w:tcPr>
            <w:tcW w:w="3260" w:type="dxa"/>
            <w:tcBorders>
              <w:top w:val="single" w:sz="4" w:space="0" w:color="auto"/>
              <w:left w:val="nil"/>
              <w:bottom w:val="single" w:sz="4" w:space="0" w:color="auto"/>
              <w:right w:val="single" w:sz="4" w:space="0" w:color="auto"/>
            </w:tcBorders>
            <w:shd w:val="clear" w:color="000000" w:fill="FFFFFF"/>
            <w:hideMark/>
          </w:tcPr>
          <w:p w14:paraId="3C78C1E8" w14:textId="77777777" w:rsidR="0001551B" w:rsidRPr="00852A5D" w:rsidRDefault="0001551B"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6</w:t>
            </w:r>
          </w:p>
        </w:tc>
        <w:tc>
          <w:tcPr>
            <w:tcW w:w="4926" w:type="dxa"/>
            <w:tcBorders>
              <w:top w:val="nil"/>
              <w:left w:val="nil"/>
              <w:bottom w:val="single" w:sz="4" w:space="0" w:color="auto"/>
              <w:right w:val="single" w:sz="4" w:space="0" w:color="auto"/>
            </w:tcBorders>
            <w:shd w:val="clear" w:color="000000" w:fill="FFFFFF"/>
            <w:hideMark/>
          </w:tcPr>
          <w:p w14:paraId="7FB3BDBD" w14:textId="77777777" w:rsidR="0001551B" w:rsidRPr="00852A5D" w:rsidRDefault="0001551B"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7</w:t>
            </w:r>
          </w:p>
        </w:tc>
      </w:tr>
      <w:tr w:rsidR="00763763" w:rsidRPr="00852A5D" w14:paraId="3AACBC60" w14:textId="77777777" w:rsidTr="006910A5">
        <w:trPr>
          <w:trHeight w:val="3444"/>
        </w:trPr>
        <w:tc>
          <w:tcPr>
            <w:tcW w:w="0" w:type="auto"/>
            <w:tcBorders>
              <w:top w:val="nil"/>
              <w:left w:val="single" w:sz="4" w:space="0" w:color="auto"/>
              <w:bottom w:val="single" w:sz="4" w:space="0" w:color="auto"/>
              <w:right w:val="single" w:sz="4" w:space="0" w:color="auto"/>
            </w:tcBorders>
            <w:shd w:val="clear" w:color="000000" w:fill="FFFFFF"/>
            <w:hideMark/>
          </w:tcPr>
          <w:p w14:paraId="15D9D577" w14:textId="77777777" w:rsidR="0001551B" w:rsidRPr="00852A5D" w:rsidRDefault="0001551B"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1</w:t>
            </w:r>
          </w:p>
        </w:tc>
        <w:tc>
          <w:tcPr>
            <w:tcW w:w="1857" w:type="dxa"/>
            <w:tcBorders>
              <w:top w:val="nil"/>
              <w:left w:val="nil"/>
              <w:bottom w:val="single" w:sz="4" w:space="0" w:color="auto"/>
              <w:right w:val="single" w:sz="4" w:space="0" w:color="auto"/>
            </w:tcBorders>
            <w:shd w:val="clear" w:color="auto" w:fill="auto"/>
            <w:hideMark/>
          </w:tcPr>
          <w:p w14:paraId="60DEF22C" w14:textId="77777777" w:rsidR="0001551B" w:rsidRPr="00852A5D" w:rsidRDefault="0001551B"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R2. Rozwój narzędzi wspierających skuteczność i efektywność działania</w:t>
            </w:r>
          </w:p>
        </w:tc>
        <w:tc>
          <w:tcPr>
            <w:tcW w:w="2579" w:type="dxa"/>
            <w:tcBorders>
              <w:top w:val="nil"/>
              <w:left w:val="nil"/>
              <w:bottom w:val="single" w:sz="4" w:space="0" w:color="auto"/>
              <w:right w:val="single" w:sz="4" w:space="0" w:color="auto"/>
            </w:tcBorders>
            <w:shd w:val="clear" w:color="000000" w:fill="FFFFFF"/>
            <w:hideMark/>
          </w:tcPr>
          <w:p w14:paraId="63FD67CF" w14:textId="77777777" w:rsidR="0001551B" w:rsidRPr="00852A5D" w:rsidRDefault="0001551B"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Ilość nowych narzędzi wspierających skuteczność i efektywność działania</w:t>
            </w:r>
          </w:p>
        </w:tc>
        <w:tc>
          <w:tcPr>
            <w:tcW w:w="1532" w:type="dxa"/>
            <w:tcBorders>
              <w:top w:val="nil"/>
              <w:left w:val="nil"/>
              <w:bottom w:val="single" w:sz="4" w:space="0" w:color="auto"/>
              <w:right w:val="single" w:sz="4" w:space="0" w:color="auto"/>
            </w:tcBorders>
            <w:shd w:val="clear" w:color="000000" w:fill="FFFFFF"/>
            <w:hideMark/>
          </w:tcPr>
          <w:p w14:paraId="0B846AA3" w14:textId="77777777" w:rsidR="0001551B" w:rsidRPr="00852A5D" w:rsidRDefault="0001551B"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3</w:t>
            </w:r>
          </w:p>
        </w:tc>
        <w:tc>
          <w:tcPr>
            <w:tcW w:w="1134" w:type="dxa"/>
            <w:tcBorders>
              <w:top w:val="nil"/>
              <w:left w:val="nil"/>
              <w:bottom w:val="single" w:sz="4" w:space="0" w:color="auto"/>
              <w:right w:val="single" w:sz="4" w:space="0" w:color="auto"/>
            </w:tcBorders>
            <w:shd w:val="clear" w:color="auto" w:fill="auto"/>
            <w:hideMark/>
          </w:tcPr>
          <w:p w14:paraId="71FB9B0C" w14:textId="77777777" w:rsidR="0001551B" w:rsidRPr="00852A5D" w:rsidRDefault="0001551B"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5,5</w:t>
            </w:r>
          </w:p>
        </w:tc>
        <w:tc>
          <w:tcPr>
            <w:tcW w:w="3260" w:type="dxa"/>
            <w:tcBorders>
              <w:top w:val="nil"/>
              <w:left w:val="nil"/>
              <w:bottom w:val="single" w:sz="4" w:space="0" w:color="auto"/>
              <w:right w:val="single" w:sz="4" w:space="0" w:color="auto"/>
            </w:tcBorders>
            <w:shd w:val="clear" w:color="000000" w:fill="FFFFFF"/>
            <w:hideMark/>
          </w:tcPr>
          <w:p w14:paraId="5C77FF2A" w14:textId="77777777" w:rsidR="0001551B" w:rsidRPr="00852A5D" w:rsidRDefault="0001551B"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 Wdrożenie nowego modelu usług rozwoju SODiR;</w:t>
            </w:r>
            <w:r w:rsidRPr="00852A5D">
              <w:rPr>
                <w:rFonts w:ascii="Calibri" w:eastAsia="Times New Roman" w:hAnsi="Calibri" w:cs="Calibri"/>
                <w:sz w:val="18"/>
                <w:szCs w:val="18"/>
                <w:lang w:eastAsia="pl-PL"/>
              </w:rPr>
              <w:br/>
              <w:t>- Wdrożenie platformy SharePoint wraz z migracją kluczowych rejestrów i repozytoriów z platformy IBM Notes;</w:t>
            </w:r>
            <w:r w:rsidRPr="00852A5D">
              <w:rPr>
                <w:rFonts w:ascii="Calibri" w:eastAsia="Times New Roman" w:hAnsi="Calibri" w:cs="Calibri"/>
                <w:sz w:val="18"/>
                <w:szCs w:val="18"/>
                <w:lang w:eastAsia="pl-PL"/>
              </w:rPr>
              <w:br/>
              <w:t>- Migracja dotychczasowych systemów raportowania do centralnej hurtowni danych.</w:t>
            </w:r>
          </w:p>
        </w:tc>
        <w:tc>
          <w:tcPr>
            <w:tcW w:w="4926" w:type="dxa"/>
            <w:tcBorders>
              <w:top w:val="nil"/>
              <w:left w:val="nil"/>
              <w:bottom w:val="single" w:sz="4" w:space="0" w:color="auto"/>
              <w:right w:val="single" w:sz="4" w:space="0" w:color="auto"/>
            </w:tcBorders>
            <w:shd w:val="clear" w:color="000000" w:fill="FFFFFF"/>
            <w:hideMark/>
          </w:tcPr>
          <w:p w14:paraId="0284C601" w14:textId="1A3B2B8E" w:rsidR="0001551B" w:rsidRPr="00852A5D" w:rsidRDefault="0001551B"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W trakcie roku budżetowego uległy zmianie priorytety zadań planowanych do wykonania. W ciągu roku wdrożono produkcyjnie narzędzia:</w:t>
            </w:r>
            <w:r w:rsidRPr="00852A5D">
              <w:rPr>
                <w:rFonts w:ascii="Calibri" w:eastAsia="Times New Roman" w:hAnsi="Calibri" w:cs="Calibri"/>
                <w:sz w:val="18"/>
                <w:szCs w:val="18"/>
                <w:lang w:eastAsia="pl-PL"/>
              </w:rPr>
              <w:br/>
              <w:t>- Pełnomocnik 2.0 (do obsługi decyzji pełnomocników Zarządu PFRON i kontroli limitów finansowych);</w:t>
            </w:r>
            <w:r w:rsidRPr="00852A5D">
              <w:rPr>
                <w:rFonts w:ascii="Calibri" w:eastAsia="Times New Roman" w:hAnsi="Calibri" w:cs="Calibri"/>
                <w:sz w:val="18"/>
                <w:szCs w:val="18"/>
                <w:lang w:eastAsia="pl-PL"/>
              </w:rPr>
              <w:br/>
              <w:t>- ECP-DAJ (służące ewidencji zadań i czynności audytowych);</w:t>
            </w:r>
            <w:r w:rsidRPr="00852A5D">
              <w:rPr>
                <w:rFonts w:ascii="Calibri" w:eastAsia="Times New Roman" w:hAnsi="Calibri" w:cs="Calibri"/>
                <w:sz w:val="18"/>
                <w:szCs w:val="18"/>
                <w:lang w:eastAsia="pl-PL"/>
              </w:rPr>
              <w:br/>
              <w:t xml:space="preserve">- KSI-ZUS (wspierające zarządzanie i obsługę wymiany danych </w:t>
            </w:r>
            <w:r w:rsidR="00432479" w:rsidRPr="00852A5D">
              <w:rPr>
                <w:rFonts w:ascii="Calibri" w:eastAsia="Times New Roman" w:hAnsi="Calibri" w:cs="Calibri"/>
                <w:sz w:val="18"/>
                <w:szCs w:val="18"/>
                <w:lang w:eastAsia="pl-PL"/>
              </w:rPr>
              <w:br/>
            </w:r>
            <w:r w:rsidRPr="00852A5D">
              <w:rPr>
                <w:rFonts w:ascii="Calibri" w:eastAsia="Times New Roman" w:hAnsi="Calibri" w:cs="Calibri"/>
                <w:sz w:val="18"/>
                <w:szCs w:val="18"/>
                <w:lang w:eastAsia="pl-PL"/>
              </w:rPr>
              <w:t>z systemem Zakładu Ubezpieczeń Społecznych);</w:t>
            </w:r>
            <w:r w:rsidRPr="00852A5D">
              <w:rPr>
                <w:rFonts w:ascii="Calibri" w:eastAsia="Times New Roman" w:hAnsi="Calibri" w:cs="Calibri"/>
                <w:sz w:val="18"/>
                <w:szCs w:val="18"/>
                <w:lang w:eastAsia="pl-PL"/>
              </w:rPr>
              <w:br/>
              <w:t>- RSF (do weryfikacji danych ze sprawozdań finansowych lub oświadczeń podmiotów zobowiązanych do ich przekazywania Funduszowi);</w:t>
            </w:r>
            <w:r w:rsidRPr="00852A5D">
              <w:rPr>
                <w:rFonts w:ascii="Calibri" w:eastAsia="Times New Roman" w:hAnsi="Calibri" w:cs="Calibri"/>
                <w:sz w:val="18"/>
                <w:szCs w:val="18"/>
                <w:lang w:eastAsia="pl-PL"/>
              </w:rPr>
              <w:br/>
              <w:t>- KSI-PAWOR (w celu usprawnienia procesu obiegu informacji dotyczących weryfikacji danych w ZUS);</w:t>
            </w:r>
            <w:r w:rsidRPr="00852A5D">
              <w:rPr>
                <w:rFonts w:ascii="Calibri" w:eastAsia="Times New Roman" w:hAnsi="Calibri" w:cs="Calibri"/>
                <w:sz w:val="18"/>
                <w:szCs w:val="18"/>
                <w:lang w:eastAsia="pl-PL"/>
              </w:rPr>
              <w:br/>
              <w:t xml:space="preserve">- WIN (system wspierający procesy windykacyjne w PFRON </w:t>
            </w:r>
            <w:r w:rsidR="00432479" w:rsidRPr="00852A5D">
              <w:rPr>
                <w:rFonts w:ascii="Calibri" w:eastAsia="Times New Roman" w:hAnsi="Calibri" w:cs="Calibri"/>
                <w:sz w:val="18"/>
                <w:szCs w:val="18"/>
                <w:lang w:eastAsia="pl-PL"/>
              </w:rPr>
              <w:t xml:space="preserve">– </w:t>
            </w:r>
            <w:r w:rsidR="00432479" w:rsidRPr="00852A5D">
              <w:rPr>
                <w:rFonts w:ascii="Calibri" w:eastAsia="Times New Roman" w:hAnsi="Calibri" w:cs="Calibri"/>
                <w:sz w:val="18"/>
                <w:szCs w:val="18"/>
                <w:lang w:eastAsia="pl-PL"/>
              </w:rPr>
              <w:br/>
            </w:r>
            <w:r w:rsidRPr="00852A5D">
              <w:rPr>
                <w:rFonts w:ascii="Calibri" w:eastAsia="Times New Roman" w:hAnsi="Calibri" w:cs="Calibri"/>
                <w:sz w:val="18"/>
                <w:szCs w:val="18"/>
                <w:lang w:eastAsia="pl-PL"/>
              </w:rPr>
              <w:t>osiągnięto I z dwóch etapów wdrożenia).</w:t>
            </w:r>
          </w:p>
        </w:tc>
      </w:tr>
      <w:tr w:rsidR="00763763" w:rsidRPr="00852A5D" w14:paraId="2A6DF2FE" w14:textId="77777777" w:rsidTr="006910A5">
        <w:trPr>
          <w:trHeight w:val="1267"/>
        </w:trPr>
        <w:tc>
          <w:tcPr>
            <w:tcW w:w="0" w:type="auto"/>
            <w:tcBorders>
              <w:top w:val="nil"/>
              <w:left w:val="single" w:sz="4" w:space="0" w:color="auto"/>
              <w:bottom w:val="single" w:sz="4" w:space="0" w:color="auto"/>
              <w:right w:val="single" w:sz="4" w:space="0" w:color="auto"/>
            </w:tcBorders>
            <w:shd w:val="clear" w:color="000000" w:fill="FFFFFF"/>
            <w:hideMark/>
          </w:tcPr>
          <w:p w14:paraId="0FC38892" w14:textId="77777777" w:rsidR="0001551B" w:rsidRPr="00852A5D" w:rsidRDefault="0001551B"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2</w:t>
            </w:r>
          </w:p>
        </w:tc>
        <w:tc>
          <w:tcPr>
            <w:tcW w:w="1857" w:type="dxa"/>
            <w:tcBorders>
              <w:top w:val="nil"/>
              <w:left w:val="nil"/>
              <w:bottom w:val="single" w:sz="4" w:space="0" w:color="auto"/>
              <w:right w:val="single" w:sz="4" w:space="0" w:color="auto"/>
            </w:tcBorders>
            <w:shd w:val="clear" w:color="auto" w:fill="auto"/>
            <w:hideMark/>
          </w:tcPr>
          <w:p w14:paraId="5B5AFD6A" w14:textId="77777777" w:rsidR="0001551B" w:rsidRPr="00852A5D" w:rsidRDefault="0001551B"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P1. Podnoszenie skuteczności i efektywności działania</w:t>
            </w:r>
          </w:p>
        </w:tc>
        <w:tc>
          <w:tcPr>
            <w:tcW w:w="2579" w:type="dxa"/>
            <w:tcBorders>
              <w:top w:val="nil"/>
              <w:left w:val="nil"/>
              <w:bottom w:val="single" w:sz="4" w:space="0" w:color="auto"/>
              <w:right w:val="single" w:sz="4" w:space="0" w:color="auto"/>
            </w:tcBorders>
            <w:shd w:val="clear" w:color="auto" w:fill="auto"/>
            <w:hideMark/>
          </w:tcPr>
          <w:p w14:paraId="4CB8A413" w14:textId="77777777" w:rsidR="0001551B" w:rsidRPr="00852A5D" w:rsidRDefault="0001551B"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Liczba usprawnień uzyskanych w wyniku optymalizacji procesów</w:t>
            </w:r>
          </w:p>
        </w:tc>
        <w:tc>
          <w:tcPr>
            <w:tcW w:w="1532" w:type="dxa"/>
            <w:tcBorders>
              <w:top w:val="nil"/>
              <w:left w:val="nil"/>
              <w:bottom w:val="single" w:sz="4" w:space="0" w:color="auto"/>
              <w:right w:val="single" w:sz="4" w:space="0" w:color="auto"/>
            </w:tcBorders>
            <w:shd w:val="clear" w:color="auto" w:fill="auto"/>
            <w:hideMark/>
          </w:tcPr>
          <w:p w14:paraId="627B3B33" w14:textId="77777777" w:rsidR="0001551B" w:rsidRPr="00852A5D" w:rsidRDefault="0001551B"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Usprawnienia obejmujące co najmniej 12% procesów</w:t>
            </w:r>
          </w:p>
        </w:tc>
        <w:tc>
          <w:tcPr>
            <w:tcW w:w="1134" w:type="dxa"/>
            <w:tcBorders>
              <w:top w:val="nil"/>
              <w:left w:val="nil"/>
              <w:bottom w:val="single" w:sz="4" w:space="0" w:color="auto"/>
              <w:right w:val="single" w:sz="4" w:space="0" w:color="auto"/>
            </w:tcBorders>
            <w:shd w:val="clear" w:color="auto" w:fill="auto"/>
            <w:hideMark/>
          </w:tcPr>
          <w:p w14:paraId="2C9B0C9D" w14:textId="77777777" w:rsidR="0001551B" w:rsidRPr="00852A5D" w:rsidRDefault="0001551B"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12,3%</w:t>
            </w:r>
          </w:p>
        </w:tc>
        <w:tc>
          <w:tcPr>
            <w:tcW w:w="3260" w:type="dxa"/>
            <w:tcBorders>
              <w:top w:val="nil"/>
              <w:left w:val="nil"/>
              <w:bottom w:val="single" w:sz="4" w:space="0" w:color="auto"/>
              <w:right w:val="single" w:sz="4" w:space="0" w:color="auto"/>
            </w:tcBorders>
            <w:shd w:val="clear" w:color="auto" w:fill="auto"/>
            <w:hideMark/>
          </w:tcPr>
          <w:p w14:paraId="533FAAE4" w14:textId="77777777" w:rsidR="0001551B" w:rsidRPr="00852A5D" w:rsidRDefault="0001551B"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 Dokonanie optymalizacji zmapowanych procesów</w:t>
            </w:r>
          </w:p>
        </w:tc>
        <w:tc>
          <w:tcPr>
            <w:tcW w:w="4926" w:type="dxa"/>
            <w:tcBorders>
              <w:top w:val="nil"/>
              <w:left w:val="nil"/>
              <w:bottom w:val="single" w:sz="4" w:space="0" w:color="auto"/>
              <w:right w:val="single" w:sz="4" w:space="0" w:color="auto"/>
            </w:tcBorders>
            <w:shd w:val="clear" w:color="000000" w:fill="FFFFFF"/>
            <w:hideMark/>
          </w:tcPr>
          <w:p w14:paraId="4C8BCE16" w14:textId="77777777" w:rsidR="0001551B" w:rsidRPr="00852A5D" w:rsidRDefault="0001551B"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Działania optymalizujące objęły 23 spośród 187 procesów najniższego rzędu, przy czym do ilości zoptymalizowanych procesów wliczono 5 procesów, dla których proces zatwierdzania dokumentacji procesowej jest na końcowym etapie.</w:t>
            </w:r>
          </w:p>
        </w:tc>
      </w:tr>
      <w:tr w:rsidR="00763763" w:rsidRPr="00852A5D" w14:paraId="06ECF13E" w14:textId="77777777" w:rsidTr="006910A5">
        <w:trPr>
          <w:trHeight w:val="1342"/>
        </w:trPr>
        <w:tc>
          <w:tcPr>
            <w:tcW w:w="0" w:type="auto"/>
            <w:tcBorders>
              <w:top w:val="nil"/>
              <w:left w:val="single" w:sz="4" w:space="0" w:color="auto"/>
              <w:bottom w:val="single" w:sz="4" w:space="0" w:color="auto"/>
              <w:right w:val="single" w:sz="4" w:space="0" w:color="auto"/>
            </w:tcBorders>
            <w:shd w:val="clear" w:color="000000" w:fill="FFFFFF"/>
            <w:hideMark/>
          </w:tcPr>
          <w:p w14:paraId="570FBB4F" w14:textId="77777777" w:rsidR="0001551B" w:rsidRPr="00852A5D" w:rsidRDefault="0001551B"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3</w:t>
            </w:r>
          </w:p>
        </w:tc>
        <w:tc>
          <w:tcPr>
            <w:tcW w:w="1857" w:type="dxa"/>
            <w:tcBorders>
              <w:top w:val="nil"/>
              <w:left w:val="nil"/>
              <w:bottom w:val="single" w:sz="4" w:space="0" w:color="auto"/>
              <w:right w:val="single" w:sz="4" w:space="0" w:color="auto"/>
            </w:tcBorders>
            <w:shd w:val="clear" w:color="auto" w:fill="auto"/>
            <w:hideMark/>
          </w:tcPr>
          <w:p w14:paraId="1191B904" w14:textId="77777777" w:rsidR="0001551B" w:rsidRPr="00852A5D" w:rsidRDefault="0001551B"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P2. Usprawnienie komunikacji z interesariuszami</w:t>
            </w:r>
          </w:p>
        </w:tc>
        <w:tc>
          <w:tcPr>
            <w:tcW w:w="2579" w:type="dxa"/>
            <w:tcBorders>
              <w:top w:val="nil"/>
              <w:left w:val="nil"/>
              <w:bottom w:val="single" w:sz="4" w:space="0" w:color="auto"/>
              <w:right w:val="single" w:sz="4" w:space="0" w:color="auto"/>
            </w:tcBorders>
            <w:shd w:val="clear" w:color="auto" w:fill="auto"/>
            <w:hideMark/>
          </w:tcPr>
          <w:p w14:paraId="1E7396D6" w14:textId="77777777" w:rsidR="0001551B" w:rsidRPr="00852A5D" w:rsidRDefault="0001551B"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Liczba wniosków papierowych w okresie n / liczba wszystkich wniosków w okresie n</w:t>
            </w:r>
          </w:p>
        </w:tc>
        <w:tc>
          <w:tcPr>
            <w:tcW w:w="1532" w:type="dxa"/>
            <w:tcBorders>
              <w:top w:val="nil"/>
              <w:left w:val="nil"/>
              <w:bottom w:val="single" w:sz="4" w:space="0" w:color="auto"/>
              <w:right w:val="single" w:sz="4" w:space="0" w:color="auto"/>
            </w:tcBorders>
            <w:shd w:val="clear" w:color="auto" w:fill="auto"/>
            <w:hideMark/>
          </w:tcPr>
          <w:p w14:paraId="536E550D" w14:textId="1374871B" w:rsidR="0001551B" w:rsidRPr="00852A5D" w:rsidRDefault="0001551B"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Spadek w stosunku do roku bazowego (</w:t>
            </w:r>
            <w:r w:rsidR="00F4082C" w:rsidRPr="00852A5D">
              <w:rPr>
                <w:rFonts w:ascii="Calibri" w:eastAsia="Times New Roman" w:hAnsi="Calibri" w:cs="Calibri"/>
                <w:sz w:val="18"/>
                <w:szCs w:val="18"/>
                <w:lang w:eastAsia="pl-PL"/>
              </w:rPr>
              <w:t>26,2%)</w:t>
            </w:r>
          </w:p>
        </w:tc>
        <w:tc>
          <w:tcPr>
            <w:tcW w:w="1134" w:type="dxa"/>
            <w:tcBorders>
              <w:top w:val="nil"/>
              <w:left w:val="nil"/>
              <w:bottom w:val="single" w:sz="4" w:space="0" w:color="auto"/>
              <w:right w:val="single" w:sz="4" w:space="0" w:color="auto"/>
            </w:tcBorders>
            <w:shd w:val="clear" w:color="auto" w:fill="auto"/>
            <w:hideMark/>
          </w:tcPr>
          <w:p w14:paraId="4AC1AE3C" w14:textId="77777777" w:rsidR="0001551B" w:rsidRPr="00852A5D" w:rsidRDefault="0001551B"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21,5%</w:t>
            </w:r>
          </w:p>
        </w:tc>
        <w:tc>
          <w:tcPr>
            <w:tcW w:w="3260" w:type="dxa"/>
            <w:tcBorders>
              <w:top w:val="nil"/>
              <w:left w:val="nil"/>
              <w:bottom w:val="single" w:sz="4" w:space="0" w:color="auto"/>
              <w:right w:val="single" w:sz="4" w:space="0" w:color="auto"/>
            </w:tcBorders>
            <w:shd w:val="clear" w:color="auto" w:fill="auto"/>
            <w:hideMark/>
          </w:tcPr>
          <w:p w14:paraId="03461DD3" w14:textId="77777777" w:rsidR="0001551B" w:rsidRPr="00852A5D" w:rsidRDefault="0001551B"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 Dokonanie modyfikacji w SODiR usprawniających komunikację;</w:t>
            </w:r>
            <w:r w:rsidRPr="00852A5D">
              <w:rPr>
                <w:rFonts w:ascii="Calibri" w:eastAsia="Times New Roman" w:hAnsi="Calibri" w:cs="Calibri"/>
                <w:sz w:val="18"/>
                <w:szCs w:val="18"/>
                <w:lang w:eastAsia="pl-PL"/>
              </w:rPr>
              <w:br/>
              <w:t>- Realizacja kampanii informacyjnej;</w:t>
            </w:r>
            <w:r w:rsidRPr="00852A5D">
              <w:rPr>
                <w:rFonts w:ascii="Calibri" w:eastAsia="Times New Roman" w:hAnsi="Calibri" w:cs="Calibri"/>
                <w:sz w:val="18"/>
                <w:szCs w:val="18"/>
                <w:lang w:eastAsia="pl-PL"/>
              </w:rPr>
              <w:br/>
              <w:t>- Obsługa wniosków i udzielanie informacji przez Oddziały PFRON.</w:t>
            </w:r>
          </w:p>
        </w:tc>
        <w:tc>
          <w:tcPr>
            <w:tcW w:w="4926" w:type="dxa"/>
            <w:tcBorders>
              <w:top w:val="nil"/>
              <w:left w:val="nil"/>
              <w:bottom w:val="single" w:sz="4" w:space="0" w:color="auto"/>
              <w:right w:val="single" w:sz="4" w:space="0" w:color="auto"/>
            </w:tcBorders>
            <w:shd w:val="clear" w:color="000000" w:fill="FFFFFF"/>
            <w:hideMark/>
          </w:tcPr>
          <w:p w14:paraId="33F2DBF4" w14:textId="6B029723" w:rsidR="0001551B" w:rsidRPr="00852A5D" w:rsidRDefault="0001551B"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 xml:space="preserve">W ramach Systemu SOW podpisano porozumienia z 99 % powiatów, co umożliwi rozszerzenie możliwości składania elektronicznych wniosków o wsparcie ze środków PFRON </w:t>
            </w:r>
            <w:r w:rsidR="00432479" w:rsidRPr="00852A5D">
              <w:rPr>
                <w:rFonts w:ascii="Calibri" w:eastAsia="Times New Roman" w:hAnsi="Calibri" w:cs="Calibri"/>
                <w:sz w:val="18"/>
                <w:szCs w:val="18"/>
                <w:lang w:eastAsia="pl-PL"/>
              </w:rPr>
              <w:br/>
            </w:r>
            <w:r w:rsidRPr="00852A5D">
              <w:rPr>
                <w:rFonts w:ascii="Calibri" w:eastAsia="Times New Roman" w:hAnsi="Calibri" w:cs="Calibri"/>
                <w:sz w:val="18"/>
                <w:szCs w:val="18"/>
                <w:lang w:eastAsia="pl-PL"/>
              </w:rPr>
              <w:t>o zadania realizowane za pośrednictwem JST.</w:t>
            </w:r>
          </w:p>
        </w:tc>
      </w:tr>
      <w:tr w:rsidR="00763763" w:rsidRPr="00852A5D" w14:paraId="683DD43A" w14:textId="77777777" w:rsidTr="006910A5">
        <w:trPr>
          <w:trHeight w:val="1296"/>
        </w:trPr>
        <w:tc>
          <w:tcPr>
            <w:tcW w:w="0" w:type="auto"/>
            <w:tcBorders>
              <w:top w:val="nil"/>
              <w:left w:val="single" w:sz="4" w:space="0" w:color="auto"/>
              <w:bottom w:val="single" w:sz="4" w:space="0" w:color="auto"/>
              <w:right w:val="single" w:sz="4" w:space="0" w:color="auto"/>
            </w:tcBorders>
            <w:shd w:val="clear" w:color="000000" w:fill="FFFFFF"/>
            <w:hideMark/>
          </w:tcPr>
          <w:p w14:paraId="4AEF9A95" w14:textId="77777777" w:rsidR="0001551B" w:rsidRPr="00852A5D" w:rsidRDefault="0001551B"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4</w:t>
            </w:r>
          </w:p>
        </w:tc>
        <w:tc>
          <w:tcPr>
            <w:tcW w:w="1857" w:type="dxa"/>
            <w:tcBorders>
              <w:top w:val="nil"/>
              <w:left w:val="nil"/>
              <w:bottom w:val="single" w:sz="4" w:space="0" w:color="auto"/>
              <w:right w:val="single" w:sz="4" w:space="0" w:color="auto"/>
            </w:tcBorders>
            <w:shd w:val="clear" w:color="auto" w:fill="auto"/>
            <w:hideMark/>
          </w:tcPr>
          <w:p w14:paraId="650A35C5" w14:textId="77777777" w:rsidR="0001551B" w:rsidRPr="00852A5D" w:rsidRDefault="0001551B"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P3. Zapewnienie zgodności działań z przepisami prawa oraz procedurami wewnętrznymi</w:t>
            </w:r>
          </w:p>
        </w:tc>
        <w:tc>
          <w:tcPr>
            <w:tcW w:w="2579" w:type="dxa"/>
            <w:tcBorders>
              <w:top w:val="nil"/>
              <w:left w:val="nil"/>
              <w:bottom w:val="single" w:sz="4" w:space="0" w:color="auto"/>
              <w:right w:val="single" w:sz="4" w:space="0" w:color="auto"/>
            </w:tcBorders>
            <w:shd w:val="clear" w:color="auto" w:fill="auto"/>
            <w:hideMark/>
          </w:tcPr>
          <w:p w14:paraId="53BDB922" w14:textId="77777777" w:rsidR="0001551B" w:rsidRPr="00852A5D" w:rsidRDefault="0001551B"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Liczba decyzji PFRON uchylonych przez sąd</w:t>
            </w:r>
          </w:p>
        </w:tc>
        <w:tc>
          <w:tcPr>
            <w:tcW w:w="1532" w:type="dxa"/>
            <w:tcBorders>
              <w:top w:val="nil"/>
              <w:left w:val="nil"/>
              <w:bottom w:val="single" w:sz="4" w:space="0" w:color="auto"/>
              <w:right w:val="single" w:sz="4" w:space="0" w:color="auto"/>
            </w:tcBorders>
            <w:shd w:val="clear" w:color="auto" w:fill="auto"/>
            <w:hideMark/>
          </w:tcPr>
          <w:p w14:paraId="30741CC7" w14:textId="77777777" w:rsidR="0001551B" w:rsidRPr="00852A5D" w:rsidRDefault="0001551B"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Mniej w stosunku do roku bazowego (23)</w:t>
            </w:r>
          </w:p>
        </w:tc>
        <w:tc>
          <w:tcPr>
            <w:tcW w:w="1134" w:type="dxa"/>
            <w:tcBorders>
              <w:top w:val="nil"/>
              <w:left w:val="nil"/>
              <w:bottom w:val="single" w:sz="4" w:space="0" w:color="auto"/>
              <w:right w:val="single" w:sz="4" w:space="0" w:color="auto"/>
            </w:tcBorders>
            <w:shd w:val="clear" w:color="auto" w:fill="auto"/>
            <w:hideMark/>
          </w:tcPr>
          <w:p w14:paraId="7180C672" w14:textId="13BE4D4E" w:rsidR="0001551B" w:rsidRPr="00852A5D" w:rsidRDefault="00EA2AEC"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40</w:t>
            </w:r>
          </w:p>
        </w:tc>
        <w:tc>
          <w:tcPr>
            <w:tcW w:w="3260" w:type="dxa"/>
            <w:tcBorders>
              <w:top w:val="nil"/>
              <w:left w:val="nil"/>
              <w:bottom w:val="single" w:sz="4" w:space="0" w:color="auto"/>
              <w:right w:val="single" w:sz="4" w:space="0" w:color="auto"/>
            </w:tcBorders>
            <w:shd w:val="clear" w:color="auto" w:fill="auto"/>
            <w:hideMark/>
          </w:tcPr>
          <w:p w14:paraId="744A008B" w14:textId="77777777" w:rsidR="0001551B" w:rsidRPr="00852A5D" w:rsidRDefault="0001551B"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 Pogłębienie analizy orzecznictwa;</w:t>
            </w:r>
            <w:r w:rsidRPr="00852A5D">
              <w:rPr>
                <w:rFonts w:ascii="Calibri" w:eastAsia="Times New Roman" w:hAnsi="Calibri" w:cs="Calibri"/>
                <w:sz w:val="18"/>
                <w:szCs w:val="18"/>
                <w:lang w:eastAsia="pl-PL"/>
              </w:rPr>
              <w:br/>
              <w:t>- Rozwój wiedzy (bazy doświadczeń);</w:t>
            </w:r>
            <w:r w:rsidRPr="00852A5D">
              <w:rPr>
                <w:rFonts w:ascii="Calibri" w:eastAsia="Times New Roman" w:hAnsi="Calibri" w:cs="Calibri"/>
                <w:sz w:val="18"/>
                <w:szCs w:val="18"/>
                <w:lang w:eastAsia="pl-PL"/>
              </w:rPr>
              <w:br/>
              <w:t>- Doskonalenie sposobu prowadzenia postępowań administracyjnych.</w:t>
            </w:r>
          </w:p>
        </w:tc>
        <w:tc>
          <w:tcPr>
            <w:tcW w:w="4926" w:type="dxa"/>
            <w:tcBorders>
              <w:top w:val="nil"/>
              <w:left w:val="nil"/>
              <w:bottom w:val="single" w:sz="4" w:space="0" w:color="auto"/>
              <w:right w:val="single" w:sz="4" w:space="0" w:color="auto"/>
            </w:tcBorders>
            <w:shd w:val="clear" w:color="000000" w:fill="FFFFFF"/>
            <w:hideMark/>
          </w:tcPr>
          <w:p w14:paraId="23C342A2" w14:textId="6E0C54E1" w:rsidR="00D90F5D" w:rsidRPr="00852A5D" w:rsidRDefault="00E419C3"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 xml:space="preserve">- </w:t>
            </w:r>
            <w:r w:rsidR="00D90F5D" w:rsidRPr="00852A5D">
              <w:rPr>
                <w:rFonts w:ascii="Calibri" w:eastAsia="Times New Roman" w:hAnsi="Calibri" w:cs="Calibri"/>
                <w:sz w:val="18"/>
                <w:szCs w:val="18"/>
                <w:lang w:eastAsia="pl-PL"/>
              </w:rPr>
              <w:t>Analiza linii orzeczniczej w kontekście struktury decyzji administracyjnych wydawanych w PFRON,</w:t>
            </w:r>
          </w:p>
          <w:p w14:paraId="61088CC9" w14:textId="1A37329D" w:rsidR="0001551B" w:rsidRPr="00852A5D" w:rsidRDefault="00D90F5D"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 xml:space="preserve">- </w:t>
            </w:r>
            <w:r w:rsidR="00E419C3" w:rsidRPr="00852A5D">
              <w:rPr>
                <w:rFonts w:ascii="Calibri" w:eastAsia="Times New Roman" w:hAnsi="Calibri" w:cs="Calibri"/>
                <w:sz w:val="18"/>
                <w:szCs w:val="18"/>
                <w:lang w:eastAsia="pl-PL"/>
              </w:rPr>
              <w:t>Szkolenia uzupełniające wiedzę pracowników</w:t>
            </w:r>
            <w:r w:rsidRPr="00852A5D">
              <w:rPr>
                <w:rFonts w:ascii="Calibri" w:eastAsia="Times New Roman" w:hAnsi="Calibri" w:cs="Calibri"/>
                <w:sz w:val="18"/>
                <w:szCs w:val="18"/>
                <w:lang w:eastAsia="pl-PL"/>
              </w:rPr>
              <w:t xml:space="preserve"> z uwzględnieniem linii orzeczniczej,</w:t>
            </w:r>
          </w:p>
          <w:p w14:paraId="5603BB85" w14:textId="23BE7776" w:rsidR="00D90F5D" w:rsidRPr="00852A5D" w:rsidRDefault="00D90F5D" w:rsidP="006910A5">
            <w:pPr>
              <w:spacing w:after="0" w:line="240" w:lineRule="auto"/>
              <w:rPr>
                <w:rFonts w:ascii="Calibri" w:eastAsia="Times New Roman" w:hAnsi="Calibri" w:cs="Calibri"/>
                <w:sz w:val="18"/>
                <w:szCs w:val="18"/>
                <w:lang w:eastAsia="pl-PL"/>
              </w:rPr>
            </w:pPr>
            <w:r w:rsidRPr="00852A5D">
              <w:rPr>
                <w:rFonts w:ascii="Calibri" w:eastAsia="Times New Roman" w:hAnsi="Calibri" w:cs="Calibri"/>
                <w:sz w:val="18"/>
                <w:szCs w:val="18"/>
                <w:lang w:eastAsia="pl-PL"/>
              </w:rPr>
              <w:t>- Przeprowadzanie postępowań zgodnie z wytycznymi sądu.</w:t>
            </w:r>
          </w:p>
        </w:tc>
      </w:tr>
    </w:tbl>
    <w:p w14:paraId="60BF28DF" w14:textId="64746870" w:rsidR="00371BB6" w:rsidRPr="00852A5D" w:rsidRDefault="00B479A1" w:rsidP="001B7F7D">
      <w:pPr>
        <w:tabs>
          <w:tab w:val="left" w:pos="10257"/>
        </w:tabs>
        <w:rPr>
          <w:rFonts w:ascii="Calibri" w:hAnsi="Calibri" w:cs="Calibri"/>
        </w:rPr>
        <w:sectPr w:rsidR="00371BB6" w:rsidRPr="00852A5D" w:rsidSect="006D78A8">
          <w:footerReference w:type="default" r:id="rId8"/>
          <w:footerReference w:type="first" r:id="rId9"/>
          <w:pgSz w:w="16838" w:h="11906" w:orient="landscape"/>
          <w:pgMar w:top="425" w:right="567" w:bottom="425" w:left="567" w:header="709" w:footer="0" w:gutter="0"/>
          <w:pgNumType w:start="1"/>
          <w:cols w:space="708"/>
          <w:titlePg/>
          <w:docGrid w:linePitch="360"/>
        </w:sectPr>
      </w:pPr>
      <w:r w:rsidRPr="00852A5D">
        <w:rPr>
          <w:rFonts w:ascii="Calibri" w:eastAsia="Times New Roman" w:hAnsi="Calibri" w:cs="Calibri"/>
          <w:sz w:val="20"/>
          <w:szCs w:val="20"/>
          <w:lang w:eastAsia="pl-PL"/>
        </w:rPr>
        <w:tab/>
      </w:r>
    </w:p>
    <w:p w14:paraId="4405E8F7" w14:textId="050D1503" w:rsidR="002B5C7C" w:rsidRPr="00852A5D" w:rsidRDefault="002B5C7C" w:rsidP="002A7E75">
      <w:pPr>
        <w:pStyle w:val="Nagwek2"/>
      </w:pPr>
      <w:r w:rsidRPr="00852A5D">
        <w:lastRenderedPageBreak/>
        <w:t>CZĘŚĆ D: Informacja dotycząca realizacji celów objętych planem działalności na rok 2019</w:t>
      </w:r>
    </w:p>
    <w:p w14:paraId="4AD01BCC" w14:textId="5C095BC8" w:rsidR="0045692F" w:rsidRPr="0045692F" w:rsidRDefault="0045692F" w:rsidP="0045692F">
      <w:pPr>
        <w:pStyle w:val="Akapitzlist"/>
        <w:numPr>
          <w:ilvl w:val="0"/>
          <w:numId w:val="9"/>
        </w:numPr>
        <w:spacing w:before="120" w:after="0" w:line="360" w:lineRule="auto"/>
        <w:rPr>
          <w:rFonts w:ascii="Calibri" w:eastAsia="Times New Roman" w:hAnsi="Calibri" w:cs="Calibri"/>
          <w:sz w:val="20"/>
          <w:szCs w:val="20"/>
          <w:lang w:eastAsia="pl-PL"/>
        </w:rPr>
      </w:pPr>
      <w:r w:rsidRPr="0045692F">
        <w:rPr>
          <w:rFonts w:ascii="Calibri" w:eastAsia="Times New Roman" w:hAnsi="Calibri" w:cs="Calibri"/>
          <w:sz w:val="20"/>
          <w:szCs w:val="20"/>
          <w:lang w:eastAsia="pl-PL"/>
        </w:rPr>
        <w:t>Część A, cel nr 1 - Według dostępnych danych GUS-BAEL w III kw. 2019 roku liczba zatrudnionych Osób Niepełnosprawnych wyniosła 440 tys. (mniej o 9 tys. niż w porównywalnym okresie roku 2018 r). Wg danych Funduszu za 2019 rok liczba Osób Niepełnosprawnych objętych wsparciem przez PFRON w zakresie rehabilitacji zawodowej wyniosła 382,6 tys., tj. 86,97% liczby zatrudnionych Osób Niepełnosprawnych w Polsce. Dostępność danych GUS-BAEL za IV kw. 2019 r. spodziewana jest w kwietniu 2020 r. Oczekuje się, że średnia roczna GUS-BAEL będzie niższa od opublikowanej za III kw. 2019, co przyczyni się do uzyskania wartości drugiego miernika powyżej 88%, przy utrzymaniu wskaźnika zatrudnienia powyżej 27%.</w:t>
      </w:r>
    </w:p>
    <w:p w14:paraId="2CC74FB4" w14:textId="0C23CC32" w:rsidR="0045692F" w:rsidRPr="0045692F" w:rsidRDefault="0045692F" w:rsidP="0045692F">
      <w:pPr>
        <w:pStyle w:val="Akapitzlist"/>
        <w:numPr>
          <w:ilvl w:val="0"/>
          <w:numId w:val="9"/>
        </w:numPr>
        <w:spacing w:before="120" w:after="0" w:line="360" w:lineRule="auto"/>
        <w:rPr>
          <w:rFonts w:ascii="Calibri" w:eastAsia="Times New Roman" w:hAnsi="Calibri" w:cs="Calibri"/>
          <w:sz w:val="20"/>
          <w:szCs w:val="20"/>
          <w:lang w:eastAsia="pl-PL"/>
        </w:rPr>
      </w:pPr>
      <w:r w:rsidRPr="0045692F">
        <w:rPr>
          <w:rFonts w:ascii="Calibri" w:eastAsia="Times New Roman" w:hAnsi="Calibri" w:cs="Calibri"/>
          <w:sz w:val="20"/>
          <w:szCs w:val="20"/>
          <w:lang w:eastAsia="pl-PL"/>
        </w:rPr>
        <w:t>Część A, cel nr 2 - Wykonanie miernika jest nieco wyższe od planowanego minimum. Wg danych PFRON w 2019 roku liczba Osób Niepełnosprawnych objętych wsparciem przez PFRON w ramach rehabilitacji społecznej wyniosła 707,6 tys., co w relacji do liczby Osób Niepełnosprawnych, posiadających orzeczenie o niepełnosprawności oznacza, że około 22 na 100 Osób Niepełnosprawnych prawnie uzyskało wsparcie ze środków Funduszu w ramach rehabilitacji społecznej. Tym samym PFRON poprawił wyniki uzyskane w latach 2017-2018. Cel został osiągnięty.</w:t>
      </w:r>
    </w:p>
    <w:p w14:paraId="2144D062" w14:textId="2AC0FCD7" w:rsidR="0045692F" w:rsidRPr="0045692F" w:rsidRDefault="0045692F" w:rsidP="0045692F">
      <w:pPr>
        <w:pStyle w:val="Akapitzlist"/>
        <w:numPr>
          <w:ilvl w:val="0"/>
          <w:numId w:val="9"/>
        </w:numPr>
        <w:spacing w:before="120" w:after="0" w:line="360" w:lineRule="auto"/>
        <w:rPr>
          <w:rFonts w:ascii="Calibri" w:eastAsia="Times New Roman" w:hAnsi="Calibri" w:cs="Calibri"/>
          <w:sz w:val="20"/>
          <w:szCs w:val="20"/>
          <w:lang w:eastAsia="pl-PL"/>
        </w:rPr>
      </w:pPr>
      <w:r w:rsidRPr="0045692F">
        <w:rPr>
          <w:rFonts w:ascii="Calibri" w:eastAsia="Times New Roman" w:hAnsi="Calibri" w:cs="Calibri"/>
          <w:sz w:val="20"/>
          <w:szCs w:val="20"/>
          <w:lang w:eastAsia="pl-PL"/>
        </w:rPr>
        <w:t>Część A, cel nr 3 - W 2019 roku wskaźnik faktycznej realizacji przychodów przyjmował wartości w zakresie od 99,84% do 100,35%. Uzyskaniu pozytywnego wyniku częściowo sprzyjało otoczenie makroekonomiczne Funduszu, w szczególności: realny wzrost przeciętnego wynagrodzenia w gospodarce narodowej o 4,8% w 2019 r. w stosunku do 2018 r. i rekordowy spadek stopy bezrobocia rejestrowanego z 5,8% do 5,2%. Jednakże pojawiły się symptomy spowolnienia gospodarczego, jak np. kontynuowany od 2018 r. spadek tempa PKB z 4,9% do 3,9% przy jednoczesnym wzroście inflacji z 1,1% do 2,6%. W 2019 r. przychody od pracodawców wyniosły memoriałowo 4.736.555 tys. zł, na co największy wpływ miały: przeciętne wynagrodzenie oraz poziom zatrudnienia.</w:t>
      </w:r>
      <w:r>
        <w:rPr>
          <w:rFonts w:ascii="Calibri" w:eastAsia="Times New Roman" w:hAnsi="Calibri" w:cs="Calibri"/>
          <w:sz w:val="20"/>
          <w:szCs w:val="20"/>
          <w:lang w:eastAsia="pl-PL"/>
        </w:rPr>
        <w:br/>
      </w:r>
      <w:r w:rsidRPr="0045692F">
        <w:rPr>
          <w:rFonts w:ascii="Calibri" w:eastAsia="Times New Roman" w:hAnsi="Calibri" w:cs="Calibri"/>
          <w:sz w:val="20"/>
          <w:szCs w:val="20"/>
          <w:lang w:eastAsia="pl-PL"/>
        </w:rPr>
        <w:t>W roku 2019 w wyniku działań windykacyjnych Fundusz odzyskał kwotę o 13% większą niż w roku 2018, przy czym kapitał należności objętych postępowaniem windykacyjnym wzrósł o 20,48 %. W efekcie wskaźnik skuteczności wyniósł 17,02%. Na wynik działań windykacyjnych wpływa w istotny sposób duża liczba prowadzonych przez Fundusz postępowań zwrotowych i kwota wynikająca z wydanych decyzji, która stanowi punkt odniesienia przy dokonywaniu pomiarów skuteczności. Biorąc pod uwagę oba mierniki wykonania, uzyskany za 2019 wynik jest bliski satysfakcjonującemu.</w:t>
      </w:r>
    </w:p>
    <w:p w14:paraId="7486A4E4" w14:textId="722357C5" w:rsidR="002556EE" w:rsidRPr="002556EE" w:rsidRDefault="0045692F" w:rsidP="002556EE">
      <w:pPr>
        <w:pStyle w:val="Akapitzlist"/>
        <w:numPr>
          <w:ilvl w:val="0"/>
          <w:numId w:val="9"/>
        </w:numPr>
        <w:spacing w:before="120" w:after="0" w:line="360" w:lineRule="auto"/>
        <w:rPr>
          <w:rFonts w:ascii="Calibri" w:eastAsia="Times New Roman" w:hAnsi="Calibri" w:cs="Calibri"/>
          <w:sz w:val="20"/>
          <w:szCs w:val="20"/>
          <w:lang w:eastAsia="pl-PL"/>
        </w:rPr>
      </w:pPr>
      <w:r w:rsidRPr="002556EE">
        <w:rPr>
          <w:rFonts w:ascii="Calibri" w:eastAsia="Times New Roman" w:hAnsi="Calibri" w:cs="Calibri"/>
          <w:sz w:val="20"/>
          <w:szCs w:val="20"/>
          <w:lang w:eastAsia="pl-PL"/>
        </w:rPr>
        <w:t>Część A, cel nr 4 - W planie działalności PFRON na 2019 rok zakładano uzyskanie kosztu alokacji w granicach 24-25 zł na każde alokowane 1000 zł. Osiągnięcie celu na poziomie poniżej 22 zł było możliwe dzięki konsekwentnemu ograniczaniu wydatków na obsługę działalności bieżącej Funduszu, przy zachowaniu balansu między oszczędnościami a rozwojem usług poprzez inwestycje.</w:t>
      </w:r>
    </w:p>
    <w:p w14:paraId="23A1FD0A" w14:textId="23FE7978" w:rsidR="0045692F" w:rsidRPr="002556EE" w:rsidRDefault="0045692F" w:rsidP="002556EE">
      <w:pPr>
        <w:pStyle w:val="Akapitzlist"/>
        <w:numPr>
          <w:ilvl w:val="0"/>
          <w:numId w:val="9"/>
        </w:numPr>
        <w:spacing w:before="120" w:after="0" w:line="360" w:lineRule="auto"/>
        <w:rPr>
          <w:rFonts w:ascii="Calibri" w:eastAsia="Times New Roman" w:hAnsi="Calibri" w:cs="Calibri"/>
          <w:sz w:val="20"/>
          <w:szCs w:val="20"/>
          <w:lang w:eastAsia="pl-PL"/>
        </w:rPr>
      </w:pPr>
      <w:r w:rsidRPr="002556EE">
        <w:rPr>
          <w:rFonts w:ascii="Calibri" w:eastAsia="Times New Roman" w:hAnsi="Calibri" w:cs="Calibri"/>
          <w:sz w:val="20"/>
          <w:szCs w:val="20"/>
          <w:lang w:eastAsia="pl-PL"/>
        </w:rPr>
        <w:t xml:space="preserve">Część A, cel nr 5 - Fundusz wdrożył 43% rekomendacji w oparciu o wyniki audytów bezpieczeństwa. W efekcie przeprowadzonego </w:t>
      </w:r>
      <w:proofErr w:type="spellStart"/>
      <w:r w:rsidRPr="002556EE">
        <w:rPr>
          <w:rFonts w:ascii="Calibri" w:eastAsia="Times New Roman" w:hAnsi="Calibri" w:cs="Calibri"/>
          <w:sz w:val="20"/>
          <w:szCs w:val="20"/>
          <w:lang w:eastAsia="pl-PL"/>
        </w:rPr>
        <w:t>reaudytu</w:t>
      </w:r>
      <w:proofErr w:type="spellEnd"/>
      <w:r w:rsidRPr="002556EE">
        <w:rPr>
          <w:rFonts w:ascii="Calibri" w:eastAsia="Times New Roman" w:hAnsi="Calibri" w:cs="Calibri"/>
          <w:sz w:val="20"/>
          <w:szCs w:val="20"/>
          <w:lang w:eastAsia="pl-PL"/>
        </w:rPr>
        <w:t xml:space="preserve"> w 2019 roku, baza podatności uległa zwiększeniu. Tym samym cel przyjęty na 2019 rok nie został osiągnięty, a główne przyczyny wynikały z:</w:t>
      </w:r>
    </w:p>
    <w:p w14:paraId="187534D6" w14:textId="35C417C1" w:rsidR="0045692F" w:rsidRPr="0045692F" w:rsidRDefault="0045692F" w:rsidP="002556EE">
      <w:pPr>
        <w:pStyle w:val="Akapitzlist"/>
        <w:numPr>
          <w:ilvl w:val="1"/>
          <w:numId w:val="12"/>
        </w:numPr>
        <w:spacing w:before="120" w:after="0" w:line="360" w:lineRule="auto"/>
        <w:rPr>
          <w:rFonts w:ascii="Calibri" w:eastAsia="Times New Roman" w:hAnsi="Calibri" w:cs="Calibri"/>
          <w:sz w:val="20"/>
          <w:szCs w:val="20"/>
          <w:lang w:eastAsia="pl-PL"/>
        </w:rPr>
      </w:pPr>
      <w:r w:rsidRPr="0045692F">
        <w:rPr>
          <w:rFonts w:ascii="Calibri" w:eastAsia="Times New Roman" w:hAnsi="Calibri" w:cs="Calibri"/>
          <w:sz w:val="20"/>
          <w:szCs w:val="20"/>
          <w:lang w:eastAsia="pl-PL"/>
        </w:rPr>
        <w:t xml:space="preserve">- przedłużenia procesu wyboru wykonawcy usług utrzymania i rozwoju systemu </w:t>
      </w:r>
      <w:proofErr w:type="spellStart"/>
      <w:r w:rsidRPr="0045692F">
        <w:rPr>
          <w:rFonts w:ascii="Calibri" w:eastAsia="Times New Roman" w:hAnsi="Calibri" w:cs="Calibri"/>
          <w:sz w:val="20"/>
          <w:szCs w:val="20"/>
          <w:lang w:eastAsia="pl-PL"/>
        </w:rPr>
        <w:t>SODiR</w:t>
      </w:r>
      <w:proofErr w:type="spellEnd"/>
      <w:r w:rsidRPr="0045692F">
        <w:rPr>
          <w:rFonts w:ascii="Calibri" w:eastAsia="Times New Roman" w:hAnsi="Calibri" w:cs="Calibri"/>
          <w:sz w:val="20"/>
          <w:szCs w:val="20"/>
          <w:lang w:eastAsia="pl-PL"/>
        </w:rPr>
        <w:t>, które spowodowało, że prace nad usuwaniem podatności mogły się rozpocząć dopiero pod koniec 2019 r.,</w:t>
      </w:r>
    </w:p>
    <w:p w14:paraId="6378C52A" w14:textId="01084D71" w:rsidR="0045692F" w:rsidRPr="0045692F" w:rsidRDefault="0045692F" w:rsidP="002556EE">
      <w:pPr>
        <w:pStyle w:val="Akapitzlist"/>
        <w:numPr>
          <w:ilvl w:val="1"/>
          <w:numId w:val="12"/>
        </w:numPr>
        <w:spacing w:before="120" w:after="0" w:line="360" w:lineRule="auto"/>
        <w:rPr>
          <w:rFonts w:ascii="Calibri" w:eastAsia="Times New Roman" w:hAnsi="Calibri" w:cs="Calibri"/>
          <w:sz w:val="20"/>
          <w:szCs w:val="20"/>
          <w:lang w:eastAsia="pl-PL"/>
        </w:rPr>
      </w:pPr>
      <w:r w:rsidRPr="0045692F">
        <w:rPr>
          <w:rFonts w:ascii="Calibri" w:eastAsia="Times New Roman" w:hAnsi="Calibri" w:cs="Calibri"/>
          <w:sz w:val="20"/>
          <w:szCs w:val="20"/>
          <w:lang w:eastAsia="pl-PL"/>
        </w:rPr>
        <w:t xml:space="preserve">- migracji systemu </w:t>
      </w:r>
      <w:proofErr w:type="spellStart"/>
      <w:r w:rsidRPr="0045692F">
        <w:rPr>
          <w:rFonts w:ascii="Calibri" w:eastAsia="Times New Roman" w:hAnsi="Calibri" w:cs="Calibri"/>
          <w:sz w:val="20"/>
          <w:szCs w:val="20"/>
          <w:lang w:eastAsia="pl-PL"/>
        </w:rPr>
        <w:t>SODiR</w:t>
      </w:r>
      <w:proofErr w:type="spellEnd"/>
      <w:r w:rsidRPr="0045692F">
        <w:rPr>
          <w:rFonts w:ascii="Calibri" w:eastAsia="Times New Roman" w:hAnsi="Calibri" w:cs="Calibri"/>
          <w:sz w:val="20"/>
          <w:szCs w:val="20"/>
          <w:lang w:eastAsia="pl-PL"/>
        </w:rPr>
        <w:t xml:space="preserve"> na nową platformę systemowo-sprzętową, warunkującej usunięcie większości podatności występujących w systemie </w:t>
      </w:r>
      <w:proofErr w:type="spellStart"/>
      <w:r w:rsidRPr="0045692F">
        <w:rPr>
          <w:rFonts w:ascii="Calibri" w:eastAsia="Times New Roman" w:hAnsi="Calibri" w:cs="Calibri"/>
          <w:sz w:val="20"/>
          <w:szCs w:val="20"/>
          <w:lang w:eastAsia="pl-PL"/>
        </w:rPr>
        <w:t>SODiR</w:t>
      </w:r>
      <w:proofErr w:type="spellEnd"/>
      <w:r w:rsidRPr="0045692F">
        <w:rPr>
          <w:rFonts w:ascii="Calibri" w:eastAsia="Times New Roman" w:hAnsi="Calibri" w:cs="Calibri"/>
          <w:sz w:val="20"/>
          <w:szCs w:val="20"/>
          <w:lang w:eastAsia="pl-PL"/>
        </w:rPr>
        <w:t>;</w:t>
      </w:r>
    </w:p>
    <w:p w14:paraId="2B30CAC7" w14:textId="15EE6A07" w:rsidR="0045692F" w:rsidRPr="0045692F" w:rsidRDefault="0045692F" w:rsidP="002556EE">
      <w:pPr>
        <w:pStyle w:val="Akapitzlist"/>
        <w:numPr>
          <w:ilvl w:val="1"/>
          <w:numId w:val="12"/>
        </w:numPr>
        <w:spacing w:before="120" w:after="0" w:line="360" w:lineRule="auto"/>
        <w:rPr>
          <w:rFonts w:ascii="Calibri" w:eastAsia="Times New Roman" w:hAnsi="Calibri" w:cs="Calibri"/>
          <w:sz w:val="20"/>
          <w:szCs w:val="20"/>
          <w:lang w:eastAsia="pl-PL"/>
        </w:rPr>
      </w:pPr>
      <w:r w:rsidRPr="0045692F">
        <w:rPr>
          <w:rFonts w:ascii="Calibri" w:eastAsia="Times New Roman" w:hAnsi="Calibri" w:cs="Calibri"/>
          <w:sz w:val="20"/>
          <w:szCs w:val="20"/>
          <w:lang w:eastAsia="pl-PL"/>
        </w:rPr>
        <w:lastRenderedPageBreak/>
        <w:t>- decyzji o przebudowie systemu e-PFRON2. W ramach przebudowy systemu zmianie ulegnie oprogramowanie do zarządzania środowiskiem serwerowym, zaktualizowane zostaną serwery aplikacyjne i bazodanowe.</w:t>
      </w:r>
    </w:p>
    <w:p w14:paraId="033D6A81" w14:textId="77777777" w:rsidR="002556EE" w:rsidRDefault="0045692F" w:rsidP="0045692F">
      <w:pPr>
        <w:pStyle w:val="Akapitzlist"/>
        <w:numPr>
          <w:ilvl w:val="0"/>
          <w:numId w:val="9"/>
        </w:numPr>
        <w:spacing w:before="120" w:after="0" w:line="360" w:lineRule="auto"/>
        <w:rPr>
          <w:rFonts w:ascii="Calibri" w:eastAsia="Times New Roman" w:hAnsi="Calibri" w:cs="Calibri"/>
          <w:sz w:val="20"/>
          <w:szCs w:val="20"/>
          <w:lang w:eastAsia="pl-PL"/>
        </w:rPr>
      </w:pPr>
      <w:r w:rsidRPr="002556EE">
        <w:rPr>
          <w:rFonts w:ascii="Calibri" w:eastAsia="Times New Roman" w:hAnsi="Calibri" w:cs="Calibri"/>
          <w:sz w:val="20"/>
          <w:szCs w:val="20"/>
          <w:lang w:eastAsia="pl-PL"/>
        </w:rPr>
        <w:t>Część C, cel nr 1 - W 2019 roku zaplanowano wdrożenie 3 nowych narzędzi wspierających skuteczność i efektywność działania. Cel został osiągnięty na poziomie wyższym niż zakładano. W roku 2019 wdrożono narzędzia wspierające skuteczność i efektywność działania w obszarach: audytu wewnętrznego, nadzoru nad decyzjami pełnomocników Zarządu PFRON. W niepełnym zakresie znajdują się wdrożenia: systemów wspierających procesy windykacyjne, zautomatyzowanej walidacji danych PFRON z odpowiednikami w zewnętrznych zasobach danych innych instytucji i urzędów.</w:t>
      </w:r>
    </w:p>
    <w:p w14:paraId="73152553" w14:textId="62CD90EB" w:rsidR="0045692F" w:rsidRPr="002556EE" w:rsidRDefault="0045692F" w:rsidP="0045692F">
      <w:pPr>
        <w:pStyle w:val="Akapitzlist"/>
        <w:numPr>
          <w:ilvl w:val="0"/>
          <w:numId w:val="9"/>
        </w:numPr>
        <w:spacing w:before="120" w:after="0" w:line="360" w:lineRule="auto"/>
        <w:rPr>
          <w:rFonts w:ascii="Calibri" w:eastAsia="Times New Roman" w:hAnsi="Calibri" w:cs="Calibri"/>
          <w:sz w:val="20"/>
          <w:szCs w:val="20"/>
          <w:lang w:eastAsia="pl-PL"/>
        </w:rPr>
      </w:pPr>
      <w:r w:rsidRPr="002556EE">
        <w:rPr>
          <w:rFonts w:ascii="Calibri" w:eastAsia="Times New Roman" w:hAnsi="Calibri" w:cs="Calibri"/>
          <w:sz w:val="20"/>
          <w:szCs w:val="20"/>
          <w:lang w:eastAsia="pl-PL"/>
        </w:rPr>
        <w:t>Część C, cel nr 2 - Cel osiągnięto, a efekty optymalizacji 23 procesów obejmują:</w:t>
      </w:r>
    </w:p>
    <w:p w14:paraId="0D45CA0E" w14:textId="4B43C74A" w:rsidR="0045692F" w:rsidRPr="002556EE" w:rsidRDefault="0045692F" w:rsidP="002556EE">
      <w:pPr>
        <w:pStyle w:val="Akapitzlist"/>
        <w:numPr>
          <w:ilvl w:val="1"/>
          <w:numId w:val="14"/>
        </w:numPr>
        <w:spacing w:before="120" w:after="0" w:line="360" w:lineRule="auto"/>
        <w:rPr>
          <w:rFonts w:ascii="Calibri" w:eastAsia="Times New Roman" w:hAnsi="Calibri" w:cs="Calibri"/>
          <w:sz w:val="20"/>
          <w:szCs w:val="20"/>
          <w:lang w:eastAsia="pl-PL"/>
        </w:rPr>
      </w:pPr>
      <w:r w:rsidRPr="002556EE">
        <w:rPr>
          <w:rFonts w:ascii="Calibri" w:eastAsia="Times New Roman" w:hAnsi="Calibri" w:cs="Calibri"/>
          <w:sz w:val="20"/>
          <w:szCs w:val="20"/>
          <w:lang w:eastAsia="pl-PL"/>
        </w:rPr>
        <w:t>skrócenie czasu realizacji procesu poprzez rezygnację ze zbędnych czynności w procesie lub przemodelowanie kolejności działań;</w:t>
      </w:r>
    </w:p>
    <w:p w14:paraId="496539F3" w14:textId="1CF30A7E" w:rsidR="0045692F" w:rsidRPr="002556EE" w:rsidRDefault="0045692F" w:rsidP="002556EE">
      <w:pPr>
        <w:pStyle w:val="Akapitzlist"/>
        <w:numPr>
          <w:ilvl w:val="1"/>
          <w:numId w:val="14"/>
        </w:numPr>
        <w:spacing w:before="120" w:after="0" w:line="360" w:lineRule="auto"/>
        <w:rPr>
          <w:rFonts w:ascii="Calibri" w:eastAsia="Times New Roman" w:hAnsi="Calibri" w:cs="Calibri"/>
          <w:sz w:val="20"/>
          <w:szCs w:val="20"/>
          <w:lang w:eastAsia="pl-PL"/>
        </w:rPr>
      </w:pPr>
      <w:r w:rsidRPr="002556EE">
        <w:rPr>
          <w:rFonts w:ascii="Calibri" w:eastAsia="Times New Roman" w:hAnsi="Calibri" w:cs="Calibri"/>
          <w:sz w:val="20"/>
          <w:szCs w:val="20"/>
          <w:lang w:eastAsia="pl-PL"/>
        </w:rPr>
        <w:t xml:space="preserve">poprawę sprawności działania poprzez wprowadzenie elektronicznego podpisu; </w:t>
      </w:r>
    </w:p>
    <w:p w14:paraId="4B6D0854" w14:textId="46104D58" w:rsidR="0045692F" w:rsidRPr="002556EE" w:rsidRDefault="0045692F" w:rsidP="002556EE">
      <w:pPr>
        <w:pStyle w:val="Akapitzlist"/>
        <w:numPr>
          <w:ilvl w:val="1"/>
          <w:numId w:val="14"/>
        </w:numPr>
        <w:spacing w:before="120" w:after="0" w:line="360" w:lineRule="auto"/>
        <w:rPr>
          <w:rFonts w:ascii="Calibri" w:eastAsia="Times New Roman" w:hAnsi="Calibri" w:cs="Calibri"/>
          <w:sz w:val="20"/>
          <w:szCs w:val="20"/>
          <w:lang w:eastAsia="pl-PL"/>
        </w:rPr>
      </w:pPr>
      <w:r w:rsidRPr="002556EE">
        <w:rPr>
          <w:rFonts w:ascii="Calibri" w:eastAsia="Times New Roman" w:hAnsi="Calibri" w:cs="Calibri"/>
          <w:sz w:val="20"/>
          <w:szCs w:val="20"/>
          <w:lang w:eastAsia="pl-PL"/>
        </w:rPr>
        <w:t>poprawę efektywności procesu poprzez uporządkowanie przebiegu, usankcjonowanie czynności wykonywanych nieformalnie, doprecyzowanie niektórych czynności;</w:t>
      </w:r>
    </w:p>
    <w:p w14:paraId="30E54B52" w14:textId="52543193" w:rsidR="0045692F" w:rsidRPr="002556EE" w:rsidRDefault="0045692F" w:rsidP="002556EE">
      <w:pPr>
        <w:pStyle w:val="Akapitzlist"/>
        <w:numPr>
          <w:ilvl w:val="1"/>
          <w:numId w:val="14"/>
        </w:numPr>
        <w:spacing w:before="120" w:after="0" w:line="360" w:lineRule="auto"/>
        <w:rPr>
          <w:rFonts w:ascii="Calibri" w:eastAsia="Times New Roman" w:hAnsi="Calibri" w:cs="Calibri"/>
          <w:sz w:val="20"/>
          <w:szCs w:val="20"/>
          <w:lang w:eastAsia="pl-PL"/>
        </w:rPr>
      </w:pPr>
      <w:r w:rsidRPr="002556EE">
        <w:rPr>
          <w:rFonts w:ascii="Calibri" w:eastAsia="Times New Roman" w:hAnsi="Calibri" w:cs="Calibri"/>
          <w:sz w:val="20"/>
          <w:szCs w:val="20"/>
          <w:lang w:eastAsia="pl-PL"/>
        </w:rPr>
        <w:t>na nowo zaprojektowanie procesu z uwzględnieniem dostosowania do zmian przepisów (dot. m.in. ochrony danych osobowych i przepisów o RODO oraz zakresu dot. zarządzania kryzysowego);</w:t>
      </w:r>
    </w:p>
    <w:p w14:paraId="6787433B" w14:textId="7F63D2B6" w:rsidR="0045692F" w:rsidRPr="002556EE" w:rsidRDefault="0045692F" w:rsidP="002556EE">
      <w:pPr>
        <w:pStyle w:val="Akapitzlist"/>
        <w:numPr>
          <w:ilvl w:val="1"/>
          <w:numId w:val="14"/>
        </w:numPr>
        <w:spacing w:before="120" w:after="0" w:line="360" w:lineRule="auto"/>
        <w:rPr>
          <w:rFonts w:ascii="Calibri" w:eastAsia="Times New Roman" w:hAnsi="Calibri" w:cs="Calibri"/>
          <w:sz w:val="20"/>
          <w:szCs w:val="20"/>
          <w:lang w:eastAsia="pl-PL"/>
        </w:rPr>
      </w:pPr>
      <w:r w:rsidRPr="002556EE">
        <w:rPr>
          <w:rFonts w:ascii="Calibri" w:eastAsia="Times New Roman" w:hAnsi="Calibri" w:cs="Calibri"/>
          <w:sz w:val="20"/>
          <w:szCs w:val="20"/>
          <w:lang w:eastAsia="pl-PL"/>
        </w:rPr>
        <w:t>na nowo zaprojektowanie procesu z uwzględnieniem wdrożenia nowej metodyki (dot. zarządzania ryzykiem);</w:t>
      </w:r>
    </w:p>
    <w:p w14:paraId="4B2B2259" w14:textId="552FE901" w:rsidR="0045692F" w:rsidRPr="002556EE" w:rsidRDefault="0045692F" w:rsidP="002556EE">
      <w:pPr>
        <w:pStyle w:val="Akapitzlist"/>
        <w:numPr>
          <w:ilvl w:val="1"/>
          <w:numId w:val="14"/>
        </w:numPr>
        <w:spacing w:before="120" w:after="0" w:line="360" w:lineRule="auto"/>
        <w:rPr>
          <w:rFonts w:ascii="Calibri" w:eastAsia="Times New Roman" w:hAnsi="Calibri" w:cs="Calibri"/>
          <w:sz w:val="20"/>
          <w:szCs w:val="20"/>
          <w:lang w:eastAsia="pl-PL"/>
        </w:rPr>
      </w:pPr>
      <w:r w:rsidRPr="002556EE">
        <w:rPr>
          <w:rFonts w:ascii="Calibri" w:eastAsia="Times New Roman" w:hAnsi="Calibri" w:cs="Calibri"/>
          <w:sz w:val="20"/>
          <w:szCs w:val="20"/>
          <w:lang w:eastAsia="pl-PL"/>
        </w:rPr>
        <w:t>na nowo zaprojektowanie procesu (dot. audytu wewnętrznego i obsługi kontroli zewnętrznej).</w:t>
      </w:r>
    </w:p>
    <w:p w14:paraId="11ABABCA" w14:textId="034DD3D0" w:rsidR="0045692F" w:rsidRPr="002556EE" w:rsidRDefault="0045692F" w:rsidP="00B21665">
      <w:pPr>
        <w:pStyle w:val="Akapitzlist"/>
        <w:numPr>
          <w:ilvl w:val="0"/>
          <w:numId w:val="9"/>
        </w:numPr>
        <w:spacing w:before="120" w:after="0" w:line="360" w:lineRule="auto"/>
        <w:rPr>
          <w:rFonts w:ascii="Calibri" w:eastAsia="Times New Roman" w:hAnsi="Calibri" w:cs="Calibri"/>
          <w:sz w:val="20"/>
          <w:szCs w:val="20"/>
          <w:lang w:eastAsia="pl-PL"/>
        </w:rPr>
      </w:pPr>
      <w:r w:rsidRPr="002556EE">
        <w:rPr>
          <w:rFonts w:ascii="Calibri" w:eastAsia="Times New Roman" w:hAnsi="Calibri" w:cs="Calibri"/>
          <w:sz w:val="20"/>
          <w:szCs w:val="20"/>
          <w:lang w:eastAsia="pl-PL"/>
        </w:rPr>
        <w:t xml:space="preserve">Część C, cel nr 3 - Przyjęte na 2019 rok założenie, żeby uzyskać większą liczbę wniosków składanych do PFRON w formie elektronicznej, a mniejszą w formie papierowej zostało osiągnięte. W 2019 roku do Systemu Obsługi Dofinansowań i Refundacji złożono 21,5% wniosków w formie papierowej, podobnie jak w roku 2018, zaś w roku bazowym (2017) odsetek ten wynosił 26,2%. Kontynuowany spadek udziału papierowych wniosków składanych do </w:t>
      </w:r>
      <w:proofErr w:type="spellStart"/>
      <w:r w:rsidRPr="002556EE">
        <w:rPr>
          <w:rFonts w:ascii="Calibri" w:eastAsia="Times New Roman" w:hAnsi="Calibri" w:cs="Calibri"/>
          <w:sz w:val="20"/>
          <w:szCs w:val="20"/>
          <w:lang w:eastAsia="pl-PL"/>
        </w:rPr>
        <w:t>SODiR</w:t>
      </w:r>
      <w:proofErr w:type="spellEnd"/>
      <w:r w:rsidRPr="002556EE">
        <w:rPr>
          <w:rFonts w:ascii="Calibri" w:eastAsia="Times New Roman" w:hAnsi="Calibri" w:cs="Calibri"/>
          <w:sz w:val="20"/>
          <w:szCs w:val="20"/>
          <w:lang w:eastAsia="pl-PL"/>
        </w:rPr>
        <w:t xml:space="preserve"> świadczy o trwałej zmianie preferencji wnioskodawców w kierunku formy elektronicznej. Jest to pozytywny sygnał ze strony klientów PFRON, a także wskazówka do dalszego usprawniania komunikacji z interesariuszami Funduszu m.in. poprzez upowszechnianie elektronicznych formularzy w pozostałych obszarach działalności.</w:t>
      </w:r>
    </w:p>
    <w:p w14:paraId="31C6A2AD" w14:textId="4D173D31" w:rsidR="0045692F" w:rsidRPr="002556EE" w:rsidRDefault="0045692F" w:rsidP="00794443">
      <w:pPr>
        <w:pStyle w:val="Akapitzlist"/>
        <w:numPr>
          <w:ilvl w:val="0"/>
          <w:numId w:val="9"/>
        </w:numPr>
        <w:spacing w:before="120" w:after="0" w:line="360" w:lineRule="auto"/>
        <w:rPr>
          <w:rFonts w:ascii="Calibri" w:eastAsia="Times New Roman" w:hAnsi="Calibri" w:cs="Calibri"/>
          <w:sz w:val="20"/>
          <w:szCs w:val="20"/>
          <w:lang w:eastAsia="pl-PL"/>
        </w:rPr>
      </w:pPr>
      <w:r w:rsidRPr="002556EE">
        <w:rPr>
          <w:rFonts w:ascii="Calibri" w:eastAsia="Times New Roman" w:hAnsi="Calibri" w:cs="Calibri"/>
          <w:sz w:val="20"/>
          <w:szCs w:val="20"/>
          <w:lang w:eastAsia="pl-PL"/>
        </w:rPr>
        <w:t xml:space="preserve">Część C, cel nr 4 - W 2019 roku sądy uchyliły 40 decyzji administracyjnych PFRON. Uzyskany wynik - wyższy od planowanego, nie dał potwierdzenia, że poprawa uzyskana </w:t>
      </w:r>
      <w:r w:rsidR="002556EE" w:rsidRPr="002556EE">
        <w:rPr>
          <w:rFonts w:ascii="Calibri" w:eastAsia="Times New Roman" w:hAnsi="Calibri" w:cs="Calibri"/>
          <w:sz w:val="20"/>
          <w:szCs w:val="20"/>
          <w:lang w:eastAsia="pl-PL"/>
        </w:rPr>
        <w:t xml:space="preserve"> </w:t>
      </w:r>
      <w:r w:rsidRPr="002556EE">
        <w:rPr>
          <w:rFonts w:ascii="Calibri" w:eastAsia="Times New Roman" w:hAnsi="Calibri" w:cs="Calibri"/>
          <w:sz w:val="20"/>
          <w:szCs w:val="20"/>
          <w:lang w:eastAsia="pl-PL"/>
        </w:rPr>
        <w:t>w 2018 r. była trwała. Najwięcej prawomocnych orzeczeń sądów uchylających decyzje administracyjne PFRON odnotowano w obszarach: dofinansowań do wynagrodzeń Pracowników z Niepełnosprawnością, refundacji składek na ubezpieczenia społeczne, a także obowiązkowych wpłat na Fundusz. W 2019 r. łącznie w tych w obszarach zakończono decyzją lub postanowieniem ponad 12.400 postępowań administracyjnych. W sprawach, w których zapadł prawomocny wyrok sądu, w każdym przypadku przeprowadzono postępowanie zgodnie z wytycznymi sądu, w efekcie czego:</w:t>
      </w:r>
    </w:p>
    <w:p w14:paraId="2C5B8557" w14:textId="02C5EEE8" w:rsidR="0045692F" w:rsidRPr="002556EE" w:rsidRDefault="0045692F" w:rsidP="002556EE">
      <w:pPr>
        <w:pStyle w:val="Akapitzlist"/>
        <w:numPr>
          <w:ilvl w:val="1"/>
          <w:numId w:val="16"/>
        </w:numPr>
        <w:spacing w:before="120" w:after="0" w:line="360" w:lineRule="auto"/>
        <w:rPr>
          <w:rFonts w:ascii="Calibri" w:eastAsia="Times New Roman" w:hAnsi="Calibri" w:cs="Calibri"/>
          <w:sz w:val="20"/>
          <w:szCs w:val="20"/>
          <w:lang w:eastAsia="pl-PL"/>
        </w:rPr>
      </w:pPr>
      <w:r w:rsidRPr="002556EE">
        <w:rPr>
          <w:rFonts w:ascii="Calibri" w:eastAsia="Times New Roman" w:hAnsi="Calibri" w:cs="Calibri"/>
          <w:sz w:val="20"/>
          <w:szCs w:val="20"/>
          <w:lang w:eastAsia="pl-PL"/>
        </w:rPr>
        <w:t>wydawano kolejną decyzję w sprawie, po dokonaniu głębszej analizy,</w:t>
      </w:r>
    </w:p>
    <w:p w14:paraId="4E1720D0" w14:textId="66AEA2F8" w:rsidR="0045692F" w:rsidRPr="002556EE" w:rsidRDefault="0045692F" w:rsidP="002556EE">
      <w:pPr>
        <w:pStyle w:val="Akapitzlist"/>
        <w:numPr>
          <w:ilvl w:val="1"/>
          <w:numId w:val="16"/>
        </w:numPr>
        <w:spacing w:before="120" w:after="0" w:line="360" w:lineRule="auto"/>
        <w:rPr>
          <w:rFonts w:ascii="Calibri" w:eastAsia="Times New Roman" w:hAnsi="Calibri" w:cs="Calibri"/>
          <w:sz w:val="20"/>
          <w:szCs w:val="20"/>
          <w:lang w:eastAsia="pl-PL"/>
        </w:rPr>
      </w:pPr>
      <w:r w:rsidRPr="002556EE">
        <w:rPr>
          <w:rFonts w:ascii="Calibri" w:eastAsia="Times New Roman" w:hAnsi="Calibri" w:cs="Calibri"/>
          <w:sz w:val="20"/>
          <w:szCs w:val="20"/>
          <w:lang w:eastAsia="pl-PL"/>
        </w:rPr>
        <w:t>umarzano postępowanie w sprawie,</w:t>
      </w:r>
    </w:p>
    <w:p w14:paraId="6852ACF8" w14:textId="55F1CF90" w:rsidR="0045692F" w:rsidRPr="002556EE" w:rsidRDefault="0045692F" w:rsidP="002556EE">
      <w:pPr>
        <w:pStyle w:val="Akapitzlist"/>
        <w:numPr>
          <w:ilvl w:val="1"/>
          <w:numId w:val="16"/>
        </w:numPr>
        <w:spacing w:before="120" w:after="0" w:line="360" w:lineRule="auto"/>
        <w:rPr>
          <w:rFonts w:ascii="Calibri" w:eastAsia="Times New Roman" w:hAnsi="Calibri" w:cs="Calibri"/>
          <w:sz w:val="20"/>
          <w:szCs w:val="20"/>
          <w:lang w:eastAsia="pl-PL"/>
        </w:rPr>
      </w:pPr>
      <w:r w:rsidRPr="002556EE">
        <w:rPr>
          <w:rFonts w:ascii="Calibri" w:eastAsia="Times New Roman" w:hAnsi="Calibri" w:cs="Calibri"/>
          <w:sz w:val="20"/>
          <w:szCs w:val="20"/>
          <w:lang w:eastAsia="pl-PL"/>
        </w:rPr>
        <w:t>przywracano termin do złożenia wniosku o ponowne rozpatrzenie sprawy,</w:t>
      </w:r>
    </w:p>
    <w:p w14:paraId="46C28507" w14:textId="035AF512" w:rsidR="0045692F" w:rsidRPr="002556EE" w:rsidRDefault="0045692F" w:rsidP="002556EE">
      <w:pPr>
        <w:pStyle w:val="Akapitzlist"/>
        <w:numPr>
          <w:ilvl w:val="1"/>
          <w:numId w:val="16"/>
        </w:numPr>
        <w:spacing w:before="120" w:after="0" w:line="360" w:lineRule="auto"/>
        <w:rPr>
          <w:rFonts w:ascii="Calibri" w:eastAsia="Times New Roman" w:hAnsi="Calibri" w:cs="Calibri"/>
          <w:sz w:val="20"/>
          <w:szCs w:val="20"/>
          <w:lang w:eastAsia="pl-PL"/>
        </w:rPr>
      </w:pPr>
      <w:r w:rsidRPr="002556EE">
        <w:rPr>
          <w:rFonts w:ascii="Calibri" w:eastAsia="Times New Roman" w:hAnsi="Calibri" w:cs="Calibri"/>
          <w:sz w:val="20"/>
          <w:szCs w:val="20"/>
          <w:lang w:eastAsia="pl-PL"/>
        </w:rPr>
        <w:t xml:space="preserve">rozkładano zaległość na raty i odraczano termin płatności, w wystarczająco uzasadnionych przypadkach. </w:t>
      </w:r>
    </w:p>
    <w:p w14:paraId="2F763CB4" w14:textId="77777777" w:rsidR="0045692F" w:rsidRPr="0045692F" w:rsidRDefault="0045692F" w:rsidP="0045692F">
      <w:pPr>
        <w:spacing w:before="120" w:after="0" w:line="360" w:lineRule="auto"/>
        <w:rPr>
          <w:rFonts w:ascii="Calibri" w:eastAsia="Times New Roman" w:hAnsi="Calibri" w:cs="Calibri"/>
          <w:sz w:val="20"/>
          <w:szCs w:val="20"/>
          <w:lang w:eastAsia="pl-PL"/>
        </w:rPr>
      </w:pPr>
      <w:r w:rsidRPr="0045692F">
        <w:rPr>
          <w:rFonts w:ascii="Calibri" w:eastAsia="Times New Roman" w:hAnsi="Calibri" w:cs="Calibri"/>
          <w:sz w:val="20"/>
          <w:szCs w:val="20"/>
          <w:lang w:eastAsia="pl-PL"/>
        </w:rPr>
        <w:lastRenderedPageBreak/>
        <w:t xml:space="preserve">Spośród powyższych decyzji 20 z nich dot. wpłat obowiązkowych. W tych sprawach środkiem odwoławczym od decyzji administracyjnej Prezesa Zarządu PFRON przysługującym stronie postępowania jest odwołanie do ministra właściwego ds. zabezpieczenia społecznego. W sytuacjach wniesienia skarg administracyjnych na decyzje organu II instancji, stroną postępowania </w:t>
      </w:r>
      <w:proofErr w:type="spellStart"/>
      <w:r w:rsidRPr="0045692F">
        <w:rPr>
          <w:rFonts w:ascii="Calibri" w:eastAsia="Times New Roman" w:hAnsi="Calibri" w:cs="Calibri"/>
          <w:sz w:val="20"/>
          <w:szCs w:val="20"/>
          <w:lang w:eastAsia="pl-PL"/>
        </w:rPr>
        <w:t>sądowoadministracyjnego</w:t>
      </w:r>
      <w:proofErr w:type="spellEnd"/>
      <w:r w:rsidRPr="0045692F">
        <w:rPr>
          <w:rFonts w:ascii="Calibri" w:eastAsia="Times New Roman" w:hAnsi="Calibri" w:cs="Calibri"/>
          <w:sz w:val="20"/>
          <w:szCs w:val="20"/>
          <w:lang w:eastAsia="pl-PL"/>
        </w:rPr>
        <w:t xml:space="preserve">, zgodnie z art. 32 ustawy z dnia 30 sierpnia 2002 r. Prawo o postępowaniu przed sądami administracyjnymi (Dz. U. z 2019 r. poz. 2325 z </w:t>
      </w:r>
      <w:proofErr w:type="spellStart"/>
      <w:r w:rsidRPr="0045692F">
        <w:rPr>
          <w:rFonts w:ascii="Calibri" w:eastAsia="Times New Roman" w:hAnsi="Calibri" w:cs="Calibri"/>
          <w:sz w:val="20"/>
          <w:szCs w:val="20"/>
          <w:lang w:eastAsia="pl-PL"/>
        </w:rPr>
        <w:t>późn</w:t>
      </w:r>
      <w:proofErr w:type="spellEnd"/>
      <w:r w:rsidRPr="0045692F">
        <w:rPr>
          <w:rFonts w:ascii="Calibri" w:eastAsia="Times New Roman" w:hAnsi="Calibri" w:cs="Calibri"/>
          <w:sz w:val="20"/>
          <w:szCs w:val="20"/>
          <w:lang w:eastAsia="pl-PL"/>
        </w:rPr>
        <w:t>. zm.) jest minister właściwy ds. zabezpieczenia społecznego. Strona skarżąca wnioskując o uchylenie decyzji organu II instancji może żądać uchylenia również decyzji poprzedzającej, tj. decyzji Prezesa Zarządu PFRON. Fundusz nie jest stroną postępowania przed sądami administracyjnymi, nie ma zatem wpływu na przestawioną argumentację i wydane rozstrzygnięcie.</w:t>
      </w:r>
    </w:p>
    <w:p w14:paraId="2BE582B5" w14:textId="66039317" w:rsidR="0045692F" w:rsidRDefault="0045692F" w:rsidP="0045692F">
      <w:pPr>
        <w:spacing w:before="120" w:after="0" w:line="360" w:lineRule="auto"/>
        <w:rPr>
          <w:rFonts w:ascii="Calibri" w:eastAsia="Times New Roman" w:hAnsi="Calibri" w:cs="Calibri"/>
          <w:sz w:val="20"/>
          <w:szCs w:val="20"/>
          <w:lang w:eastAsia="pl-PL"/>
        </w:rPr>
      </w:pPr>
      <w:r w:rsidRPr="0045692F">
        <w:rPr>
          <w:rFonts w:ascii="Calibri" w:eastAsia="Times New Roman" w:hAnsi="Calibri" w:cs="Calibri"/>
          <w:sz w:val="20"/>
          <w:szCs w:val="20"/>
          <w:lang w:eastAsia="pl-PL"/>
        </w:rPr>
        <w:t>Dążąc do poprawy wyniku, w 2020 r. Fundusz podejmie odpowiednie działania naprawcze w ramach kontroli zarządczej.</w:t>
      </w:r>
    </w:p>
    <w:p w14:paraId="4D19FEE9" w14:textId="77777777" w:rsidR="0045692F" w:rsidRDefault="0045692F" w:rsidP="008C045F">
      <w:pPr>
        <w:spacing w:before="120" w:after="0" w:line="360" w:lineRule="auto"/>
        <w:jc w:val="both"/>
        <w:rPr>
          <w:rFonts w:ascii="Calibri" w:eastAsia="Times New Roman" w:hAnsi="Calibri" w:cs="Calibri"/>
          <w:sz w:val="20"/>
          <w:szCs w:val="20"/>
          <w:lang w:eastAsia="pl-PL"/>
        </w:rPr>
      </w:pPr>
    </w:p>
    <w:p w14:paraId="05CBD8D1" w14:textId="1ED42EF4" w:rsidR="006910A5" w:rsidRDefault="006910A5" w:rsidP="008C045F">
      <w:pPr>
        <w:spacing w:before="120" w:after="0" w:line="360" w:lineRule="auto"/>
        <w:jc w:val="both"/>
        <w:rPr>
          <w:rFonts w:ascii="Calibri" w:eastAsia="Times New Roman" w:hAnsi="Calibri" w:cs="Calibri"/>
          <w:sz w:val="20"/>
          <w:szCs w:val="20"/>
          <w:lang w:eastAsia="pl-PL"/>
        </w:rPr>
      </w:pPr>
      <w:r>
        <w:rPr>
          <w:rFonts w:ascii="Calibri" w:eastAsia="Times New Roman" w:hAnsi="Calibri" w:cs="Calibri"/>
          <w:sz w:val="20"/>
          <w:szCs w:val="20"/>
          <w:lang w:eastAsia="pl-PL"/>
        </w:rPr>
        <w:t>09.03.2020 r.</w:t>
      </w:r>
    </w:p>
    <w:p w14:paraId="35264F0D" w14:textId="0B53EB58" w:rsidR="006910A5" w:rsidRDefault="006910A5" w:rsidP="006910A5">
      <w:pPr>
        <w:spacing w:after="0" w:line="360" w:lineRule="auto"/>
        <w:ind w:left="708" w:hanging="708"/>
        <w:jc w:val="both"/>
        <w:rPr>
          <w:rFonts w:ascii="Calibri" w:eastAsia="Times New Roman" w:hAnsi="Calibri" w:cs="Calibri"/>
          <w:sz w:val="20"/>
          <w:szCs w:val="20"/>
          <w:lang w:eastAsia="pl-PL"/>
        </w:rPr>
      </w:pPr>
      <w:r w:rsidRPr="00852A5D">
        <w:rPr>
          <w:rFonts w:ascii="Calibri" w:eastAsia="Times New Roman" w:hAnsi="Calibri" w:cs="Calibri"/>
          <w:sz w:val="20"/>
          <w:szCs w:val="20"/>
          <w:lang w:eastAsia="pl-PL"/>
        </w:rPr>
        <w:t>Data</w:t>
      </w:r>
    </w:p>
    <w:p w14:paraId="3EAE37E9" w14:textId="77777777" w:rsidR="006910A5" w:rsidRDefault="006910A5" w:rsidP="008C045F">
      <w:pPr>
        <w:spacing w:before="120" w:after="0" w:line="360" w:lineRule="auto"/>
        <w:ind w:left="709" w:hanging="709"/>
        <w:jc w:val="right"/>
        <w:rPr>
          <w:rFonts w:ascii="Calibri" w:eastAsia="Times New Roman" w:hAnsi="Calibri" w:cs="Calibri"/>
          <w:sz w:val="20"/>
          <w:szCs w:val="20"/>
          <w:lang w:eastAsia="pl-PL"/>
        </w:rPr>
      </w:pPr>
      <w:r>
        <w:rPr>
          <w:rFonts w:ascii="Calibri" w:eastAsia="Times New Roman" w:hAnsi="Calibri" w:cs="Calibri"/>
          <w:sz w:val="20"/>
          <w:szCs w:val="20"/>
          <w:lang w:eastAsia="pl-PL"/>
        </w:rPr>
        <w:t>Krzysztof Michałkiewicz</w:t>
      </w:r>
    </w:p>
    <w:p w14:paraId="02074E74" w14:textId="77777777" w:rsidR="006910A5" w:rsidRDefault="006910A5" w:rsidP="006910A5">
      <w:pPr>
        <w:spacing w:after="0" w:line="360" w:lineRule="auto"/>
        <w:ind w:left="708" w:hanging="708"/>
        <w:jc w:val="right"/>
        <w:rPr>
          <w:rFonts w:ascii="Calibri" w:eastAsia="Times New Roman" w:hAnsi="Calibri" w:cs="Calibri"/>
          <w:sz w:val="20"/>
          <w:szCs w:val="20"/>
          <w:lang w:eastAsia="pl-PL"/>
        </w:rPr>
      </w:pPr>
      <w:r>
        <w:rPr>
          <w:rFonts w:ascii="Calibri" w:eastAsia="Times New Roman" w:hAnsi="Calibri" w:cs="Calibri"/>
          <w:sz w:val="20"/>
          <w:szCs w:val="20"/>
          <w:lang w:eastAsia="pl-PL"/>
        </w:rPr>
        <w:t>Prezes Zarządu</w:t>
      </w:r>
    </w:p>
    <w:p w14:paraId="5F81D5C0" w14:textId="6E9916A9" w:rsidR="009570EF" w:rsidRPr="00852A5D" w:rsidRDefault="00DE1A98" w:rsidP="006910A5">
      <w:pPr>
        <w:spacing w:after="0" w:line="360" w:lineRule="auto"/>
        <w:ind w:left="708" w:hanging="708"/>
        <w:jc w:val="right"/>
        <w:rPr>
          <w:rFonts w:ascii="Calibri" w:eastAsia="Times New Roman" w:hAnsi="Calibri" w:cs="Calibri"/>
          <w:sz w:val="20"/>
          <w:szCs w:val="20"/>
          <w:lang w:eastAsia="pl-PL"/>
        </w:rPr>
      </w:pPr>
      <w:r w:rsidRPr="00852A5D">
        <w:rPr>
          <w:rFonts w:ascii="Calibri" w:eastAsia="Times New Roman" w:hAnsi="Calibri" w:cs="Calibri"/>
          <w:sz w:val="20"/>
          <w:szCs w:val="20"/>
          <w:lang w:eastAsia="pl-PL"/>
        </w:rPr>
        <w:t>Podpis kierownika jednostki</w:t>
      </w:r>
    </w:p>
    <w:sectPr w:rsidR="009570EF" w:rsidRPr="00852A5D" w:rsidSect="00804D08">
      <w:pgSz w:w="16838" w:h="11906" w:orient="landscape" w:code="9"/>
      <w:pgMar w:top="851" w:right="851" w:bottom="567"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70E44" w14:textId="77777777" w:rsidR="00B341F5" w:rsidRDefault="00B341F5" w:rsidP="00B341F5">
      <w:pPr>
        <w:spacing w:after="0" w:line="240" w:lineRule="auto"/>
      </w:pPr>
      <w:r>
        <w:separator/>
      </w:r>
    </w:p>
  </w:endnote>
  <w:endnote w:type="continuationSeparator" w:id="0">
    <w:p w14:paraId="7C9CCD19" w14:textId="77777777" w:rsidR="00B341F5" w:rsidRDefault="00B341F5" w:rsidP="00B3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5680019"/>
      <w:docPartObj>
        <w:docPartGallery w:val="Page Numbers (Bottom of Page)"/>
        <w:docPartUnique/>
      </w:docPartObj>
    </w:sdtPr>
    <w:sdtEndPr/>
    <w:sdtContent>
      <w:p w14:paraId="7F4AC31D" w14:textId="25BA059E" w:rsidR="006D78A8" w:rsidRDefault="006D78A8">
        <w:pPr>
          <w:pStyle w:val="Stopka"/>
          <w:jc w:val="right"/>
        </w:pPr>
        <w:r>
          <w:fldChar w:fldCharType="begin"/>
        </w:r>
        <w:r>
          <w:instrText>PAGE   \* MERGEFORMAT</w:instrText>
        </w:r>
        <w:r>
          <w:fldChar w:fldCharType="separate"/>
        </w:r>
        <w:r>
          <w:t>2</w:t>
        </w:r>
        <w:r>
          <w:fldChar w:fldCharType="end"/>
        </w:r>
      </w:p>
    </w:sdtContent>
  </w:sdt>
  <w:p w14:paraId="320EACF4" w14:textId="77777777" w:rsidR="006D78A8" w:rsidRDefault="006D78A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9714605"/>
      <w:docPartObj>
        <w:docPartGallery w:val="Page Numbers (Bottom of Page)"/>
        <w:docPartUnique/>
      </w:docPartObj>
    </w:sdtPr>
    <w:sdtEndPr/>
    <w:sdtContent>
      <w:p w14:paraId="4BD49A6C" w14:textId="2B3A4670" w:rsidR="006D78A8" w:rsidRDefault="006D78A8">
        <w:pPr>
          <w:pStyle w:val="Stopka"/>
          <w:jc w:val="right"/>
        </w:pPr>
        <w:r>
          <w:fldChar w:fldCharType="begin"/>
        </w:r>
        <w:r>
          <w:instrText>PAGE   \* MERGEFORMAT</w:instrText>
        </w:r>
        <w:r>
          <w:fldChar w:fldCharType="separate"/>
        </w:r>
        <w:r>
          <w:t>2</w:t>
        </w:r>
        <w:r>
          <w:fldChar w:fldCharType="end"/>
        </w:r>
      </w:p>
    </w:sdtContent>
  </w:sdt>
  <w:p w14:paraId="279A8A03" w14:textId="77777777" w:rsidR="006D78A8" w:rsidRDefault="006D78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70203" w14:textId="77777777" w:rsidR="00B341F5" w:rsidRDefault="00B341F5" w:rsidP="00B341F5">
      <w:pPr>
        <w:spacing w:after="0" w:line="240" w:lineRule="auto"/>
      </w:pPr>
      <w:r>
        <w:separator/>
      </w:r>
    </w:p>
  </w:footnote>
  <w:footnote w:type="continuationSeparator" w:id="0">
    <w:p w14:paraId="23FABFEB" w14:textId="77777777" w:rsidR="00B341F5" w:rsidRDefault="00B341F5" w:rsidP="00B34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61D7D"/>
    <w:multiLevelType w:val="hybridMultilevel"/>
    <w:tmpl w:val="D212B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907995"/>
    <w:multiLevelType w:val="hybridMultilevel"/>
    <w:tmpl w:val="5DDE975E"/>
    <w:lvl w:ilvl="0" w:tplc="D4B4888C">
      <w:start w:val="1"/>
      <w:numFmt w:val="decimal"/>
      <w:lvlText w:val="%1."/>
      <w:lvlJc w:val="left"/>
      <w:pPr>
        <w:ind w:left="1065" w:hanging="705"/>
      </w:pPr>
      <w:rPr>
        <w:rFonts w:hint="default"/>
      </w:rPr>
    </w:lvl>
    <w:lvl w:ilvl="1" w:tplc="58EE1F52">
      <w:start w:val="4"/>
      <w:numFmt w:val="bullet"/>
      <w:lvlText w:val="•"/>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253652"/>
    <w:multiLevelType w:val="hybridMultilevel"/>
    <w:tmpl w:val="543E49E4"/>
    <w:lvl w:ilvl="0" w:tplc="D4B4888C">
      <w:start w:val="1"/>
      <w:numFmt w:val="decimal"/>
      <w:lvlText w:val="%1."/>
      <w:lvlJc w:val="left"/>
      <w:pPr>
        <w:ind w:left="1065" w:hanging="705"/>
      </w:pPr>
      <w:rPr>
        <w:rFonts w:hint="default"/>
      </w:rPr>
    </w:lvl>
    <w:lvl w:ilvl="1" w:tplc="58EE1F52">
      <w:start w:val="4"/>
      <w:numFmt w:val="bullet"/>
      <w:lvlText w:val="•"/>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0A7413"/>
    <w:multiLevelType w:val="hybridMultilevel"/>
    <w:tmpl w:val="B554087A"/>
    <w:lvl w:ilvl="0" w:tplc="D4B4888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8C006B"/>
    <w:multiLevelType w:val="hybridMultilevel"/>
    <w:tmpl w:val="5B485D16"/>
    <w:lvl w:ilvl="0" w:tplc="D4B4888C">
      <w:start w:val="1"/>
      <w:numFmt w:val="decimal"/>
      <w:lvlText w:val="%1."/>
      <w:lvlJc w:val="left"/>
      <w:pPr>
        <w:ind w:left="1065" w:hanging="705"/>
      </w:pPr>
      <w:rPr>
        <w:rFonts w:hint="default"/>
      </w:rPr>
    </w:lvl>
    <w:lvl w:ilvl="1" w:tplc="58EE1F52">
      <w:start w:val="4"/>
      <w:numFmt w:val="bullet"/>
      <w:lvlText w:val="•"/>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CD2DF8"/>
    <w:multiLevelType w:val="hybridMultilevel"/>
    <w:tmpl w:val="9C62E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22E46B0"/>
    <w:multiLevelType w:val="hybridMultilevel"/>
    <w:tmpl w:val="27F67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58159E"/>
    <w:multiLevelType w:val="hybridMultilevel"/>
    <w:tmpl w:val="26285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A34FB4"/>
    <w:multiLevelType w:val="hybridMultilevel"/>
    <w:tmpl w:val="D71E3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EF87714"/>
    <w:multiLevelType w:val="hybridMultilevel"/>
    <w:tmpl w:val="13E0D2FE"/>
    <w:lvl w:ilvl="0" w:tplc="D4B4888C">
      <w:start w:val="1"/>
      <w:numFmt w:val="decimal"/>
      <w:lvlText w:val="%1."/>
      <w:lvlJc w:val="left"/>
      <w:pPr>
        <w:ind w:left="1065" w:hanging="705"/>
      </w:pPr>
      <w:rPr>
        <w:rFonts w:hint="default"/>
      </w:rPr>
    </w:lvl>
    <w:lvl w:ilvl="1" w:tplc="58EE1F52">
      <w:start w:val="4"/>
      <w:numFmt w:val="bullet"/>
      <w:lvlText w:val="•"/>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DE6D72"/>
    <w:multiLevelType w:val="hybridMultilevel"/>
    <w:tmpl w:val="1FE4C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BBC2166"/>
    <w:multiLevelType w:val="hybridMultilevel"/>
    <w:tmpl w:val="D3586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8C529C"/>
    <w:multiLevelType w:val="hybridMultilevel"/>
    <w:tmpl w:val="D2F0032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544A5BD7"/>
    <w:multiLevelType w:val="hybridMultilevel"/>
    <w:tmpl w:val="FCCCE6A0"/>
    <w:lvl w:ilvl="0" w:tplc="D4B4888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1266F3"/>
    <w:multiLevelType w:val="hybridMultilevel"/>
    <w:tmpl w:val="1F264206"/>
    <w:lvl w:ilvl="0" w:tplc="D4B4888C">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917C62"/>
    <w:multiLevelType w:val="hybridMultilevel"/>
    <w:tmpl w:val="DB36279A"/>
    <w:lvl w:ilvl="0" w:tplc="58EE1F52">
      <w:start w:val="4"/>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8"/>
  </w:num>
  <w:num w:numId="5">
    <w:abstractNumId w:val="11"/>
  </w:num>
  <w:num w:numId="6">
    <w:abstractNumId w:val="12"/>
  </w:num>
  <w:num w:numId="7">
    <w:abstractNumId w:val="7"/>
  </w:num>
  <w:num w:numId="8">
    <w:abstractNumId w:val="6"/>
  </w:num>
  <w:num w:numId="9">
    <w:abstractNumId w:val="14"/>
  </w:num>
  <w:num w:numId="10">
    <w:abstractNumId w:val="15"/>
  </w:num>
  <w:num w:numId="11">
    <w:abstractNumId w:val="9"/>
  </w:num>
  <w:num w:numId="12">
    <w:abstractNumId w:val="1"/>
  </w:num>
  <w:num w:numId="13">
    <w:abstractNumId w:val="13"/>
  </w:num>
  <w:num w:numId="14">
    <w:abstractNumId w:val="4"/>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791"/>
    <w:rsid w:val="0001551B"/>
    <w:rsid w:val="000206B0"/>
    <w:rsid w:val="000275C3"/>
    <w:rsid w:val="000366CA"/>
    <w:rsid w:val="00061880"/>
    <w:rsid w:val="00083930"/>
    <w:rsid w:val="00085A9D"/>
    <w:rsid w:val="000A3F19"/>
    <w:rsid w:val="000A733B"/>
    <w:rsid w:val="00151099"/>
    <w:rsid w:val="00175426"/>
    <w:rsid w:val="00182375"/>
    <w:rsid w:val="001952EC"/>
    <w:rsid w:val="001A21C0"/>
    <w:rsid w:val="001B7F7D"/>
    <w:rsid w:val="001D16F6"/>
    <w:rsid w:val="001D647E"/>
    <w:rsid w:val="00241E05"/>
    <w:rsid w:val="00243C84"/>
    <w:rsid w:val="002556EE"/>
    <w:rsid w:val="00257180"/>
    <w:rsid w:val="00270418"/>
    <w:rsid w:val="00273207"/>
    <w:rsid w:val="00280409"/>
    <w:rsid w:val="002817FA"/>
    <w:rsid w:val="0029768E"/>
    <w:rsid w:val="002A7E75"/>
    <w:rsid w:val="002B5C7C"/>
    <w:rsid w:val="002D1DA3"/>
    <w:rsid w:val="002E3862"/>
    <w:rsid w:val="00313A39"/>
    <w:rsid w:val="00352525"/>
    <w:rsid w:val="00371BB6"/>
    <w:rsid w:val="003A6FA5"/>
    <w:rsid w:val="003B730F"/>
    <w:rsid w:val="003C74D1"/>
    <w:rsid w:val="003E1F1E"/>
    <w:rsid w:val="00425C34"/>
    <w:rsid w:val="00432479"/>
    <w:rsid w:val="00437221"/>
    <w:rsid w:val="00453386"/>
    <w:rsid w:val="0045692F"/>
    <w:rsid w:val="00463609"/>
    <w:rsid w:val="00474791"/>
    <w:rsid w:val="004F02B8"/>
    <w:rsid w:val="004F0305"/>
    <w:rsid w:val="00507807"/>
    <w:rsid w:val="00525937"/>
    <w:rsid w:val="005427F8"/>
    <w:rsid w:val="00543770"/>
    <w:rsid w:val="00595E0E"/>
    <w:rsid w:val="005A52B6"/>
    <w:rsid w:val="005D6CE7"/>
    <w:rsid w:val="006068FF"/>
    <w:rsid w:val="006306DB"/>
    <w:rsid w:val="00651B94"/>
    <w:rsid w:val="006674EE"/>
    <w:rsid w:val="006910A5"/>
    <w:rsid w:val="006D78A8"/>
    <w:rsid w:val="007055E0"/>
    <w:rsid w:val="00706445"/>
    <w:rsid w:val="0070782E"/>
    <w:rsid w:val="007144A2"/>
    <w:rsid w:val="0071544F"/>
    <w:rsid w:val="007455CE"/>
    <w:rsid w:val="00763763"/>
    <w:rsid w:val="007902E1"/>
    <w:rsid w:val="007B7704"/>
    <w:rsid w:val="007D4027"/>
    <w:rsid w:val="00802069"/>
    <w:rsid w:val="00802572"/>
    <w:rsid w:val="00803C0B"/>
    <w:rsid w:val="00804D08"/>
    <w:rsid w:val="00843EDF"/>
    <w:rsid w:val="008458C2"/>
    <w:rsid w:val="008460DD"/>
    <w:rsid w:val="00852A5D"/>
    <w:rsid w:val="008744B7"/>
    <w:rsid w:val="00887E59"/>
    <w:rsid w:val="008C0077"/>
    <w:rsid w:val="008C033D"/>
    <w:rsid w:val="008C045F"/>
    <w:rsid w:val="008D0432"/>
    <w:rsid w:val="008D5E98"/>
    <w:rsid w:val="009231FC"/>
    <w:rsid w:val="00951CB5"/>
    <w:rsid w:val="00955971"/>
    <w:rsid w:val="009570EF"/>
    <w:rsid w:val="00984827"/>
    <w:rsid w:val="009A083B"/>
    <w:rsid w:val="009B4FB8"/>
    <w:rsid w:val="009E35E1"/>
    <w:rsid w:val="00A1025F"/>
    <w:rsid w:val="00A21D7C"/>
    <w:rsid w:val="00A26B4A"/>
    <w:rsid w:val="00A41065"/>
    <w:rsid w:val="00A57BB8"/>
    <w:rsid w:val="00AB13BD"/>
    <w:rsid w:val="00AB16A5"/>
    <w:rsid w:val="00AC4002"/>
    <w:rsid w:val="00AE1F7F"/>
    <w:rsid w:val="00AE7B70"/>
    <w:rsid w:val="00B03858"/>
    <w:rsid w:val="00B2569F"/>
    <w:rsid w:val="00B341F5"/>
    <w:rsid w:val="00B479A1"/>
    <w:rsid w:val="00B50658"/>
    <w:rsid w:val="00B63081"/>
    <w:rsid w:val="00BA42EF"/>
    <w:rsid w:val="00BB076E"/>
    <w:rsid w:val="00BE6297"/>
    <w:rsid w:val="00BE780B"/>
    <w:rsid w:val="00C012FF"/>
    <w:rsid w:val="00C0519A"/>
    <w:rsid w:val="00C119A7"/>
    <w:rsid w:val="00C53AD2"/>
    <w:rsid w:val="00C6762A"/>
    <w:rsid w:val="00C81ADB"/>
    <w:rsid w:val="00C92F09"/>
    <w:rsid w:val="00CD4429"/>
    <w:rsid w:val="00CE51F6"/>
    <w:rsid w:val="00D27BEB"/>
    <w:rsid w:val="00D90F5D"/>
    <w:rsid w:val="00DD03FD"/>
    <w:rsid w:val="00DE1A98"/>
    <w:rsid w:val="00E419C3"/>
    <w:rsid w:val="00E549F3"/>
    <w:rsid w:val="00E5567E"/>
    <w:rsid w:val="00E607AF"/>
    <w:rsid w:val="00E65C15"/>
    <w:rsid w:val="00EA1C79"/>
    <w:rsid w:val="00EA2AEC"/>
    <w:rsid w:val="00ED2501"/>
    <w:rsid w:val="00EE3F04"/>
    <w:rsid w:val="00EE52A5"/>
    <w:rsid w:val="00EF6AB5"/>
    <w:rsid w:val="00F345CA"/>
    <w:rsid w:val="00F4082C"/>
    <w:rsid w:val="00F74DD8"/>
    <w:rsid w:val="00F82953"/>
    <w:rsid w:val="00F875D8"/>
    <w:rsid w:val="00FA5DCB"/>
    <w:rsid w:val="00FE746B"/>
    <w:rsid w:val="00FF23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89A0E7D"/>
  <w15:chartTrackingRefBased/>
  <w15:docId w15:val="{A1B3C25E-503B-46AA-B0B2-5E4E673B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70418"/>
    <w:pPr>
      <w:spacing w:before="600" w:after="0" w:line="360" w:lineRule="auto"/>
      <w:jc w:val="center"/>
      <w:outlineLvl w:val="0"/>
    </w:pPr>
    <w:rPr>
      <w:rFonts w:ascii="Calibri" w:hAnsi="Calibri" w:cs="Calibri"/>
      <w:b/>
      <w:bCs/>
    </w:rPr>
  </w:style>
  <w:style w:type="paragraph" w:styleId="Nagwek2">
    <w:name w:val="heading 2"/>
    <w:basedOn w:val="Normalny"/>
    <w:next w:val="Normalny"/>
    <w:link w:val="Nagwek2Znak"/>
    <w:uiPriority w:val="9"/>
    <w:unhideWhenUsed/>
    <w:qFormat/>
    <w:rsid w:val="00270418"/>
    <w:pPr>
      <w:spacing w:after="0" w:line="360" w:lineRule="auto"/>
      <w:outlineLvl w:val="1"/>
    </w:pPr>
    <w:rPr>
      <w:rFonts w:ascii="Calibri" w:eastAsia="Times New Roman" w:hAnsi="Calibri" w:cs="Calibri"/>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Zwykatabela1">
    <w:name w:val="Plain Table 1"/>
    <w:basedOn w:val="Standardowy"/>
    <w:uiPriority w:val="41"/>
    <w:rsid w:val="000206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unhideWhenUsed/>
    <w:rsid w:val="00B341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41F5"/>
  </w:style>
  <w:style w:type="paragraph" w:styleId="Stopka">
    <w:name w:val="footer"/>
    <w:basedOn w:val="Normalny"/>
    <w:link w:val="StopkaZnak"/>
    <w:uiPriority w:val="99"/>
    <w:unhideWhenUsed/>
    <w:rsid w:val="00B341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41F5"/>
  </w:style>
  <w:style w:type="paragraph" w:styleId="Akapitzlist">
    <w:name w:val="List Paragraph"/>
    <w:basedOn w:val="Normalny"/>
    <w:uiPriority w:val="34"/>
    <w:qFormat/>
    <w:rsid w:val="00371BB6"/>
    <w:pPr>
      <w:ind w:left="720"/>
      <w:contextualSpacing/>
    </w:pPr>
  </w:style>
  <w:style w:type="paragraph" w:styleId="Tekstdymka">
    <w:name w:val="Balloon Text"/>
    <w:basedOn w:val="Normalny"/>
    <w:link w:val="TekstdymkaZnak"/>
    <w:uiPriority w:val="99"/>
    <w:semiHidden/>
    <w:unhideWhenUsed/>
    <w:rsid w:val="00804D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D08"/>
    <w:rPr>
      <w:rFonts w:ascii="Segoe UI" w:hAnsi="Segoe UI" w:cs="Segoe UI"/>
      <w:sz w:val="18"/>
      <w:szCs w:val="18"/>
    </w:rPr>
  </w:style>
  <w:style w:type="character" w:customStyle="1" w:styleId="Nagwek1Znak">
    <w:name w:val="Nagłówek 1 Znak"/>
    <w:basedOn w:val="Domylnaczcionkaakapitu"/>
    <w:link w:val="Nagwek1"/>
    <w:uiPriority w:val="9"/>
    <w:rsid w:val="00270418"/>
    <w:rPr>
      <w:rFonts w:ascii="Calibri" w:hAnsi="Calibri" w:cs="Calibri"/>
      <w:b/>
      <w:bCs/>
    </w:rPr>
  </w:style>
  <w:style w:type="character" w:customStyle="1" w:styleId="Nagwek2Znak">
    <w:name w:val="Nagłówek 2 Znak"/>
    <w:basedOn w:val="Domylnaczcionkaakapitu"/>
    <w:link w:val="Nagwek2"/>
    <w:uiPriority w:val="9"/>
    <w:rsid w:val="00270418"/>
    <w:rPr>
      <w:rFonts w:ascii="Calibri" w:eastAsia="Times New Roman" w:hAnsi="Calibri" w:cs="Calibri"/>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87917">
      <w:bodyDiv w:val="1"/>
      <w:marLeft w:val="0"/>
      <w:marRight w:val="0"/>
      <w:marTop w:val="0"/>
      <w:marBottom w:val="0"/>
      <w:divBdr>
        <w:top w:val="none" w:sz="0" w:space="0" w:color="auto"/>
        <w:left w:val="none" w:sz="0" w:space="0" w:color="auto"/>
        <w:bottom w:val="none" w:sz="0" w:space="0" w:color="auto"/>
        <w:right w:val="none" w:sz="0" w:space="0" w:color="auto"/>
      </w:divBdr>
    </w:div>
    <w:div w:id="559361120">
      <w:bodyDiv w:val="1"/>
      <w:marLeft w:val="0"/>
      <w:marRight w:val="0"/>
      <w:marTop w:val="0"/>
      <w:marBottom w:val="0"/>
      <w:divBdr>
        <w:top w:val="none" w:sz="0" w:space="0" w:color="auto"/>
        <w:left w:val="none" w:sz="0" w:space="0" w:color="auto"/>
        <w:bottom w:val="none" w:sz="0" w:space="0" w:color="auto"/>
        <w:right w:val="none" w:sz="0" w:space="0" w:color="auto"/>
      </w:divBdr>
    </w:div>
    <w:div w:id="608512593">
      <w:bodyDiv w:val="1"/>
      <w:marLeft w:val="0"/>
      <w:marRight w:val="0"/>
      <w:marTop w:val="0"/>
      <w:marBottom w:val="0"/>
      <w:divBdr>
        <w:top w:val="none" w:sz="0" w:space="0" w:color="auto"/>
        <w:left w:val="none" w:sz="0" w:space="0" w:color="auto"/>
        <w:bottom w:val="none" w:sz="0" w:space="0" w:color="auto"/>
        <w:right w:val="none" w:sz="0" w:space="0" w:color="auto"/>
      </w:divBdr>
    </w:div>
    <w:div w:id="639847462">
      <w:bodyDiv w:val="1"/>
      <w:marLeft w:val="0"/>
      <w:marRight w:val="0"/>
      <w:marTop w:val="0"/>
      <w:marBottom w:val="0"/>
      <w:divBdr>
        <w:top w:val="none" w:sz="0" w:space="0" w:color="auto"/>
        <w:left w:val="none" w:sz="0" w:space="0" w:color="auto"/>
        <w:bottom w:val="none" w:sz="0" w:space="0" w:color="auto"/>
        <w:right w:val="none" w:sz="0" w:space="0" w:color="auto"/>
      </w:divBdr>
    </w:div>
    <w:div w:id="726685219">
      <w:bodyDiv w:val="1"/>
      <w:marLeft w:val="0"/>
      <w:marRight w:val="0"/>
      <w:marTop w:val="0"/>
      <w:marBottom w:val="0"/>
      <w:divBdr>
        <w:top w:val="none" w:sz="0" w:space="0" w:color="auto"/>
        <w:left w:val="none" w:sz="0" w:space="0" w:color="auto"/>
        <w:bottom w:val="none" w:sz="0" w:space="0" w:color="auto"/>
        <w:right w:val="none" w:sz="0" w:space="0" w:color="auto"/>
      </w:divBdr>
    </w:div>
    <w:div w:id="741566226">
      <w:bodyDiv w:val="1"/>
      <w:marLeft w:val="0"/>
      <w:marRight w:val="0"/>
      <w:marTop w:val="0"/>
      <w:marBottom w:val="0"/>
      <w:divBdr>
        <w:top w:val="none" w:sz="0" w:space="0" w:color="auto"/>
        <w:left w:val="none" w:sz="0" w:space="0" w:color="auto"/>
        <w:bottom w:val="none" w:sz="0" w:space="0" w:color="auto"/>
        <w:right w:val="none" w:sz="0" w:space="0" w:color="auto"/>
      </w:divBdr>
    </w:div>
    <w:div w:id="892617862">
      <w:bodyDiv w:val="1"/>
      <w:marLeft w:val="0"/>
      <w:marRight w:val="0"/>
      <w:marTop w:val="0"/>
      <w:marBottom w:val="0"/>
      <w:divBdr>
        <w:top w:val="none" w:sz="0" w:space="0" w:color="auto"/>
        <w:left w:val="none" w:sz="0" w:space="0" w:color="auto"/>
        <w:bottom w:val="none" w:sz="0" w:space="0" w:color="auto"/>
        <w:right w:val="none" w:sz="0" w:space="0" w:color="auto"/>
      </w:divBdr>
    </w:div>
    <w:div w:id="918057603">
      <w:bodyDiv w:val="1"/>
      <w:marLeft w:val="0"/>
      <w:marRight w:val="0"/>
      <w:marTop w:val="0"/>
      <w:marBottom w:val="0"/>
      <w:divBdr>
        <w:top w:val="none" w:sz="0" w:space="0" w:color="auto"/>
        <w:left w:val="none" w:sz="0" w:space="0" w:color="auto"/>
        <w:bottom w:val="none" w:sz="0" w:space="0" w:color="auto"/>
        <w:right w:val="none" w:sz="0" w:space="0" w:color="auto"/>
      </w:divBdr>
    </w:div>
    <w:div w:id="1155686704">
      <w:bodyDiv w:val="1"/>
      <w:marLeft w:val="0"/>
      <w:marRight w:val="0"/>
      <w:marTop w:val="0"/>
      <w:marBottom w:val="0"/>
      <w:divBdr>
        <w:top w:val="none" w:sz="0" w:space="0" w:color="auto"/>
        <w:left w:val="none" w:sz="0" w:space="0" w:color="auto"/>
        <w:bottom w:val="none" w:sz="0" w:space="0" w:color="auto"/>
        <w:right w:val="none" w:sz="0" w:space="0" w:color="auto"/>
      </w:divBdr>
    </w:div>
    <w:div w:id="1184906903">
      <w:bodyDiv w:val="1"/>
      <w:marLeft w:val="0"/>
      <w:marRight w:val="0"/>
      <w:marTop w:val="0"/>
      <w:marBottom w:val="0"/>
      <w:divBdr>
        <w:top w:val="none" w:sz="0" w:space="0" w:color="auto"/>
        <w:left w:val="none" w:sz="0" w:space="0" w:color="auto"/>
        <w:bottom w:val="none" w:sz="0" w:space="0" w:color="auto"/>
        <w:right w:val="none" w:sz="0" w:space="0" w:color="auto"/>
      </w:divBdr>
    </w:div>
    <w:div w:id="1352489669">
      <w:bodyDiv w:val="1"/>
      <w:marLeft w:val="0"/>
      <w:marRight w:val="0"/>
      <w:marTop w:val="0"/>
      <w:marBottom w:val="0"/>
      <w:divBdr>
        <w:top w:val="none" w:sz="0" w:space="0" w:color="auto"/>
        <w:left w:val="none" w:sz="0" w:space="0" w:color="auto"/>
        <w:bottom w:val="none" w:sz="0" w:space="0" w:color="auto"/>
        <w:right w:val="none" w:sz="0" w:space="0" w:color="auto"/>
      </w:divBdr>
    </w:div>
    <w:div w:id="1481649871">
      <w:bodyDiv w:val="1"/>
      <w:marLeft w:val="0"/>
      <w:marRight w:val="0"/>
      <w:marTop w:val="0"/>
      <w:marBottom w:val="0"/>
      <w:divBdr>
        <w:top w:val="none" w:sz="0" w:space="0" w:color="auto"/>
        <w:left w:val="none" w:sz="0" w:space="0" w:color="auto"/>
        <w:bottom w:val="none" w:sz="0" w:space="0" w:color="auto"/>
        <w:right w:val="none" w:sz="0" w:space="0" w:color="auto"/>
      </w:divBdr>
    </w:div>
    <w:div w:id="1542473220">
      <w:bodyDiv w:val="1"/>
      <w:marLeft w:val="0"/>
      <w:marRight w:val="0"/>
      <w:marTop w:val="0"/>
      <w:marBottom w:val="0"/>
      <w:divBdr>
        <w:top w:val="none" w:sz="0" w:space="0" w:color="auto"/>
        <w:left w:val="none" w:sz="0" w:space="0" w:color="auto"/>
        <w:bottom w:val="none" w:sz="0" w:space="0" w:color="auto"/>
        <w:right w:val="none" w:sz="0" w:space="0" w:color="auto"/>
      </w:divBdr>
    </w:div>
    <w:div w:id="1618829929">
      <w:bodyDiv w:val="1"/>
      <w:marLeft w:val="0"/>
      <w:marRight w:val="0"/>
      <w:marTop w:val="0"/>
      <w:marBottom w:val="0"/>
      <w:divBdr>
        <w:top w:val="none" w:sz="0" w:space="0" w:color="auto"/>
        <w:left w:val="none" w:sz="0" w:space="0" w:color="auto"/>
        <w:bottom w:val="none" w:sz="0" w:space="0" w:color="auto"/>
        <w:right w:val="none" w:sz="0" w:space="0" w:color="auto"/>
      </w:divBdr>
    </w:div>
    <w:div w:id="1739549980">
      <w:bodyDiv w:val="1"/>
      <w:marLeft w:val="0"/>
      <w:marRight w:val="0"/>
      <w:marTop w:val="0"/>
      <w:marBottom w:val="0"/>
      <w:divBdr>
        <w:top w:val="none" w:sz="0" w:space="0" w:color="auto"/>
        <w:left w:val="none" w:sz="0" w:space="0" w:color="auto"/>
        <w:bottom w:val="none" w:sz="0" w:space="0" w:color="auto"/>
        <w:right w:val="none" w:sz="0" w:space="0" w:color="auto"/>
      </w:divBdr>
    </w:div>
    <w:div w:id="1761947594">
      <w:bodyDiv w:val="1"/>
      <w:marLeft w:val="0"/>
      <w:marRight w:val="0"/>
      <w:marTop w:val="0"/>
      <w:marBottom w:val="0"/>
      <w:divBdr>
        <w:top w:val="none" w:sz="0" w:space="0" w:color="auto"/>
        <w:left w:val="none" w:sz="0" w:space="0" w:color="auto"/>
        <w:bottom w:val="none" w:sz="0" w:space="0" w:color="auto"/>
        <w:right w:val="none" w:sz="0" w:space="0" w:color="auto"/>
      </w:divBdr>
    </w:div>
    <w:div w:id="1815640639">
      <w:bodyDiv w:val="1"/>
      <w:marLeft w:val="0"/>
      <w:marRight w:val="0"/>
      <w:marTop w:val="0"/>
      <w:marBottom w:val="0"/>
      <w:divBdr>
        <w:top w:val="none" w:sz="0" w:space="0" w:color="auto"/>
        <w:left w:val="none" w:sz="0" w:space="0" w:color="auto"/>
        <w:bottom w:val="none" w:sz="0" w:space="0" w:color="auto"/>
        <w:right w:val="none" w:sz="0" w:space="0" w:color="auto"/>
      </w:divBdr>
    </w:div>
    <w:div w:id="205103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681F0-B757-48AC-8612-E6115979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2562</Words>
  <Characters>15378</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Borkowski</dc:creator>
  <cp:keywords/>
  <dc:description/>
  <cp:lastModifiedBy>Tomasz Wojakowski</cp:lastModifiedBy>
  <cp:revision>4</cp:revision>
  <cp:lastPrinted>2020-03-12T14:17:00Z</cp:lastPrinted>
  <dcterms:created xsi:type="dcterms:W3CDTF">2020-03-17T10:55:00Z</dcterms:created>
  <dcterms:modified xsi:type="dcterms:W3CDTF">2020-03-17T11:35:00Z</dcterms:modified>
</cp:coreProperties>
</file>