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83AA" w14:textId="7DE43DB6" w:rsidR="00BA2113" w:rsidRDefault="00E922BF" w:rsidP="00E922BF">
      <w:pPr>
        <w:rPr>
          <w:lang w:eastAsia="pl-PL"/>
        </w:rPr>
      </w:pPr>
      <w:r>
        <w:rPr>
          <w:lang w:eastAsia="pl-PL"/>
        </w:rPr>
        <w:t>Załącznik nr 7 do OPZ</w:t>
      </w:r>
    </w:p>
    <w:p w14:paraId="157924B5" w14:textId="1BE2349F" w:rsidR="00FD0F9B" w:rsidRDefault="001353FC" w:rsidP="00FD0F9B">
      <w:pPr>
        <w:pStyle w:val="Nagwek1"/>
        <w:jc w:val="center"/>
        <w:rPr>
          <w:lang w:eastAsia="pl-PL"/>
        </w:rPr>
      </w:pPr>
      <w:r>
        <w:rPr>
          <w:lang w:eastAsia="pl-PL"/>
        </w:rPr>
        <w:t xml:space="preserve">Wymagania niefunkcjonalne - </w:t>
      </w:r>
      <w:r w:rsidR="00FD0F9B" w:rsidRPr="00FD0F9B">
        <w:rPr>
          <w:lang w:eastAsia="pl-PL"/>
        </w:rPr>
        <w:t>Bezpieczeństwo</w:t>
      </w:r>
    </w:p>
    <w:tbl>
      <w:tblPr>
        <w:tblW w:w="91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2016"/>
        <w:gridCol w:w="3199"/>
        <w:gridCol w:w="1984"/>
      </w:tblGrid>
      <w:tr w:rsidR="006B7B50" w:rsidRPr="006B7B50" w14:paraId="572CB73C" w14:textId="26442DBE" w:rsidTr="001B3241">
        <w:trPr>
          <w:trHeight w:val="300"/>
          <w:tblHeader/>
        </w:trPr>
        <w:tc>
          <w:tcPr>
            <w:tcW w:w="1998" w:type="dxa"/>
            <w:shd w:val="clear" w:color="000000" w:fill="D9D9D9" w:themeFill="background1" w:themeFillShade="D9"/>
            <w:noWrap/>
            <w:hideMark/>
          </w:tcPr>
          <w:p w14:paraId="2DDB3AA6" w14:textId="77777777" w:rsidR="006B7B50" w:rsidRPr="00FD0F9B" w:rsidRDefault="006B7B50" w:rsidP="001353FC">
            <w:pPr>
              <w:spacing w:after="0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0F9B">
              <w:rPr>
                <w:rFonts w:cs="Calibri"/>
                <w:b/>
                <w:bCs/>
                <w:color w:val="000000"/>
                <w:lang w:eastAsia="pl-PL"/>
              </w:rPr>
              <w:t>ID Wymagania</w:t>
            </w:r>
          </w:p>
        </w:tc>
        <w:tc>
          <w:tcPr>
            <w:tcW w:w="2016" w:type="dxa"/>
            <w:shd w:val="clear" w:color="000000" w:fill="D9D9D9" w:themeFill="background1" w:themeFillShade="D9"/>
            <w:noWrap/>
            <w:hideMark/>
          </w:tcPr>
          <w:p w14:paraId="4E65C673" w14:textId="77777777" w:rsidR="006B7B50" w:rsidRPr="00FD0F9B" w:rsidRDefault="006B7B50" w:rsidP="001353FC">
            <w:pPr>
              <w:spacing w:after="0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0F9B">
              <w:rPr>
                <w:rFonts w:cs="Calibri"/>
                <w:b/>
                <w:bCs/>
                <w:color w:val="000000"/>
                <w:lang w:eastAsia="pl-PL"/>
              </w:rPr>
              <w:t>Nazwa Wymagania</w:t>
            </w:r>
          </w:p>
        </w:tc>
        <w:tc>
          <w:tcPr>
            <w:tcW w:w="3199" w:type="dxa"/>
            <w:shd w:val="clear" w:color="000000" w:fill="D9D9D9" w:themeFill="background1" w:themeFillShade="D9"/>
            <w:noWrap/>
            <w:hideMark/>
          </w:tcPr>
          <w:p w14:paraId="317B02F1" w14:textId="77777777" w:rsidR="006B7B50" w:rsidRPr="00FD0F9B" w:rsidRDefault="006B7B50" w:rsidP="001353FC">
            <w:pPr>
              <w:spacing w:after="0"/>
              <w:rPr>
                <w:rFonts w:cs="Calibri"/>
                <w:b/>
                <w:bCs/>
                <w:color w:val="000000"/>
                <w:lang w:eastAsia="pl-PL"/>
              </w:rPr>
            </w:pPr>
            <w:r w:rsidRPr="00FD0F9B">
              <w:rPr>
                <w:rFonts w:cs="Calibri"/>
                <w:b/>
                <w:bCs/>
                <w:color w:val="000000"/>
                <w:lang w:eastAsia="pl-PL"/>
              </w:rPr>
              <w:t>Treść Wymagania</w:t>
            </w:r>
          </w:p>
        </w:tc>
        <w:tc>
          <w:tcPr>
            <w:tcW w:w="1984" w:type="dxa"/>
            <w:shd w:val="clear" w:color="000000" w:fill="D9D9D9" w:themeFill="background1" w:themeFillShade="D9"/>
          </w:tcPr>
          <w:p w14:paraId="209B93D0" w14:textId="35A8A7E9" w:rsidR="006B7B50" w:rsidRPr="001353FC" w:rsidRDefault="006B7B50" w:rsidP="001353FC">
            <w:pPr>
              <w:spacing w:after="0"/>
              <w:rPr>
                <w:rFonts w:cs="Calibri"/>
                <w:b/>
                <w:bCs/>
                <w:color w:val="000000"/>
                <w:lang w:eastAsia="pl-PL"/>
              </w:rPr>
            </w:pPr>
            <w:r w:rsidRPr="001353FC">
              <w:rPr>
                <w:rFonts w:cs="Calibri"/>
                <w:b/>
                <w:bCs/>
                <w:color w:val="000000"/>
                <w:lang w:eastAsia="pl-PL"/>
              </w:rPr>
              <w:t>Argumentacja</w:t>
            </w:r>
          </w:p>
        </w:tc>
      </w:tr>
      <w:tr w:rsidR="006B7B50" w:rsidRPr="006B7B50" w14:paraId="0AB1FC20" w14:textId="0B825879" w:rsidTr="001B3241">
        <w:trPr>
          <w:trHeight w:val="3036"/>
        </w:trPr>
        <w:tc>
          <w:tcPr>
            <w:tcW w:w="1998" w:type="dxa"/>
            <w:shd w:val="clear" w:color="auto" w:fill="auto"/>
            <w:noWrap/>
            <w:hideMark/>
          </w:tcPr>
          <w:p w14:paraId="697E50E9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PFRON.NF.BZP.001</w:t>
            </w:r>
          </w:p>
        </w:tc>
        <w:tc>
          <w:tcPr>
            <w:tcW w:w="2016" w:type="dxa"/>
            <w:shd w:val="clear" w:color="auto" w:fill="auto"/>
            <w:hideMark/>
          </w:tcPr>
          <w:p w14:paraId="2DF2EBDD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Szyfrowanie danych w warstwie wiadomości</w:t>
            </w:r>
          </w:p>
        </w:tc>
        <w:tc>
          <w:tcPr>
            <w:tcW w:w="3199" w:type="dxa"/>
            <w:shd w:val="clear" w:color="auto" w:fill="auto"/>
            <w:hideMark/>
          </w:tcPr>
          <w:p w14:paraId="5B4F425E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Szyfrowanie/podpisywanie danych w warstwie wiadomości, jeśli wykorzystywane, powinno się odbywać z wykorzystaniem bezpiecznych algorytmów i protokołów (np. z wykorzystaniem WS-Security). Wykorzystywanie szyfrowania w warstwie wiadomości nie zwalnia z konieczności spełnienia wymagania dot. szyfrowania warstwy transportowej.</w:t>
            </w:r>
          </w:p>
        </w:tc>
        <w:tc>
          <w:tcPr>
            <w:tcW w:w="1984" w:type="dxa"/>
          </w:tcPr>
          <w:p w14:paraId="2288DF7E" w14:textId="5775612F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Mitygacja ryzyka ataku cyberprzestępców</w:t>
            </w:r>
          </w:p>
        </w:tc>
      </w:tr>
      <w:tr w:rsidR="006B7B50" w:rsidRPr="006B7B50" w14:paraId="34833A70" w14:textId="1C11C1B8" w:rsidTr="001B3241">
        <w:trPr>
          <w:trHeight w:val="1932"/>
        </w:trPr>
        <w:tc>
          <w:tcPr>
            <w:tcW w:w="1998" w:type="dxa"/>
            <w:shd w:val="clear" w:color="auto" w:fill="auto"/>
            <w:noWrap/>
            <w:hideMark/>
          </w:tcPr>
          <w:p w14:paraId="2876121F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PFRON.NF.BZP.002</w:t>
            </w:r>
          </w:p>
        </w:tc>
        <w:tc>
          <w:tcPr>
            <w:tcW w:w="2016" w:type="dxa"/>
            <w:shd w:val="clear" w:color="auto" w:fill="auto"/>
            <w:hideMark/>
          </w:tcPr>
          <w:p w14:paraId="54A1FCA9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 xml:space="preserve">Szyfrowanie warstwy transportowej </w:t>
            </w:r>
          </w:p>
        </w:tc>
        <w:tc>
          <w:tcPr>
            <w:tcW w:w="3199" w:type="dxa"/>
            <w:shd w:val="clear" w:color="auto" w:fill="auto"/>
            <w:hideMark/>
          </w:tcPr>
          <w:p w14:paraId="6566D195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Komunikacja przychodząca i wychodząca musi być zawsze szyfrowania w warstwie transportowej z wykorzystaniem TLS 1.3 oraz z wykorzystaniem bezpiecznych algorytmów. Jeżeli nie ma możliwości zaimplementowania TLS w wersji 1.3.</w:t>
            </w:r>
          </w:p>
        </w:tc>
        <w:tc>
          <w:tcPr>
            <w:tcW w:w="1984" w:type="dxa"/>
          </w:tcPr>
          <w:p w14:paraId="70417A52" w14:textId="21391994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Mitygacja ryzyka ataku cyberprzestępców</w:t>
            </w:r>
          </w:p>
        </w:tc>
      </w:tr>
      <w:tr w:rsidR="006B7B50" w:rsidRPr="006B7B50" w14:paraId="137D5D7B" w14:textId="787FAC65" w:rsidTr="001B3241">
        <w:trPr>
          <w:trHeight w:val="1656"/>
        </w:trPr>
        <w:tc>
          <w:tcPr>
            <w:tcW w:w="1998" w:type="dxa"/>
            <w:shd w:val="clear" w:color="auto" w:fill="auto"/>
            <w:noWrap/>
            <w:hideMark/>
          </w:tcPr>
          <w:p w14:paraId="19693785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PFRON.NF.BZP.003</w:t>
            </w:r>
          </w:p>
        </w:tc>
        <w:tc>
          <w:tcPr>
            <w:tcW w:w="2016" w:type="dxa"/>
            <w:shd w:val="clear" w:color="auto" w:fill="auto"/>
            <w:hideMark/>
          </w:tcPr>
          <w:p w14:paraId="7483A914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Szyfrowanie danych w bazie danych</w:t>
            </w:r>
          </w:p>
        </w:tc>
        <w:tc>
          <w:tcPr>
            <w:tcW w:w="3199" w:type="dxa"/>
            <w:shd w:val="clear" w:color="auto" w:fill="auto"/>
            <w:hideMark/>
          </w:tcPr>
          <w:p w14:paraId="11941381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System musi zapewnić silne szyfrowanie danych przechowywanych w bazie danych (włącznie z polami, rekordami i kopiami zapasowymi), aby chronić poufność, integralność i dostępność informacji.</w:t>
            </w:r>
          </w:p>
          <w:p w14:paraId="79FA5435" w14:textId="293517EA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 xml:space="preserve">Szyfrowanie danych w bazie danych nie powinno znacząco </w:t>
            </w:r>
            <w:r w:rsidRPr="001353FC">
              <w:rPr>
                <w:rFonts w:cs="Calibri"/>
                <w:color w:val="000000"/>
                <w:lang w:eastAsia="pl-PL"/>
              </w:rPr>
              <w:lastRenderedPageBreak/>
              <w:t>wpływać na wydajność systemu. System powinien być zaprojektowany w taki sposób, aby minimalizować opóźnienia spowodowane szyfrowaniem i deszyfrowaniem danych.</w:t>
            </w:r>
          </w:p>
        </w:tc>
        <w:tc>
          <w:tcPr>
            <w:tcW w:w="1984" w:type="dxa"/>
          </w:tcPr>
          <w:p w14:paraId="5505A20A" w14:textId="7D49AA45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lastRenderedPageBreak/>
              <w:t>Mitygacja ryzyka ataku cyberprzestępców</w:t>
            </w:r>
          </w:p>
        </w:tc>
      </w:tr>
      <w:tr w:rsidR="006B7B50" w:rsidRPr="006B7B50" w14:paraId="129A73DD" w14:textId="7F385467" w:rsidTr="001B3241">
        <w:trPr>
          <w:trHeight w:val="1656"/>
        </w:trPr>
        <w:tc>
          <w:tcPr>
            <w:tcW w:w="1998" w:type="dxa"/>
            <w:shd w:val="clear" w:color="auto" w:fill="auto"/>
            <w:noWrap/>
            <w:hideMark/>
          </w:tcPr>
          <w:p w14:paraId="04B461A2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PFRON.NF.BZP.004</w:t>
            </w:r>
          </w:p>
        </w:tc>
        <w:tc>
          <w:tcPr>
            <w:tcW w:w="2016" w:type="dxa"/>
            <w:shd w:val="clear" w:color="auto" w:fill="auto"/>
            <w:hideMark/>
          </w:tcPr>
          <w:p w14:paraId="171238AE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Uwierzytelnianie i autoryzacja</w:t>
            </w:r>
          </w:p>
        </w:tc>
        <w:tc>
          <w:tcPr>
            <w:tcW w:w="3199" w:type="dxa"/>
            <w:shd w:val="clear" w:color="auto" w:fill="auto"/>
            <w:hideMark/>
          </w:tcPr>
          <w:p w14:paraId="126340A5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Wszystkie wywołania przychodzące i wychodzące z platform muszą być zawsze uwierzytelnione z wykorzystaniem jednego z poniższych mechanizmów, adekwatnego do danego przypadku:</w:t>
            </w:r>
          </w:p>
          <w:p w14:paraId="6A82D574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val="en-GB" w:eastAsia="pl-PL"/>
              </w:rPr>
            </w:pPr>
            <w:r w:rsidRPr="001353FC">
              <w:rPr>
                <w:rFonts w:cs="Calibri"/>
                <w:color w:val="000000"/>
                <w:lang w:val="en-GB" w:eastAsia="pl-PL"/>
              </w:rPr>
              <w:t>Two-way SSL,</w:t>
            </w:r>
          </w:p>
          <w:p w14:paraId="3843C1FF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val="en-GB" w:eastAsia="pl-PL"/>
              </w:rPr>
            </w:pPr>
            <w:r w:rsidRPr="001353FC">
              <w:rPr>
                <w:rFonts w:cs="Calibri"/>
                <w:color w:val="000000"/>
                <w:lang w:val="en-GB" w:eastAsia="pl-PL"/>
              </w:rPr>
              <w:t>OAuth2.0,</w:t>
            </w:r>
          </w:p>
          <w:p w14:paraId="1A761AF9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val="en-GB" w:eastAsia="pl-PL"/>
              </w:rPr>
            </w:pPr>
            <w:r w:rsidRPr="001353FC">
              <w:rPr>
                <w:rFonts w:cs="Calibri"/>
                <w:color w:val="000000"/>
                <w:lang w:val="en-GB" w:eastAsia="pl-PL"/>
              </w:rPr>
              <w:t>OpenID,</w:t>
            </w:r>
          </w:p>
          <w:p w14:paraId="3FF572F0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val="en-GB" w:eastAsia="pl-PL"/>
              </w:rPr>
            </w:pPr>
            <w:r w:rsidRPr="001353FC">
              <w:rPr>
                <w:rFonts w:cs="Calibri"/>
                <w:color w:val="000000"/>
                <w:lang w:val="en-GB" w:eastAsia="pl-PL"/>
              </w:rPr>
              <w:t>SAML,</w:t>
            </w:r>
          </w:p>
          <w:p w14:paraId="311520DC" w14:textId="4D1851B8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val="en-GB" w:eastAsia="pl-PL"/>
              </w:rPr>
              <w:t>Kerberos</w:t>
            </w:r>
            <w:r w:rsidRPr="001353FC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984" w:type="dxa"/>
          </w:tcPr>
          <w:p w14:paraId="2F0AFC3D" w14:textId="35E5084F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Mitygacja ryzyka ataku cyberprzestępców</w:t>
            </w:r>
          </w:p>
        </w:tc>
      </w:tr>
      <w:tr w:rsidR="006B7B50" w:rsidRPr="006B7B50" w14:paraId="38A34261" w14:textId="537B7DB6" w:rsidTr="001B3241">
        <w:trPr>
          <w:trHeight w:val="3036"/>
        </w:trPr>
        <w:tc>
          <w:tcPr>
            <w:tcW w:w="1998" w:type="dxa"/>
            <w:shd w:val="clear" w:color="auto" w:fill="auto"/>
            <w:noWrap/>
            <w:hideMark/>
          </w:tcPr>
          <w:p w14:paraId="3F2411CD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PFRON.NF.BZP.005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65CBC501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Wykorzystanie API Gateway</w:t>
            </w:r>
          </w:p>
        </w:tc>
        <w:tc>
          <w:tcPr>
            <w:tcW w:w="3199" w:type="dxa"/>
            <w:shd w:val="clear" w:color="auto" w:fill="auto"/>
            <w:hideMark/>
          </w:tcPr>
          <w:p w14:paraId="5551A7E8" w14:textId="7D112DEE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Komunikacja przychodząca od Systemów znajdujących się poza siecią wewnętrzną PFRON, poprzez sieć publiczną (Internet, niezabezpieczony tunelem VPN) powinna odbywać się z wykorzystaniem komponentu Enterprise Gateway umieszczonego w sieci DMZ. Dla takiej komunikacji wszystkie punkty: PFRON.NF.BZP.001, PFRON.NF.BZP.002, PFRON.NF.BZP.004 muszą być spełnione.</w:t>
            </w:r>
          </w:p>
        </w:tc>
        <w:tc>
          <w:tcPr>
            <w:tcW w:w="1984" w:type="dxa"/>
          </w:tcPr>
          <w:p w14:paraId="439288E2" w14:textId="1EC1A28A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Mitygacja ryzyka ataku cyberprzestępców</w:t>
            </w:r>
          </w:p>
        </w:tc>
      </w:tr>
      <w:tr w:rsidR="006B7B50" w:rsidRPr="006B7B50" w14:paraId="3ADB3FA8" w14:textId="679A10CE" w:rsidTr="001B3241">
        <w:trPr>
          <w:trHeight w:val="552"/>
        </w:trPr>
        <w:tc>
          <w:tcPr>
            <w:tcW w:w="1998" w:type="dxa"/>
            <w:shd w:val="clear" w:color="000000" w:fill="FFFFFF"/>
            <w:noWrap/>
            <w:hideMark/>
          </w:tcPr>
          <w:p w14:paraId="140F77DD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PFRON.NF.BZP.007</w:t>
            </w:r>
          </w:p>
        </w:tc>
        <w:tc>
          <w:tcPr>
            <w:tcW w:w="2016" w:type="dxa"/>
            <w:shd w:val="clear" w:color="auto" w:fill="auto"/>
            <w:hideMark/>
          </w:tcPr>
          <w:p w14:paraId="307611C8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Autoryzacja operacji</w:t>
            </w:r>
          </w:p>
        </w:tc>
        <w:tc>
          <w:tcPr>
            <w:tcW w:w="3199" w:type="dxa"/>
            <w:shd w:val="clear" w:color="000000" w:fill="FFFFFF"/>
            <w:hideMark/>
          </w:tcPr>
          <w:p w14:paraId="3C94FDD9" w14:textId="723F5DDE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 xml:space="preserve">System musi zapewnić autoryzację operacji użytkownika, aby użytkownicy mieli dostęp tylko do tych </w:t>
            </w:r>
            <w:r w:rsidRPr="00FD0F9B">
              <w:rPr>
                <w:rFonts w:cs="Calibri"/>
                <w:color w:val="000000"/>
                <w:lang w:eastAsia="pl-PL"/>
              </w:rPr>
              <w:lastRenderedPageBreak/>
              <w:t>funkcji systemu, do których powinni mieć dostęp na podstawie swojej roli lub uprawnień</w:t>
            </w:r>
            <w:r w:rsidRPr="001353FC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984" w:type="dxa"/>
            <w:shd w:val="clear" w:color="000000" w:fill="FFFFFF"/>
          </w:tcPr>
          <w:p w14:paraId="1C838C59" w14:textId="5BC49A58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lastRenderedPageBreak/>
              <w:t>Mitygacja ryzyka ataku cyberprzestępców</w:t>
            </w:r>
          </w:p>
        </w:tc>
      </w:tr>
      <w:tr w:rsidR="006B7B50" w:rsidRPr="006B7B50" w14:paraId="194B0E88" w14:textId="7DAC002E" w:rsidTr="001B3241">
        <w:trPr>
          <w:trHeight w:val="552"/>
        </w:trPr>
        <w:tc>
          <w:tcPr>
            <w:tcW w:w="1998" w:type="dxa"/>
            <w:shd w:val="clear" w:color="000000" w:fill="FFFFFF"/>
            <w:noWrap/>
            <w:hideMark/>
          </w:tcPr>
          <w:p w14:paraId="45B67517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PFRON.NF.BZP.008</w:t>
            </w:r>
          </w:p>
        </w:tc>
        <w:tc>
          <w:tcPr>
            <w:tcW w:w="2016" w:type="dxa"/>
            <w:shd w:val="clear" w:color="auto" w:fill="auto"/>
            <w:hideMark/>
          </w:tcPr>
          <w:p w14:paraId="03B6BD2A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Centralny System zbierania logów</w:t>
            </w:r>
          </w:p>
        </w:tc>
        <w:tc>
          <w:tcPr>
            <w:tcW w:w="3199" w:type="dxa"/>
            <w:shd w:val="clear" w:color="auto" w:fill="auto"/>
            <w:hideMark/>
          </w:tcPr>
          <w:p w14:paraId="5FC3BDFE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Możliwość zrzucania logów do centralnego Systemu zbierania logów. Powiązane z wymaganiem PFRON.NF.BZP.014.</w:t>
            </w:r>
          </w:p>
          <w:p w14:paraId="1483A484" w14:textId="735C96EE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b/>
                <w:bCs/>
                <w:color w:val="000000"/>
                <w:lang w:eastAsia="pl-PL"/>
              </w:rPr>
              <w:t>Argumentacja:</w:t>
            </w:r>
            <w:r w:rsidRPr="00FD0F9B">
              <w:rPr>
                <w:rFonts w:cs="Calibri"/>
                <w:color w:val="000000"/>
                <w:lang w:eastAsia="pl-PL"/>
              </w:rPr>
              <w:t xml:space="preserve"> Mitygacja ryzyka ataków cyberprzestępców.</w:t>
            </w:r>
          </w:p>
        </w:tc>
        <w:tc>
          <w:tcPr>
            <w:tcW w:w="1984" w:type="dxa"/>
          </w:tcPr>
          <w:p w14:paraId="4A8FDA59" w14:textId="15AA49B1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Mitygacja ryzyka ataku cyberprzestępców</w:t>
            </w:r>
          </w:p>
        </w:tc>
      </w:tr>
      <w:tr w:rsidR="006B7B50" w:rsidRPr="006B7B50" w14:paraId="47F06C0D" w14:textId="0BB86911" w:rsidTr="001B3241">
        <w:trPr>
          <w:trHeight w:val="1380"/>
        </w:trPr>
        <w:tc>
          <w:tcPr>
            <w:tcW w:w="1998" w:type="dxa"/>
            <w:shd w:val="clear" w:color="000000" w:fill="FFFFFF"/>
            <w:noWrap/>
            <w:hideMark/>
          </w:tcPr>
          <w:p w14:paraId="1FEF57D7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PFRON.NF.BZP.009</w:t>
            </w:r>
          </w:p>
        </w:tc>
        <w:tc>
          <w:tcPr>
            <w:tcW w:w="2016" w:type="dxa"/>
            <w:shd w:val="clear" w:color="auto" w:fill="auto"/>
            <w:hideMark/>
          </w:tcPr>
          <w:p w14:paraId="3C0989E1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Dostęp do aplikacji - szyfrowanie</w:t>
            </w:r>
          </w:p>
        </w:tc>
        <w:tc>
          <w:tcPr>
            <w:tcW w:w="3199" w:type="dxa"/>
            <w:shd w:val="clear" w:color="auto" w:fill="auto"/>
            <w:hideMark/>
          </w:tcPr>
          <w:p w14:paraId="76E5AFF4" w14:textId="7A3CA64C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 xml:space="preserve">Dostęp do aplikacji odbywa się </w:t>
            </w:r>
            <w:r w:rsidR="001353FC" w:rsidRPr="001353FC">
              <w:rPr>
                <w:rFonts w:cs="Calibri"/>
                <w:color w:val="000000"/>
                <w:lang w:eastAsia="pl-PL"/>
              </w:rPr>
              <w:t>wyłącznie</w:t>
            </w:r>
            <w:r w:rsidRPr="00FD0F9B">
              <w:rPr>
                <w:rFonts w:cs="Calibri"/>
                <w:color w:val="000000"/>
                <w:lang w:eastAsia="pl-PL"/>
              </w:rPr>
              <w:t xml:space="preserve"> z wykorzystaniem szyfrowanego protokołu komunikacyjnego. Transmisja danych przesyłanych wewnątrz i na zewnątrz firmy musi być szyfrowana. Rozwiązanie musi poprawnie działać bez niebezpiecznych protokołów komunikacyjnych, np. SSL w wersji 3 lub niższej (wymiana danych z Systemami zewnętrznymi w oparciu o bezpieczne protokoły).</w:t>
            </w:r>
          </w:p>
          <w:p w14:paraId="54FB4E1C" w14:textId="649C086B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b/>
                <w:bCs/>
                <w:color w:val="000000"/>
                <w:lang w:eastAsia="pl-PL"/>
              </w:rPr>
              <w:t>Argumentacja:</w:t>
            </w:r>
            <w:r w:rsidRPr="00FD0F9B">
              <w:rPr>
                <w:rFonts w:cs="Calibri"/>
                <w:color w:val="000000"/>
                <w:lang w:eastAsia="pl-PL"/>
              </w:rPr>
              <w:t xml:space="preserve"> Mitygacja ryzyka ataków cyberprzestępców.</w:t>
            </w:r>
          </w:p>
        </w:tc>
        <w:tc>
          <w:tcPr>
            <w:tcW w:w="1984" w:type="dxa"/>
          </w:tcPr>
          <w:p w14:paraId="3CA377C2" w14:textId="1EF66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Mitygacja ryzyka ataku cyberprzestępców</w:t>
            </w:r>
          </w:p>
        </w:tc>
      </w:tr>
      <w:tr w:rsidR="006B7B50" w:rsidRPr="006B7B50" w14:paraId="14FFDC28" w14:textId="66362B5C" w:rsidTr="001B3241">
        <w:trPr>
          <w:trHeight w:val="552"/>
        </w:trPr>
        <w:tc>
          <w:tcPr>
            <w:tcW w:w="1998" w:type="dxa"/>
            <w:shd w:val="clear" w:color="000000" w:fill="FFFFFF"/>
            <w:noWrap/>
            <w:hideMark/>
          </w:tcPr>
          <w:p w14:paraId="2C32C000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PFRON.NF.BZP.010</w:t>
            </w:r>
          </w:p>
        </w:tc>
        <w:tc>
          <w:tcPr>
            <w:tcW w:w="2016" w:type="dxa"/>
            <w:shd w:val="clear" w:color="auto" w:fill="auto"/>
            <w:hideMark/>
          </w:tcPr>
          <w:p w14:paraId="31FC9AE4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Dostęp do kodów źródłowych</w:t>
            </w:r>
          </w:p>
        </w:tc>
        <w:tc>
          <w:tcPr>
            <w:tcW w:w="3199" w:type="dxa"/>
            <w:shd w:val="clear" w:color="000000" w:fill="FFFFFF"/>
            <w:hideMark/>
          </w:tcPr>
          <w:p w14:paraId="787A849A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Wykonawca zobowiązuje się do udostępnienia Zamawiającemu pełnego dostępu do wszystkich kodów źródłowych, które są używane w ramach realizacji projektu.</w:t>
            </w:r>
          </w:p>
          <w:p w14:paraId="38787E3B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 xml:space="preserve">Wykonawca powinien dostarczyć Zamawiającemu pełen zestaw kodów </w:t>
            </w:r>
            <w:r w:rsidRPr="001353FC">
              <w:rPr>
                <w:rFonts w:cs="Calibri"/>
                <w:color w:val="000000"/>
                <w:lang w:eastAsia="pl-PL"/>
              </w:rPr>
              <w:lastRenderedPageBreak/>
              <w:t>źródłowych, włączając w to kod aplikacji, skrypty, biblioteki, pliki konfiguracyjne i inne związane z projektem.</w:t>
            </w:r>
          </w:p>
          <w:p w14:paraId="018F696A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 xml:space="preserve">Dostęp do kodów źródłowych powinien obejmować wszystkie komponenty systemu, zarówno te opracowane przez Wykonawcę, jak i te, które są pochodzenia zewnętrznego (np. </w:t>
            </w:r>
            <w:r w:rsidRPr="00BA2113">
              <w:rPr>
                <w:rFonts w:cs="Calibri"/>
                <w:color w:val="000000"/>
                <w:lang w:eastAsia="pl-PL"/>
              </w:rPr>
              <w:t>open source</w:t>
            </w:r>
            <w:r w:rsidRPr="001353FC">
              <w:rPr>
                <w:rFonts w:cs="Calibri"/>
                <w:color w:val="000000"/>
                <w:lang w:eastAsia="pl-PL"/>
              </w:rPr>
              <w:t>).</w:t>
            </w:r>
          </w:p>
          <w:p w14:paraId="42CEDCF8" w14:textId="75CBC206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b/>
                <w:bCs/>
                <w:color w:val="000000"/>
                <w:lang w:eastAsia="pl-PL"/>
              </w:rPr>
              <w:t>Argumentacja:</w:t>
            </w:r>
            <w:r w:rsidRPr="001353FC">
              <w:rPr>
                <w:rFonts w:cs="Calibri"/>
                <w:color w:val="000000"/>
                <w:lang w:eastAsia="pl-PL"/>
              </w:rPr>
              <w:t xml:space="preserve"> Mitygacja ryzyka ataków cyberprzestępców.</w:t>
            </w:r>
          </w:p>
        </w:tc>
        <w:tc>
          <w:tcPr>
            <w:tcW w:w="1984" w:type="dxa"/>
            <w:shd w:val="clear" w:color="000000" w:fill="FFFFFF"/>
          </w:tcPr>
          <w:p w14:paraId="472A591D" w14:textId="59015099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lastRenderedPageBreak/>
              <w:t>Mitygacja ryzyka ataku cyberprzestępców</w:t>
            </w:r>
          </w:p>
        </w:tc>
      </w:tr>
      <w:tr w:rsidR="006B7B50" w:rsidRPr="006B7B50" w14:paraId="25E47D59" w14:textId="3EA98E91" w:rsidTr="001B3241">
        <w:trPr>
          <w:trHeight w:val="552"/>
        </w:trPr>
        <w:tc>
          <w:tcPr>
            <w:tcW w:w="1998" w:type="dxa"/>
            <w:shd w:val="clear" w:color="000000" w:fill="FFFFFF"/>
            <w:noWrap/>
            <w:hideMark/>
          </w:tcPr>
          <w:p w14:paraId="10432C92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PFRON.NF.BZP.011</w:t>
            </w:r>
          </w:p>
        </w:tc>
        <w:tc>
          <w:tcPr>
            <w:tcW w:w="2016" w:type="dxa"/>
            <w:shd w:val="clear" w:color="auto" w:fill="auto"/>
            <w:hideMark/>
          </w:tcPr>
          <w:p w14:paraId="7C1187D2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Indywidualne konto Użytkownika Systemowego</w:t>
            </w:r>
          </w:p>
        </w:tc>
        <w:tc>
          <w:tcPr>
            <w:tcW w:w="3199" w:type="dxa"/>
            <w:shd w:val="clear" w:color="auto" w:fill="auto"/>
            <w:hideMark/>
          </w:tcPr>
          <w:p w14:paraId="479478A0" w14:textId="6FA02090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Każdy Użytkownik musi posiadać indywidualne, unikalne konto. Dotyczy to Użytkowników Systemowych obsługujących formularze.</w:t>
            </w:r>
          </w:p>
        </w:tc>
        <w:tc>
          <w:tcPr>
            <w:tcW w:w="1984" w:type="dxa"/>
          </w:tcPr>
          <w:p w14:paraId="09CF3323" w14:textId="4525227B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Mitygacja ryzyka ataku cyberprzestępców. Możliwość zapewnienia rozliczalności działań.</w:t>
            </w:r>
          </w:p>
        </w:tc>
      </w:tr>
      <w:tr w:rsidR="006B7B50" w:rsidRPr="006B7B50" w14:paraId="3E5B79F9" w14:textId="6CE96CC0" w:rsidTr="001B3241">
        <w:trPr>
          <w:trHeight w:val="1104"/>
        </w:trPr>
        <w:tc>
          <w:tcPr>
            <w:tcW w:w="1998" w:type="dxa"/>
            <w:shd w:val="clear" w:color="000000" w:fill="FFFFFF"/>
            <w:noWrap/>
            <w:hideMark/>
          </w:tcPr>
          <w:p w14:paraId="69D00293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PFRON.NF.BZP.012</w:t>
            </w:r>
          </w:p>
        </w:tc>
        <w:tc>
          <w:tcPr>
            <w:tcW w:w="2016" w:type="dxa"/>
            <w:shd w:val="clear" w:color="auto" w:fill="auto"/>
            <w:hideMark/>
          </w:tcPr>
          <w:p w14:paraId="6BFFB191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Odporność na ataki</w:t>
            </w:r>
          </w:p>
        </w:tc>
        <w:tc>
          <w:tcPr>
            <w:tcW w:w="3199" w:type="dxa"/>
            <w:shd w:val="clear" w:color="auto" w:fill="auto"/>
            <w:hideMark/>
          </w:tcPr>
          <w:p w14:paraId="4B4C04A8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Rozwiązanie powinno zapewniać odporność na znane ataki, mogące narazić poufność, integralność lub autentyczność danych przetwarzanych przez aplikację. Ujawniona (także przez stronę trzecią) słabość aplikacji lub podatność na atak opisany w dostępnych publicznie źródłach będzie traktowana jak awaria aplikacji o najwyższym priorytecie.</w:t>
            </w:r>
          </w:p>
        </w:tc>
        <w:tc>
          <w:tcPr>
            <w:tcW w:w="1984" w:type="dxa"/>
          </w:tcPr>
          <w:p w14:paraId="51FDF3F1" w14:textId="7CF7237A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Mitygacja ryzyka ataku cyberprzestępców</w:t>
            </w:r>
          </w:p>
        </w:tc>
      </w:tr>
      <w:tr w:rsidR="006B7B50" w:rsidRPr="006B7B50" w14:paraId="460D2490" w14:textId="34181464" w:rsidTr="001B3241">
        <w:trPr>
          <w:trHeight w:val="288"/>
        </w:trPr>
        <w:tc>
          <w:tcPr>
            <w:tcW w:w="1998" w:type="dxa"/>
            <w:shd w:val="clear" w:color="000000" w:fill="FFFFFF"/>
            <w:noWrap/>
            <w:hideMark/>
          </w:tcPr>
          <w:p w14:paraId="594525DB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PFRON.NF.BZP.013</w:t>
            </w:r>
          </w:p>
        </w:tc>
        <w:tc>
          <w:tcPr>
            <w:tcW w:w="2016" w:type="dxa"/>
            <w:shd w:val="clear" w:color="auto" w:fill="auto"/>
            <w:hideMark/>
          </w:tcPr>
          <w:p w14:paraId="4CCA313A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Rejestracja czyszczenia logów z poziomu aplikacji</w:t>
            </w:r>
          </w:p>
        </w:tc>
        <w:tc>
          <w:tcPr>
            <w:tcW w:w="3199" w:type="dxa"/>
            <w:shd w:val="clear" w:color="auto" w:fill="auto"/>
            <w:hideMark/>
          </w:tcPr>
          <w:p w14:paraId="03CF62C7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 xml:space="preserve">Rejestracja czyszczenia logów z poziomu aplikacji - integracja z </w:t>
            </w:r>
            <w:r w:rsidRPr="00FD0F9B">
              <w:rPr>
                <w:rFonts w:cs="Calibri"/>
                <w:color w:val="000000"/>
                <w:lang w:eastAsia="pl-PL"/>
              </w:rPr>
              <w:lastRenderedPageBreak/>
              <w:t>SIEM. Rejestracja zdarzeń w SIEM.</w:t>
            </w:r>
          </w:p>
        </w:tc>
        <w:tc>
          <w:tcPr>
            <w:tcW w:w="1984" w:type="dxa"/>
          </w:tcPr>
          <w:p w14:paraId="1AD31C31" w14:textId="68390F64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lastRenderedPageBreak/>
              <w:t xml:space="preserve">Możliwość zapewnienia integralności i </w:t>
            </w:r>
            <w:r w:rsidRPr="001353FC">
              <w:rPr>
                <w:rFonts w:cs="Calibri"/>
                <w:color w:val="000000"/>
                <w:lang w:eastAsia="pl-PL"/>
              </w:rPr>
              <w:lastRenderedPageBreak/>
              <w:t>autentyczności historii wykonywanych operacji</w:t>
            </w:r>
          </w:p>
        </w:tc>
      </w:tr>
      <w:tr w:rsidR="006B7B50" w:rsidRPr="006B7B50" w14:paraId="1EC4A7DD" w14:textId="1105D14A" w:rsidTr="001B3241">
        <w:trPr>
          <w:trHeight w:val="828"/>
        </w:trPr>
        <w:tc>
          <w:tcPr>
            <w:tcW w:w="1998" w:type="dxa"/>
            <w:shd w:val="clear" w:color="000000" w:fill="FFFFFF"/>
            <w:noWrap/>
            <w:hideMark/>
          </w:tcPr>
          <w:p w14:paraId="1BDF0C6F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lastRenderedPageBreak/>
              <w:t>PFRON.NF.BZP.014</w:t>
            </w:r>
          </w:p>
        </w:tc>
        <w:tc>
          <w:tcPr>
            <w:tcW w:w="2016" w:type="dxa"/>
            <w:shd w:val="clear" w:color="auto" w:fill="auto"/>
            <w:hideMark/>
          </w:tcPr>
          <w:p w14:paraId="56ECC9BD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Logowanie zdarzeń</w:t>
            </w:r>
          </w:p>
        </w:tc>
        <w:tc>
          <w:tcPr>
            <w:tcW w:w="3199" w:type="dxa"/>
            <w:shd w:val="clear" w:color="auto" w:fill="auto"/>
            <w:hideMark/>
          </w:tcPr>
          <w:p w14:paraId="55043DD3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System musi zapewnić kompleksowe logowanie zdarzeń wewnętrznych oraz związanych z komunikacją wychodzącą i przychodzącą z systemów zintegrowanych. Wszystkie zdarzenia powinny być rejestrowane i logowane w systemie.</w:t>
            </w:r>
          </w:p>
        </w:tc>
        <w:tc>
          <w:tcPr>
            <w:tcW w:w="1984" w:type="dxa"/>
          </w:tcPr>
          <w:p w14:paraId="273ACA9E" w14:textId="3DE50B50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Możliwość zapewnienia integralności i autentyczności historii wykonywanych operacji</w:t>
            </w:r>
          </w:p>
        </w:tc>
      </w:tr>
      <w:tr w:rsidR="006B7B50" w:rsidRPr="006B7B50" w14:paraId="4E62F7D2" w14:textId="2555ACA7" w:rsidTr="001B3241">
        <w:trPr>
          <w:trHeight w:val="552"/>
        </w:trPr>
        <w:tc>
          <w:tcPr>
            <w:tcW w:w="1998" w:type="dxa"/>
            <w:shd w:val="clear" w:color="000000" w:fill="FFFFFF"/>
            <w:noWrap/>
            <w:hideMark/>
          </w:tcPr>
          <w:p w14:paraId="63A767B7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PFRON.NF.BZP.015</w:t>
            </w:r>
          </w:p>
        </w:tc>
        <w:tc>
          <w:tcPr>
            <w:tcW w:w="2016" w:type="dxa"/>
            <w:shd w:val="clear" w:color="auto" w:fill="auto"/>
            <w:hideMark/>
          </w:tcPr>
          <w:p w14:paraId="2842B19F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Backupowanie logów</w:t>
            </w:r>
          </w:p>
        </w:tc>
        <w:tc>
          <w:tcPr>
            <w:tcW w:w="3199" w:type="dxa"/>
            <w:shd w:val="clear" w:color="auto" w:fill="auto"/>
            <w:hideMark/>
          </w:tcPr>
          <w:p w14:paraId="48AA02A9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System musi zapewnić regularne i niezawodne backupowanie logów systemowych na niezależnym serwerze w celu zapewnienia ochrony, integralności i dostępności tych danych.</w:t>
            </w:r>
          </w:p>
          <w:p w14:paraId="435E6FE5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>Logi zdarzeń powinny zawierać szczegółowe informacje, takie jak datę, godzinę, źródło zdarzenia, docelowe systemy, rodzaj komunikacji (np. żądanie API, odpowiedź HTTP) oraz wszelkie dodatkowe parametry i metadane dotyczące zdarzenia.</w:t>
            </w:r>
          </w:p>
          <w:p w14:paraId="18F77AE3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>W przypadku komunikacji wychodzącej, logi powinny rejestrować wysłane żądania, otrzymane odpowiedzi oraz statusy i błędy związane z komunikacją.</w:t>
            </w:r>
          </w:p>
          <w:p w14:paraId="21A4E7F2" w14:textId="69321002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 xml:space="preserve">W przypadku komunikacji przychodzącej, logi powinny rejestrować otrzymane żądania, wysłane odpowiedzi </w:t>
            </w:r>
            <w:r w:rsidRPr="001353FC">
              <w:rPr>
                <w:rFonts w:cs="Calibri"/>
                <w:color w:val="000000"/>
                <w:lang w:eastAsia="pl-PL"/>
              </w:rPr>
              <w:lastRenderedPageBreak/>
              <w:t>oraz statusy i błędy związane z komunikacją.</w:t>
            </w:r>
          </w:p>
        </w:tc>
        <w:tc>
          <w:tcPr>
            <w:tcW w:w="1984" w:type="dxa"/>
          </w:tcPr>
          <w:p w14:paraId="62CD49D9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</w:tr>
      <w:tr w:rsidR="006B7B50" w:rsidRPr="006B7B50" w14:paraId="72AA45E2" w14:textId="1C4EFDA8" w:rsidTr="001B3241">
        <w:trPr>
          <w:trHeight w:val="828"/>
        </w:trPr>
        <w:tc>
          <w:tcPr>
            <w:tcW w:w="1998" w:type="dxa"/>
            <w:shd w:val="clear" w:color="000000" w:fill="FFFFFF"/>
            <w:noWrap/>
            <w:hideMark/>
          </w:tcPr>
          <w:p w14:paraId="1479354A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PFRON.NF.BZP.016</w:t>
            </w:r>
          </w:p>
        </w:tc>
        <w:tc>
          <w:tcPr>
            <w:tcW w:w="2016" w:type="dxa"/>
            <w:shd w:val="clear" w:color="auto" w:fill="auto"/>
            <w:hideMark/>
          </w:tcPr>
          <w:p w14:paraId="08FE01EC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Rozliczalność działań Użytkownika</w:t>
            </w:r>
          </w:p>
        </w:tc>
        <w:tc>
          <w:tcPr>
            <w:tcW w:w="3199" w:type="dxa"/>
            <w:shd w:val="clear" w:color="auto" w:fill="auto"/>
            <w:hideMark/>
          </w:tcPr>
          <w:p w14:paraId="139C6A64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Zapewnienie rozliczalności wszystkich działań Użytkownika. Aplikacja umożliwia generowanie raportów zawierających informacje o operacjach wykonywanych przez danego Użytkownika w danym okresie czasu lub przekazuje logi do SIEM.</w:t>
            </w:r>
          </w:p>
        </w:tc>
        <w:tc>
          <w:tcPr>
            <w:tcW w:w="1984" w:type="dxa"/>
          </w:tcPr>
          <w:p w14:paraId="1D65CA8F" w14:textId="251AF9DD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>Możliwość zapewnienia integralności i autentyczności historii wykonywanych operacji</w:t>
            </w:r>
          </w:p>
        </w:tc>
      </w:tr>
      <w:tr w:rsidR="006B7B50" w:rsidRPr="006B7B50" w14:paraId="747D8B80" w14:textId="60ECE866" w:rsidTr="001B3241">
        <w:trPr>
          <w:trHeight w:val="552"/>
        </w:trPr>
        <w:tc>
          <w:tcPr>
            <w:tcW w:w="1998" w:type="dxa"/>
            <w:shd w:val="clear" w:color="000000" w:fill="FFFFFF"/>
            <w:noWrap/>
            <w:hideMark/>
          </w:tcPr>
          <w:p w14:paraId="0A80895D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PFRON.NF.BZP.017</w:t>
            </w:r>
          </w:p>
        </w:tc>
        <w:tc>
          <w:tcPr>
            <w:tcW w:w="2016" w:type="dxa"/>
            <w:shd w:val="clear" w:color="auto" w:fill="auto"/>
            <w:hideMark/>
          </w:tcPr>
          <w:p w14:paraId="00227288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 xml:space="preserve">Stosowanie algorytmów kryptograficznych </w:t>
            </w:r>
          </w:p>
        </w:tc>
        <w:tc>
          <w:tcPr>
            <w:tcW w:w="3199" w:type="dxa"/>
            <w:shd w:val="clear" w:color="auto" w:fill="auto"/>
            <w:hideMark/>
          </w:tcPr>
          <w:p w14:paraId="4490724B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Stosowanie silnych algorytmów kryptograficznych z kluczem symetrycznym o długości nie mniejszej niż 256 bitów i asymetrycznym o długości co najmniej 4096 bitów.</w:t>
            </w:r>
          </w:p>
        </w:tc>
        <w:tc>
          <w:tcPr>
            <w:tcW w:w="1984" w:type="dxa"/>
          </w:tcPr>
          <w:p w14:paraId="7B9C6F16" w14:textId="56BDC9F0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>Mitygacja ryzyka ataków cyberprzestępców.</w:t>
            </w:r>
          </w:p>
        </w:tc>
      </w:tr>
      <w:tr w:rsidR="006B7B50" w:rsidRPr="006B7B50" w14:paraId="16DE22AB" w14:textId="55485A2D" w:rsidTr="001B3241">
        <w:trPr>
          <w:trHeight w:val="828"/>
        </w:trPr>
        <w:tc>
          <w:tcPr>
            <w:tcW w:w="1998" w:type="dxa"/>
            <w:shd w:val="clear" w:color="000000" w:fill="FFFFFF"/>
            <w:noWrap/>
            <w:hideMark/>
          </w:tcPr>
          <w:p w14:paraId="547082E7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PFRON.NF.BZP.018</w:t>
            </w:r>
          </w:p>
        </w:tc>
        <w:tc>
          <w:tcPr>
            <w:tcW w:w="2016" w:type="dxa"/>
            <w:shd w:val="clear" w:color="auto" w:fill="auto"/>
            <w:hideMark/>
          </w:tcPr>
          <w:p w14:paraId="7B5AB2CD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Stosowanie najmniejszych koniecznych uprawnień</w:t>
            </w:r>
          </w:p>
        </w:tc>
        <w:tc>
          <w:tcPr>
            <w:tcW w:w="3199" w:type="dxa"/>
            <w:shd w:val="clear" w:color="auto" w:fill="auto"/>
            <w:hideMark/>
          </w:tcPr>
          <w:p w14:paraId="618A6F56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System musi spełniać wymóg stosowania najmniejszych koniecznych uprawnień do pracy Użytkowników i aplikacji, np. aplikacja nie może wymagać, aby podczas łączenia się do bazy danych wykorzystywane było konto administratorskie.</w:t>
            </w:r>
          </w:p>
        </w:tc>
        <w:tc>
          <w:tcPr>
            <w:tcW w:w="1984" w:type="dxa"/>
          </w:tcPr>
          <w:p w14:paraId="53B85700" w14:textId="32C8A418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>Mitygacja ryzyka związanego z nadmiarowym dostępem do danych.</w:t>
            </w:r>
          </w:p>
        </w:tc>
      </w:tr>
      <w:tr w:rsidR="006B7B50" w:rsidRPr="006B7B50" w14:paraId="4043BBC7" w14:textId="2E629472" w:rsidTr="001B3241">
        <w:trPr>
          <w:trHeight w:val="552"/>
        </w:trPr>
        <w:tc>
          <w:tcPr>
            <w:tcW w:w="1998" w:type="dxa"/>
            <w:shd w:val="clear" w:color="000000" w:fill="FFFFFF"/>
            <w:noWrap/>
            <w:hideMark/>
          </w:tcPr>
          <w:p w14:paraId="60203520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PFRON.NF.BZP.019</w:t>
            </w:r>
          </w:p>
        </w:tc>
        <w:tc>
          <w:tcPr>
            <w:tcW w:w="2016" w:type="dxa"/>
            <w:shd w:val="clear" w:color="auto" w:fill="auto"/>
            <w:hideMark/>
          </w:tcPr>
          <w:p w14:paraId="4EA30868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Uprawnienia</w:t>
            </w:r>
          </w:p>
        </w:tc>
        <w:tc>
          <w:tcPr>
            <w:tcW w:w="3199" w:type="dxa"/>
            <w:shd w:val="clear" w:color="auto" w:fill="auto"/>
            <w:hideMark/>
          </w:tcPr>
          <w:p w14:paraId="5F865A51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Możliwe jest definiowanie uprawnień Użytkownika do każdej z poszczególnych funkcji aplikacji. Uprawnienia zgodnie z metodologią RBAC.</w:t>
            </w:r>
          </w:p>
        </w:tc>
        <w:tc>
          <w:tcPr>
            <w:tcW w:w="1984" w:type="dxa"/>
          </w:tcPr>
          <w:p w14:paraId="16E5A16C" w14:textId="3AB7365E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>Mitygacja ryzyka związanego z nadmiarowym dostępem do danych.</w:t>
            </w:r>
          </w:p>
        </w:tc>
      </w:tr>
      <w:tr w:rsidR="006B7B50" w:rsidRPr="006B7B50" w14:paraId="374AE819" w14:textId="4B34E8BE" w:rsidTr="001B3241">
        <w:trPr>
          <w:trHeight w:val="552"/>
        </w:trPr>
        <w:tc>
          <w:tcPr>
            <w:tcW w:w="1998" w:type="dxa"/>
            <w:shd w:val="clear" w:color="000000" w:fill="FFFFFF"/>
            <w:noWrap/>
            <w:hideMark/>
          </w:tcPr>
          <w:p w14:paraId="07A7A909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PFRON.NF.BZP.020</w:t>
            </w:r>
          </w:p>
        </w:tc>
        <w:tc>
          <w:tcPr>
            <w:tcW w:w="2016" w:type="dxa"/>
            <w:shd w:val="clear" w:color="auto" w:fill="auto"/>
            <w:hideMark/>
          </w:tcPr>
          <w:p w14:paraId="460C8155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Uwierzytelnianie wszystkich działań Użytkownika</w:t>
            </w:r>
          </w:p>
        </w:tc>
        <w:tc>
          <w:tcPr>
            <w:tcW w:w="3199" w:type="dxa"/>
            <w:shd w:val="clear" w:color="auto" w:fill="auto"/>
            <w:hideMark/>
          </w:tcPr>
          <w:p w14:paraId="68CA6328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 xml:space="preserve">Zapewnienie uwierzytelniania wszystkich działań Użytkownika. System musi zapewnić zarządzanie </w:t>
            </w:r>
            <w:r w:rsidRPr="00FD0F9B">
              <w:rPr>
                <w:rFonts w:cs="Calibri"/>
                <w:color w:val="000000"/>
                <w:lang w:eastAsia="pl-PL"/>
              </w:rPr>
              <w:lastRenderedPageBreak/>
              <w:t>poświadczeniami Użytkowników.</w:t>
            </w:r>
          </w:p>
        </w:tc>
        <w:tc>
          <w:tcPr>
            <w:tcW w:w="1984" w:type="dxa"/>
          </w:tcPr>
          <w:p w14:paraId="47D1B144" w14:textId="5E2E5FED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lastRenderedPageBreak/>
              <w:t>Możliwość zapewnienia rozliczalności i autentyczności.</w:t>
            </w:r>
          </w:p>
        </w:tc>
      </w:tr>
      <w:tr w:rsidR="006B7B50" w:rsidRPr="006B7B50" w14:paraId="6F7D7F61" w14:textId="36C8C4A1" w:rsidTr="001B3241">
        <w:trPr>
          <w:trHeight w:val="552"/>
        </w:trPr>
        <w:tc>
          <w:tcPr>
            <w:tcW w:w="1998" w:type="dxa"/>
            <w:shd w:val="clear" w:color="000000" w:fill="FFFFFF"/>
            <w:noWrap/>
            <w:hideMark/>
          </w:tcPr>
          <w:p w14:paraId="735DBA84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PFRON.NF.BZP.021</w:t>
            </w:r>
          </w:p>
        </w:tc>
        <w:tc>
          <w:tcPr>
            <w:tcW w:w="2016" w:type="dxa"/>
            <w:shd w:val="clear" w:color="auto" w:fill="auto"/>
            <w:hideMark/>
          </w:tcPr>
          <w:p w14:paraId="6DC95C1A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Zautomatyzowane zamykanie sesji Użytkowników nieaktywnych</w:t>
            </w:r>
          </w:p>
        </w:tc>
        <w:tc>
          <w:tcPr>
            <w:tcW w:w="3199" w:type="dxa"/>
            <w:shd w:val="clear" w:color="auto" w:fill="auto"/>
            <w:hideMark/>
          </w:tcPr>
          <w:p w14:paraId="60DF3EEA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Możliwość automatycznego zamykania sesji Użytkowników nieaktywnych przez konfigurowalną długość czasu.</w:t>
            </w:r>
          </w:p>
        </w:tc>
        <w:tc>
          <w:tcPr>
            <w:tcW w:w="1984" w:type="dxa"/>
          </w:tcPr>
          <w:p w14:paraId="4F2C2602" w14:textId="683EDC98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>Możliwość zapewnienia poufności.</w:t>
            </w:r>
          </w:p>
        </w:tc>
      </w:tr>
      <w:tr w:rsidR="006B7B50" w:rsidRPr="006B7B50" w14:paraId="3A613F67" w14:textId="649670F0" w:rsidTr="001B3241">
        <w:trPr>
          <w:trHeight w:val="552"/>
        </w:trPr>
        <w:tc>
          <w:tcPr>
            <w:tcW w:w="1998" w:type="dxa"/>
            <w:shd w:val="clear" w:color="000000" w:fill="FFFFFF"/>
            <w:noWrap/>
            <w:hideMark/>
          </w:tcPr>
          <w:p w14:paraId="23CFC0AD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PFRON.NF.BZP.022</w:t>
            </w:r>
          </w:p>
        </w:tc>
        <w:tc>
          <w:tcPr>
            <w:tcW w:w="2016" w:type="dxa"/>
            <w:shd w:val="clear" w:color="auto" w:fill="auto"/>
            <w:hideMark/>
          </w:tcPr>
          <w:p w14:paraId="741F8257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Zgodność aplikacji z aktualizacjami</w:t>
            </w:r>
          </w:p>
        </w:tc>
        <w:tc>
          <w:tcPr>
            <w:tcW w:w="3199" w:type="dxa"/>
            <w:shd w:val="clear" w:color="auto" w:fill="auto"/>
            <w:hideMark/>
          </w:tcPr>
          <w:p w14:paraId="77D8271B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Zapewnienie zgodności aplikacji z aktualizacjami bezpieczeństwa Systemu operacyjnego, bazy danych i pozostałych komponentów Systemu.</w:t>
            </w:r>
          </w:p>
        </w:tc>
        <w:tc>
          <w:tcPr>
            <w:tcW w:w="1984" w:type="dxa"/>
          </w:tcPr>
          <w:p w14:paraId="7A779601" w14:textId="3BAE1C2E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>Mitygacja ryzyka ataków cyberprzestępców.</w:t>
            </w:r>
          </w:p>
        </w:tc>
      </w:tr>
      <w:tr w:rsidR="006B7B50" w:rsidRPr="006B7B50" w14:paraId="5E9F174D" w14:textId="30F35AB2" w:rsidTr="001B3241">
        <w:trPr>
          <w:trHeight w:val="288"/>
        </w:trPr>
        <w:tc>
          <w:tcPr>
            <w:tcW w:w="1998" w:type="dxa"/>
            <w:shd w:val="clear" w:color="000000" w:fill="FFFFFF"/>
            <w:noWrap/>
            <w:hideMark/>
          </w:tcPr>
          <w:p w14:paraId="7E796433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PFRON.NF.BZP.023</w:t>
            </w:r>
          </w:p>
        </w:tc>
        <w:tc>
          <w:tcPr>
            <w:tcW w:w="2016" w:type="dxa"/>
            <w:shd w:val="clear" w:color="auto" w:fill="auto"/>
            <w:hideMark/>
          </w:tcPr>
          <w:p w14:paraId="1205FC41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Zgodność z OWASP</w:t>
            </w:r>
          </w:p>
        </w:tc>
        <w:tc>
          <w:tcPr>
            <w:tcW w:w="3199" w:type="dxa"/>
            <w:shd w:val="clear" w:color="auto" w:fill="auto"/>
            <w:hideMark/>
          </w:tcPr>
          <w:p w14:paraId="0AAB09AE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Zgodność z aktualnie obowiązującą wersją OWASP.</w:t>
            </w:r>
          </w:p>
        </w:tc>
        <w:tc>
          <w:tcPr>
            <w:tcW w:w="1984" w:type="dxa"/>
          </w:tcPr>
          <w:p w14:paraId="02EB2BEB" w14:textId="1CFDEAF2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t>Możliwość zapewnienia zgodności z przyjętymi standardami bezpieczeństwa.</w:t>
            </w:r>
          </w:p>
        </w:tc>
      </w:tr>
      <w:tr w:rsidR="006B7B50" w:rsidRPr="006B7B50" w14:paraId="2EF9B5B2" w14:textId="32A11495" w:rsidTr="001B3241">
        <w:trPr>
          <w:trHeight w:val="2208"/>
        </w:trPr>
        <w:tc>
          <w:tcPr>
            <w:tcW w:w="1998" w:type="dxa"/>
            <w:shd w:val="clear" w:color="000000" w:fill="FFFFFF"/>
            <w:noWrap/>
            <w:hideMark/>
          </w:tcPr>
          <w:p w14:paraId="43C29A35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PFRON.NF.BZP.024</w:t>
            </w:r>
          </w:p>
        </w:tc>
        <w:tc>
          <w:tcPr>
            <w:tcW w:w="2016" w:type="dxa"/>
            <w:shd w:val="clear" w:color="auto" w:fill="auto"/>
            <w:hideMark/>
          </w:tcPr>
          <w:p w14:paraId="1BA2CA22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Zgodność z RODO</w:t>
            </w:r>
          </w:p>
        </w:tc>
        <w:tc>
          <w:tcPr>
            <w:tcW w:w="3199" w:type="dxa"/>
            <w:shd w:val="clear" w:color="auto" w:fill="auto"/>
            <w:hideMark/>
          </w:tcPr>
          <w:p w14:paraId="4F313CE3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 xml:space="preserve">Zapewnienie możliwości pseudonimizacji lub szyfrowania danych osobowych przetwarzanych w Systemie. Zapewnienie możliwości zautomatyzowanego usuwania danych po upływie okresu ich przetwarzania z możliwością usuwania: - określonych danych osobowych po upływie przyporządkowanych dla nich okresów, - ręcznego, poza schematem obowiązującym przy usuwaniu automatycznym. Zapewnienie możliwości anonimizacji danych jako alternatywy do ich usunięcia. Zapewnienie możliwości umieszczania </w:t>
            </w:r>
            <w:r w:rsidRPr="00FD0F9B">
              <w:rPr>
                <w:rFonts w:cs="Calibri"/>
                <w:color w:val="000000"/>
                <w:lang w:eastAsia="pl-PL"/>
              </w:rPr>
              <w:lastRenderedPageBreak/>
              <w:t xml:space="preserve">danych osobowych w "kwarantannie" celem uniemożliwienia dokonywania na nich jakichkolwiek operacji w związku z realizacją przez osobę fizyczną prawa do żądania ograniczenia przetwarzania danych na podstawie art. 18 RODO. </w:t>
            </w:r>
          </w:p>
        </w:tc>
        <w:tc>
          <w:tcPr>
            <w:tcW w:w="1984" w:type="dxa"/>
          </w:tcPr>
          <w:p w14:paraId="689F7124" w14:textId="012BF7DE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1353FC">
              <w:rPr>
                <w:rFonts w:cs="Calibri"/>
                <w:color w:val="000000"/>
                <w:lang w:eastAsia="pl-PL"/>
              </w:rPr>
              <w:lastRenderedPageBreak/>
              <w:t>Spełnienie wymagań prawnych RODO w zakresie bezpieczeństwa przetwarzania danych osobowych.</w:t>
            </w:r>
          </w:p>
        </w:tc>
      </w:tr>
      <w:tr w:rsidR="006B7B50" w:rsidRPr="006B7B50" w14:paraId="0515952A" w14:textId="22D5B7A1" w:rsidTr="001B3241">
        <w:trPr>
          <w:trHeight w:val="288"/>
        </w:trPr>
        <w:tc>
          <w:tcPr>
            <w:tcW w:w="1998" w:type="dxa"/>
            <w:shd w:val="clear" w:color="000000" w:fill="FFFFFF"/>
            <w:noWrap/>
            <w:hideMark/>
          </w:tcPr>
          <w:p w14:paraId="0F80351A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PFRON.NF.BZP.025</w:t>
            </w:r>
          </w:p>
        </w:tc>
        <w:tc>
          <w:tcPr>
            <w:tcW w:w="2016" w:type="dxa"/>
            <w:shd w:val="clear" w:color="auto" w:fill="auto"/>
            <w:hideMark/>
          </w:tcPr>
          <w:p w14:paraId="4481E7A2" w14:textId="77777777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>Przekazanie kodów źródłowych i komponentów rozwiązania</w:t>
            </w:r>
          </w:p>
        </w:tc>
        <w:tc>
          <w:tcPr>
            <w:tcW w:w="3199" w:type="dxa"/>
            <w:shd w:val="clear" w:color="auto" w:fill="auto"/>
            <w:hideMark/>
          </w:tcPr>
          <w:p w14:paraId="46A00CBD" w14:textId="59374249" w:rsidR="006B7B50" w:rsidRPr="00FD0F9B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  <w:r w:rsidRPr="00FD0F9B">
              <w:rPr>
                <w:rFonts w:cs="Calibri"/>
                <w:color w:val="000000"/>
                <w:lang w:eastAsia="pl-PL"/>
              </w:rPr>
              <w:t xml:space="preserve">Wykonawca zobowiązuje się do przekazania Zamawiającemu wszelkich kodów źródłowych rozwiązania oraz wszystkich wykorzystanych komponentów np. </w:t>
            </w:r>
            <w:r w:rsidRPr="00BA2113">
              <w:rPr>
                <w:rFonts w:cs="Calibri"/>
                <w:color w:val="000000"/>
                <w:lang w:eastAsia="pl-PL"/>
              </w:rPr>
              <w:t>open source</w:t>
            </w:r>
            <w:r w:rsidRPr="00FD0F9B">
              <w:rPr>
                <w:rFonts w:cs="Calibri"/>
                <w:color w:val="000000"/>
                <w:lang w:eastAsia="pl-PL"/>
              </w:rPr>
              <w:t>. Wraz z przekazaniem komponentów Wykonawca musi przekazać licencję uprawniającą do korzystania z komponentu przez nieograniczony czas.</w:t>
            </w:r>
          </w:p>
        </w:tc>
        <w:tc>
          <w:tcPr>
            <w:tcW w:w="1984" w:type="dxa"/>
          </w:tcPr>
          <w:p w14:paraId="7BF267C3" w14:textId="77777777" w:rsidR="006B7B50" w:rsidRPr="001353FC" w:rsidRDefault="006B7B50" w:rsidP="001353FC">
            <w:pPr>
              <w:spacing w:after="0"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6B8C7312" w14:textId="5E62F5B6" w:rsidR="00521308" w:rsidRPr="00065135" w:rsidRDefault="00357D2D" w:rsidP="00914EAB">
      <w:pPr>
        <w:pStyle w:val="Nagwek2"/>
        <w:spacing w:before="5160"/>
      </w:pPr>
      <w:r w:rsidRPr="00065135">
        <w:t>Treść ze stopki pisma</w:t>
      </w:r>
    </w:p>
    <w:p w14:paraId="062768D0" w14:textId="77777777" w:rsidR="00357D2D" w:rsidRPr="00065135" w:rsidRDefault="00357D2D" w:rsidP="008D2F1F">
      <w:r w:rsidRPr="00065135">
        <w:t>al. Jana Pawła II 13</w:t>
      </w:r>
      <w:r w:rsidR="006A310D" w:rsidRPr="00065135">
        <w:t>, 00-828 Warszawa, POLSKA, te. +</w:t>
      </w:r>
      <w:r w:rsidR="00F223FC" w:rsidRPr="00065135">
        <w:t xml:space="preserve">48 22 50 55 500, </w:t>
      </w:r>
      <w:hyperlink r:id="rId11" w:history="1">
        <w:r w:rsidR="00F223FC" w:rsidRPr="00065135">
          <w:rPr>
            <w:rStyle w:val="Hipercze"/>
            <w:color w:val="auto"/>
          </w:rPr>
          <w:t>www.pfron.org.pl</w:t>
        </w:r>
      </w:hyperlink>
    </w:p>
    <w:sectPr w:rsidR="00357D2D" w:rsidRPr="00065135" w:rsidSect="00FD0F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3643" w14:textId="77777777" w:rsidR="00504206" w:rsidRDefault="00504206" w:rsidP="008D2F1F">
      <w:r>
        <w:separator/>
      </w:r>
    </w:p>
  </w:endnote>
  <w:endnote w:type="continuationSeparator" w:id="0">
    <w:p w14:paraId="42111BF3" w14:textId="77777777" w:rsidR="00504206" w:rsidRDefault="00504206" w:rsidP="008D2F1F">
      <w:r>
        <w:continuationSeparator/>
      </w:r>
    </w:p>
  </w:endnote>
  <w:endnote w:type="continuationNotice" w:id="1">
    <w:p w14:paraId="71833688" w14:textId="77777777" w:rsidR="00504206" w:rsidRDefault="00504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6DAB" w14:textId="77777777" w:rsidR="00751CE8" w:rsidRDefault="00751CE8" w:rsidP="008D2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E110" w14:textId="77777777" w:rsidR="0079581E" w:rsidRDefault="005B4445" w:rsidP="008D2F1F">
    <w:pPr>
      <w:pStyle w:val="Stopka"/>
      <w:ind w:left="-1418"/>
    </w:pPr>
    <w:r>
      <w:rPr>
        <w:noProof/>
        <w:lang w:eastAsia="pl-PL"/>
      </w:rPr>
      <w:drawing>
        <wp:inline distT="0" distB="0" distL="0" distR="0" wp14:anchorId="6515E474" wp14:editId="13EA1D05">
          <wp:extent cx="7557685" cy="630644"/>
          <wp:effectExtent l="0" t="0" r="0" b="0"/>
          <wp:docPr id="1383581102" name="Obraz 138358110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9EB6" w14:textId="77777777" w:rsidR="0079581E" w:rsidRDefault="00945190" w:rsidP="00671961">
    <w:pPr>
      <w:pStyle w:val="Stopka"/>
      <w:ind w:left="-1418"/>
    </w:pPr>
    <w:r>
      <w:rPr>
        <w:noProof/>
        <w:lang w:eastAsia="pl-PL"/>
      </w:rPr>
      <w:drawing>
        <wp:inline distT="0" distB="0" distL="0" distR="0" wp14:anchorId="43FB26C9" wp14:editId="150BB9D3">
          <wp:extent cx="7557685" cy="630644"/>
          <wp:effectExtent l="0" t="0" r="0" b="0"/>
          <wp:docPr id="647130209" name="Obraz 647130209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0755" w14:textId="77777777" w:rsidR="00504206" w:rsidRDefault="00504206" w:rsidP="008D2F1F">
      <w:r>
        <w:separator/>
      </w:r>
    </w:p>
  </w:footnote>
  <w:footnote w:type="continuationSeparator" w:id="0">
    <w:p w14:paraId="09FF9B75" w14:textId="77777777" w:rsidR="00504206" w:rsidRDefault="00504206" w:rsidP="008D2F1F">
      <w:r>
        <w:continuationSeparator/>
      </w:r>
    </w:p>
  </w:footnote>
  <w:footnote w:type="continuationNotice" w:id="1">
    <w:p w14:paraId="26B6495B" w14:textId="77777777" w:rsidR="00504206" w:rsidRDefault="00504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0151" w14:textId="77777777" w:rsidR="00751CE8" w:rsidRDefault="00751CE8" w:rsidP="008D2F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D272" w14:textId="77777777" w:rsidR="00751CE8" w:rsidRDefault="00751CE8" w:rsidP="008D2F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7A03" w14:textId="77777777" w:rsidR="00FA6CB1" w:rsidRDefault="00265742" w:rsidP="00671961">
    <w:pPr>
      <w:pStyle w:val="Podstawowyakapitowy"/>
      <w:ind w:left="-1418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7680B5B" wp14:editId="0D8860ED">
          <wp:extent cx="7563600" cy="1044000"/>
          <wp:effectExtent l="0" t="0" r="0" b="3810"/>
          <wp:docPr id="487056935" name="Obraz 487056935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547591">
    <w:abstractNumId w:val="4"/>
  </w:num>
  <w:num w:numId="2" w16cid:durableId="413279930">
    <w:abstractNumId w:val="3"/>
  </w:num>
  <w:num w:numId="3" w16cid:durableId="767042470">
    <w:abstractNumId w:val="14"/>
  </w:num>
  <w:num w:numId="4" w16cid:durableId="1257329717">
    <w:abstractNumId w:val="12"/>
  </w:num>
  <w:num w:numId="5" w16cid:durableId="1786269051">
    <w:abstractNumId w:val="1"/>
  </w:num>
  <w:num w:numId="6" w16cid:durableId="507988097">
    <w:abstractNumId w:val="15"/>
  </w:num>
  <w:num w:numId="7" w16cid:durableId="1091512453">
    <w:abstractNumId w:val="7"/>
  </w:num>
  <w:num w:numId="8" w16cid:durableId="1405684767">
    <w:abstractNumId w:val="0"/>
  </w:num>
  <w:num w:numId="9" w16cid:durableId="2030452274">
    <w:abstractNumId w:val="6"/>
  </w:num>
  <w:num w:numId="10" w16cid:durableId="342558730">
    <w:abstractNumId w:val="8"/>
  </w:num>
  <w:num w:numId="11" w16cid:durableId="1491217738">
    <w:abstractNumId w:val="18"/>
  </w:num>
  <w:num w:numId="12" w16cid:durableId="1708918456">
    <w:abstractNumId w:val="17"/>
  </w:num>
  <w:num w:numId="13" w16cid:durableId="1123882351">
    <w:abstractNumId w:val="13"/>
  </w:num>
  <w:num w:numId="14" w16cid:durableId="423500874">
    <w:abstractNumId w:val="9"/>
  </w:num>
  <w:num w:numId="15" w16cid:durableId="268583385">
    <w:abstractNumId w:val="11"/>
  </w:num>
  <w:num w:numId="16" w16cid:durableId="423576566">
    <w:abstractNumId w:val="16"/>
  </w:num>
  <w:num w:numId="17" w16cid:durableId="427966436">
    <w:abstractNumId w:val="19"/>
  </w:num>
  <w:num w:numId="18" w16cid:durableId="1336496106">
    <w:abstractNumId w:val="10"/>
  </w:num>
  <w:num w:numId="19" w16cid:durableId="568925434">
    <w:abstractNumId w:val="2"/>
  </w:num>
  <w:num w:numId="20" w16cid:durableId="255476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9B"/>
    <w:rsid w:val="000435F4"/>
    <w:rsid w:val="000477B4"/>
    <w:rsid w:val="00050604"/>
    <w:rsid w:val="00053CA8"/>
    <w:rsid w:val="00065135"/>
    <w:rsid w:val="00077316"/>
    <w:rsid w:val="00091E7E"/>
    <w:rsid w:val="00092842"/>
    <w:rsid w:val="000A34FB"/>
    <w:rsid w:val="000B09F4"/>
    <w:rsid w:val="000F6692"/>
    <w:rsid w:val="00122643"/>
    <w:rsid w:val="00132623"/>
    <w:rsid w:val="001353FC"/>
    <w:rsid w:val="0014029D"/>
    <w:rsid w:val="00161E95"/>
    <w:rsid w:val="00163201"/>
    <w:rsid w:val="0018202C"/>
    <w:rsid w:val="00185D06"/>
    <w:rsid w:val="0019354E"/>
    <w:rsid w:val="001A7E1B"/>
    <w:rsid w:val="001B3241"/>
    <w:rsid w:val="001C3794"/>
    <w:rsid w:val="001E4A8E"/>
    <w:rsid w:val="001F70C8"/>
    <w:rsid w:val="002461E7"/>
    <w:rsid w:val="00250CF3"/>
    <w:rsid w:val="00265742"/>
    <w:rsid w:val="002A0122"/>
    <w:rsid w:val="002A3319"/>
    <w:rsid w:val="002D2710"/>
    <w:rsid w:val="0032268E"/>
    <w:rsid w:val="00323140"/>
    <w:rsid w:val="00324541"/>
    <w:rsid w:val="00342BCC"/>
    <w:rsid w:val="0034321A"/>
    <w:rsid w:val="003436A6"/>
    <w:rsid w:val="0035572B"/>
    <w:rsid w:val="00357D2D"/>
    <w:rsid w:val="00387E8F"/>
    <w:rsid w:val="003A1C0A"/>
    <w:rsid w:val="003B48DF"/>
    <w:rsid w:val="003B68DC"/>
    <w:rsid w:val="003E5F06"/>
    <w:rsid w:val="0041072C"/>
    <w:rsid w:val="004124EF"/>
    <w:rsid w:val="0043376A"/>
    <w:rsid w:val="00454EFE"/>
    <w:rsid w:val="004A230F"/>
    <w:rsid w:val="004D7961"/>
    <w:rsid w:val="00502415"/>
    <w:rsid w:val="00504206"/>
    <w:rsid w:val="005070F0"/>
    <w:rsid w:val="00521308"/>
    <w:rsid w:val="00536C0D"/>
    <w:rsid w:val="00542D99"/>
    <w:rsid w:val="00546DEE"/>
    <w:rsid w:val="00567338"/>
    <w:rsid w:val="00567974"/>
    <w:rsid w:val="005B018F"/>
    <w:rsid w:val="005B1247"/>
    <w:rsid w:val="005B4445"/>
    <w:rsid w:val="005E09D8"/>
    <w:rsid w:val="0062731B"/>
    <w:rsid w:val="00633FB3"/>
    <w:rsid w:val="00644574"/>
    <w:rsid w:val="00645141"/>
    <w:rsid w:val="00645BEE"/>
    <w:rsid w:val="006525CE"/>
    <w:rsid w:val="006573BE"/>
    <w:rsid w:val="00671961"/>
    <w:rsid w:val="006771E9"/>
    <w:rsid w:val="006A310D"/>
    <w:rsid w:val="006A620B"/>
    <w:rsid w:val="006B3880"/>
    <w:rsid w:val="006B7B50"/>
    <w:rsid w:val="006E60D7"/>
    <w:rsid w:val="006E6136"/>
    <w:rsid w:val="006F3289"/>
    <w:rsid w:val="006F4199"/>
    <w:rsid w:val="0070142F"/>
    <w:rsid w:val="00733073"/>
    <w:rsid w:val="00751CE8"/>
    <w:rsid w:val="00760BE9"/>
    <w:rsid w:val="0079581E"/>
    <w:rsid w:val="007C0BE1"/>
    <w:rsid w:val="007C7ECE"/>
    <w:rsid w:val="007D1C8E"/>
    <w:rsid w:val="007E008B"/>
    <w:rsid w:val="007E2C1D"/>
    <w:rsid w:val="007E3988"/>
    <w:rsid w:val="007F35DF"/>
    <w:rsid w:val="0080060F"/>
    <w:rsid w:val="008202B0"/>
    <w:rsid w:val="008228BF"/>
    <w:rsid w:val="00825AE5"/>
    <w:rsid w:val="00843694"/>
    <w:rsid w:val="00850167"/>
    <w:rsid w:val="008570FF"/>
    <w:rsid w:val="00865444"/>
    <w:rsid w:val="00866193"/>
    <w:rsid w:val="00874FD7"/>
    <w:rsid w:val="00894D9E"/>
    <w:rsid w:val="008A4601"/>
    <w:rsid w:val="008C0DD2"/>
    <w:rsid w:val="008C39CF"/>
    <w:rsid w:val="008C6298"/>
    <w:rsid w:val="008D2F1F"/>
    <w:rsid w:val="008F09E6"/>
    <w:rsid w:val="00902F8C"/>
    <w:rsid w:val="00914EAB"/>
    <w:rsid w:val="0092417A"/>
    <w:rsid w:val="0092652F"/>
    <w:rsid w:val="009269D2"/>
    <w:rsid w:val="00935369"/>
    <w:rsid w:val="00944C77"/>
    <w:rsid w:val="00945190"/>
    <w:rsid w:val="0094526F"/>
    <w:rsid w:val="00946765"/>
    <w:rsid w:val="00987DA4"/>
    <w:rsid w:val="009A2FE8"/>
    <w:rsid w:val="009B60BC"/>
    <w:rsid w:val="009C638C"/>
    <w:rsid w:val="009D0ED7"/>
    <w:rsid w:val="009E3A01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90A5A"/>
    <w:rsid w:val="00BA2113"/>
    <w:rsid w:val="00BD2BDD"/>
    <w:rsid w:val="00C24796"/>
    <w:rsid w:val="00C2636C"/>
    <w:rsid w:val="00C72B8F"/>
    <w:rsid w:val="00C778D0"/>
    <w:rsid w:val="00CD0DAB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302A6"/>
    <w:rsid w:val="00E441DC"/>
    <w:rsid w:val="00E51462"/>
    <w:rsid w:val="00E70F1A"/>
    <w:rsid w:val="00E922BF"/>
    <w:rsid w:val="00EA5BC9"/>
    <w:rsid w:val="00EA6905"/>
    <w:rsid w:val="00EC5246"/>
    <w:rsid w:val="00EE2184"/>
    <w:rsid w:val="00F015F4"/>
    <w:rsid w:val="00F21BFA"/>
    <w:rsid w:val="00F223FC"/>
    <w:rsid w:val="00F252CA"/>
    <w:rsid w:val="00F43CA8"/>
    <w:rsid w:val="00F60BE6"/>
    <w:rsid w:val="00F7027A"/>
    <w:rsid w:val="00FA1C80"/>
    <w:rsid w:val="00FA6CB1"/>
    <w:rsid w:val="00FB04E6"/>
    <w:rsid w:val="00FD0F9B"/>
    <w:rsid w:val="00FD7B49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C22A2"/>
  <w15:docId w15:val="{0FBBCDD1-87EA-42B8-9892-736D3FFE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F1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5CE"/>
    <w:pPr>
      <w:spacing w:before="360"/>
      <w:contextualSpacing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122"/>
    <w:pPr>
      <w:spacing w:before="24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2A0122"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0122"/>
    <w:pPr>
      <w:spacing w:before="2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525CE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2A0122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2A0122"/>
    <w:rPr>
      <w:b/>
      <w:b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2A0122"/>
    <w:rPr>
      <w:b/>
      <w:b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8477CBCDB214895737E8F1020749E" ma:contentTypeVersion="4" ma:contentTypeDescription="Utwórz nowy dokument." ma:contentTypeScope="" ma:versionID="719cace0938221559f7a272ab225e838">
  <xsd:schema xmlns:xsd="http://www.w3.org/2001/XMLSchema" xmlns:xs="http://www.w3.org/2001/XMLSchema" xmlns:p="http://schemas.microsoft.com/office/2006/metadata/properties" xmlns:ns2="e414dd89-0ddb-49f9-8fc5-dda35795d7e5" targetNamespace="http://schemas.microsoft.com/office/2006/metadata/properties" ma:root="true" ma:fieldsID="73790f0f246c4c823ed86974ea1d3ac8" ns2:_="">
    <xsd:import namespace="e414dd89-0ddb-49f9-8fc5-dda35795d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dd89-0ddb-49f9-8fc5-dda35795d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E227B-DD6A-4EBB-A6E2-BB3438284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C3A02-9E7A-4EB3-A921-32A2C2B6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dd89-0ddb-49f9-8fc5-dda35795d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B7F25-6D90-4BEB-AB09-88314EAA9A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AE662B-32F0-4ED1-83D4-12E2198AFD1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14dd89-0ddb-49f9-8fc5-dda35795d7e5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8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niefunkcjonalne - bezpieczeństwo</dc:title>
  <dc:creator>Krupa Bartosz</dc:creator>
  <cp:lastModifiedBy>Krzyżanowski Kamil</cp:lastModifiedBy>
  <cp:revision>2</cp:revision>
  <cp:lastPrinted>2018-05-09T10:06:00Z</cp:lastPrinted>
  <dcterms:created xsi:type="dcterms:W3CDTF">2024-04-23T06:18:00Z</dcterms:created>
  <dcterms:modified xsi:type="dcterms:W3CDTF">2024-04-23T06:18:00Z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0x010100AC98477CBCDB214895737E8F1020749E</vt:lpwstr>
  </property>
</Properties>
</file>