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8F" w:rsidRDefault="00F8478F" w:rsidP="00F8478F">
      <w:pPr>
        <w:jc w:val="both"/>
        <w:rPr>
          <w:rFonts w:ascii="Arial" w:hAnsi="Arial" w:cs="Arial"/>
        </w:rPr>
      </w:pPr>
    </w:p>
    <w:p w:rsidR="00C84A54" w:rsidRDefault="00C84A54" w:rsidP="00F8478F">
      <w:pPr>
        <w:jc w:val="both"/>
        <w:rPr>
          <w:rFonts w:ascii="Arial" w:hAnsi="Arial" w:cs="Arial"/>
        </w:rPr>
      </w:pPr>
    </w:p>
    <w:p w:rsidR="00F8478F" w:rsidRPr="00024A94" w:rsidRDefault="00F8478F" w:rsidP="00F8478F">
      <w:pPr>
        <w:jc w:val="both"/>
        <w:rPr>
          <w:rFonts w:ascii="Calibri" w:hAnsi="Calibri" w:cs="Arial"/>
          <w:sz w:val="24"/>
          <w:szCs w:val="24"/>
        </w:rPr>
      </w:pPr>
      <w:r w:rsidRPr="00024A94">
        <w:rPr>
          <w:rFonts w:ascii="Calibri" w:hAnsi="Calibri" w:cs="Arial"/>
          <w:sz w:val="24"/>
          <w:szCs w:val="24"/>
        </w:rPr>
        <w:t>DW.050.</w:t>
      </w:r>
      <w:r w:rsidR="00A37321">
        <w:rPr>
          <w:rFonts w:ascii="Calibri" w:hAnsi="Calibri" w:cs="Arial"/>
          <w:sz w:val="24"/>
          <w:szCs w:val="24"/>
        </w:rPr>
        <w:t>10</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962C56">
        <w:rPr>
          <w:rFonts w:ascii="Calibri" w:hAnsi="Calibri" w:cs="Arial"/>
          <w:sz w:val="24"/>
          <w:szCs w:val="24"/>
        </w:rPr>
        <w:t>R</w:t>
      </w:r>
      <w:r w:rsidR="00FF4C54">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Warszawa, dnia </w:t>
      </w:r>
      <w:r w:rsidR="00EB3B73">
        <w:rPr>
          <w:rFonts w:ascii="Calibri" w:hAnsi="Calibri" w:cs="Arial"/>
          <w:sz w:val="24"/>
          <w:szCs w:val="24"/>
        </w:rPr>
        <w:t>12 czerwca 2017 r.</w:t>
      </w:r>
    </w:p>
    <w:p w:rsidR="00F8478F" w:rsidRPr="00024A94" w:rsidRDefault="00F8478F" w:rsidP="00F8478F">
      <w:pPr>
        <w:jc w:val="both"/>
        <w:rPr>
          <w:rFonts w:ascii="Calibri" w:hAnsi="Calibri" w:cs="Arial"/>
          <w:sz w:val="24"/>
          <w:szCs w:val="24"/>
        </w:rPr>
      </w:pPr>
    </w:p>
    <w:p w:rsidR="00F8478F" w:rsidRPr="00024A94" w:rsidRDefault="00F8478F" w:rsidP="00F8478F">
      <w:pPr>
        <w:jc w:val="both"/>
        <w:rPr>
          <w:rFonts w:ascii="Calibri" w:hAnsi="Calibri" w:cs="Arial"/>
          <w:sz w:val="24"/>
          <w:szCs w:val="24"/>
        </w:rPr>
      </w:pPr>
    </w:p>
    <w:p w:rsidR="00F8478F" w:rsidRPr="006D69E9" w:rsidRDefault="00EB3B73" w:rsidP="00360B95">
      <w:pPr>
        <w:spacing w:after="0" w:line="360" w:lineRule="auto"/>
        <w:ind w:left="4247" w:firstLine="709"/>
        <w:jc w:val="both"/>
        <w:rPr>
          <w:rFonts w:ascii="Calibri" w:hAnsi="Calibri" w:cs="Arial"/>
          <w:b/>
          <w:sz w:val="24"/>
          <w:szCs w:val="24"/>
        </w:rPr>
      </w:pPr>
      <w:r>
        <w:rPr>
          <w:rFonts w:ascii="Calibri" w:hAnsi="Calibri" w:cs="Arial"/>
          <w:b/>
          <w:sz w:val="24"/>
          <w:szCs w:val="24"/>
        </w:rPr>
        <w:t>XXXXXXXXXXXXXXXXXXX</w:t>
      </w:r>
      <w:r w:rsidRPr="006D69E9">
        <w:rPr>
          <w:rFonts w:ascii="Calibri" w:hAnsi="Calibri" w:cs="Arial"/>
          <w:b/>
          <w:sz w:val="24"/>
          <w:szCs w:val="24"/>
        </w:rPr>
        <w:t xml:space="preserve">  </w:t>
      </w:r>
    </w:p>
    <w:p w:rsidR="00F8478F" w:rsidRDefault="00EB3B73" w:rsidP="00360B95">
      <w:pPr>
        <w:spacing w:after="0" w:line="360" w:lineRule="auto"/>
        <w:ind w:left="4247" w:right="-57" w:firstLine="709"/>
        <w:jc w:val="both"/>
        <w:rPr>
          <w:rFonts w:ascii="Calibri" w:hAnsi="Calibri" w:cs="Arial"/>
          <w:b/>
          <w:sz w:val="24"/>
          <w:szCs w:val="24"/>
        </w:rPr>
      </w:pPr>
      <w:r>
        <w:rPr>
          <w:rFonts w:ascii="Calibri" w:hAnsi="Calibri" w:cs="Arial"/>
          <w:b/>
          <w:sz w:val="24"/>
          <w:szCs w:val="24"/>
        </w:rPr>
        <w:t>XXXXXXXXXXXXXXXXXXX</w:t>
      </w:r>
    </w:p>
    <w:p w:rsidR="00EB3B73" w:rsidRPr="00CF2820" w:rsidRDefault="00EB3B73" w:rsidP="00360B95">
      <w:pPr>
        <w:spacing w:after="0" w:line="360" w:lineRule="auto"/>
        <w:ind w:left="4247" w:right="-57" w:firstLine="709"/>
        <w:jc w:val="both"/>
        <w:rPr>
          <w:rFonts w:ascii="Calibri" w:hAnsi="Calibri" w:cs="Arial"/>
          <w:b/>
          <w:sz w:val="24"/>
          <w:szCs w:val="24"/>
        </w:rPr>
      </w:pPr>
      <w:r>
        <w:rPr>
          <w:rFonts w:ascii="Calibri" w:hAnsi="Calibri" w:cs="Arial"/>
          <w:b/>
          <w:sz w:val="24"/>
          <w:szCs w:val="24"/>
        </w:rPr>
        <w:t>XXXXXXXXXXXXXXXXXXX</w:t>
      </w:r>
    </w:p>
    <w:p w:rsidR="00F8478F" w:rsidRPr="00335D67" w:rsidRDefault="00F8478F" w:rsidP="00F8478F">
      <w:pPr>
        <w:jc w:val="both"/>
        <w:rPr>
          <w:rFonts w:ascii="Calibri" w:hAnsi="Calibri" w:cs="Arial"/>
          <w:b/>
          <w:sz w:val="24"/>
          <w:szCs w:val="24"/>
        </w:rPr>
      </w:pPr>
    </w:p>
    <w:p w:rsidR="00FD2CA1" w:rsidRPr="00335D67" w:rsidRDefault="00FD2CA1" w:rsidP="00F8478F">
      <w:pPr>
        <w:jc w:val="both"/>
        <w:rPr>
          <w:rFonts w:ascii="Calibri" w:hAnsi="Calibri" w:cs="Arial"/>
          <w:b/>
          <w:sz w:val="24"/>
          <w:szCs w:val="24"/>
        </w:rPr>
      </w:pPr>
    </w:p>
    <w:p w:rsidR="00F8478F" w:rsidRPr="00335D67" w:rsidRDefault="00F8478F" w:rsidP="0014481D">
      <w:pPr>
        <w:spacing w:after="0" w:line="360" w:lineRule="auto"/>
        <w:ind w:left="2124" w:firstLine="708"/>
        <w:jc w:val="both"/>
        <w:rPr>
          <w:rFonts w:ascii="Calibri" w:hAnsi="Calibri" w:cs="Arial"/>
          <w:b/>
          <w:sz w:val="24"/>
          <w:szCs w:val="24"/>
        </w:rPr>
      </w:pPr>
      <w:r w:rsidRPr="00335D67">
        <w:rPr>
          <w:rFonts w:ascii="Calibri" w:hAnsi="Calibri" w:cs="Arial"/>
          <w:b/>
          <w:sz w:val="24"/>
          <w:szCs w:val="24"/>
        </w:rPr>
        <w:t>Decyzja w sprawie interpretacji</w:t>
      </w:r>
    </w:p>
    <w:p w:rsidR="00F8478F" w:rsidRPr="00335D67" w:rsidRDefault="00F8478F" w:rsidP="0014481D">
      <w:pPr>
        <w:spacing w:after="0" w:line="360" w:lineRule="auto"/>
        <w:jc w:val="center"/>
        <w:rPr>
          <w:rFonts w:ascii="Calibri" w:hAnsi="Calibri" w:cs="Arial"/>
          <w:sz w:val="24"/>
          <w:szCs w:val="24"/>
        </w:rPr>
      </w:pPr>
      <w:r w:rsidRPr="00335D67">
        <w:rPr>
          <w:rFonts w:ascii="Calibri" w:hAnsi="Calibri" w:cs="Arial"/>
          <w:sz w:val="24"/>
          <w:szCs w:val="24"/>
        </w:rPr>
        <w:t xml:space="preserve">art. 22 </w:t>
      </w:r>
      <w:r w:rsidR="00962C56" w:rsidRPr="00335D67">
        <w:rPr>
          <w:rFonts w:ascii="Calibri" w:hAnsi="Calibri" w:cs="Arial"/>
          <w:sz w:val="24"/>
          <w:szCs w:val="24"/>
        </w:rPr>
        <w:t>ust.</w:t>
      </w:r>
      <w:r w:rsidR="006904E9" w:rsidRPr="00335D67">
        <w:rPr>
          <w:rFonts w:ascii="Calibri" w:hAnsi="Calibri" w:cs="Arial"/>
          <w:sz w:val="24"/>
          <w:szCs w:val="24"/>
        </w:rPr>
        <w:t xml:space="preserve"> </w:t>
      </w:r>
      <w:r w:rsidR="00962C56" w:rsidRPr="00335D67">
        <w:rPr>
          <w:rFonts w:ascii="Calibri" w:hAnsi="Calibri" w:cs="Arial"/>
          <w:sz w:val="24"/>
          <w:szCs w:val="24"/>
        </w:rPr>
        <w:t xml:space="preserve">2 </w:t>
      </w:r>
      <w:r w:rsidRPr="00335D67">
        <w:rPr>
          <w:rFonts w:ascii="Calibri" w:hAnsi="Calibri" w:cs="Arial"/>
          <w:sz w:val="24"/>
          <w:szCs w:val="24"/>
        </w:rPr>
        <w:t>ustawy o rehabilitacji zawodowej i społecznej oraz zatrudnianiu osób niepełnosprawnych</w:t>
      </w:r>
    </w:p>
    <w:p w:rsidR="004963C0" w:rsidRPr="00335D67" w:rsidRDefault="004963C0" w:rsidP="0014481D">
      <w:pPr>
        <w:spacing w:after="0" w:line="360" w:lineRule="auto"/>
        <w:jc w:val="both"/>
        <w:rPr>
          <w:rFonts w:ascii="Calibri" w:hAnsi="Calibri" w:cs="Arial"/>
          <w:sz w:val="24"/>
          <w:szCs w:val="24"/>
        </w:rPr>
      </w:pPr>
    </w:p>
    <w:p w:rsidR="00F8478F" w:rsidRPr="00335D67" w:rsidRDefault="00F8478F" w:rsidP="0014481D">
      <w:pPr>
        <w:spacing w:after="0" w:line="360" w:lineRule="auto"/>
        <w:jc w:val="both"/>
        <w:rPr>
          <w:rFonts w:ascii="Calibri" w:hAnsi="Calibri" w:cs="Arial"/>
          <w:b/>
          <w:sz w:val="24"/>
          <w:szCs w:val="24"/>
        </w:rPr>
      </w:pPr>
      <w:r w:rsidRPr="00335D67">
        <w:rPr>
          <w:rFonts w:ascii="Calibri" w:hAnsi="Calibri" w:cs="Arial"/>
          <w:sz w:val="24"/>
          <w:szCs w:val="24"/>
        </w:rPr>
        <w:t>Na podstawie art. 10 i 10a ustawy z dnia 2 lipca 2004 r. o swobodzie działalności gospodarczej (Dz. U. z 201</w:t>
      </w:r>
      <w:r w:rsidR="00962C56" w:rsidRPr="00335D67">
        <w:rPr>
          <w:rFonts w:ascii="Calibri" w:hAnsi="Calibri" w:cs="Arial"/>
          <w:sz w:val="24"/>
          <w:szCs w:val="24"/>
        </w:rPr>
        <w:t>6</w:t>
      </w:r>
      <w:r w:rsidRPr="00335D67">
        <w:rPr>
          <w:rFonts w:ascii="Calibri" w:hAnsi="Calibri" w:cs="Arial"/>
          <w:sz w:val="24"/>
          <w:szCs w:val="24"/>
        </w:rPr>
        <w:t xml:space="preserve"> r</w:t>
      </w:r>
      <w:r w:rsidR="00962C56" w:rsidRPr="00335D67">
        <w:rPr>
          <w:rFonts w:ascii="Calibri" w:hAnsi="Calibri" w:cs="Arial"/>
          <w:sz w:val="24"/>
          <w:szCs w:val="24"/>
        </w:rPr>
        <w:t>.</w:t>
      </w:r>
      <w:r w:rsidRPr="00335D67">
        <w:rPr>
          <w:rFonts w:ascii="Calibri" w:hAnsi="Calibri" w:cs="Arial"/>
          <w:sz w:val="24"/>
          <w:szCs w:val="24"/>
        </w:rPr>
        <w:t xml:space="preserve"> poz. </w:t>
      </w:r>
      <w:r w:rsidR="00962C56" w:rsidRPr="00335D67">
        <w:rPr>
          <w:rFonts w:ascii="Calibri" w:hAnsi="Calibri" w:cs="Arial"/>
          <w:sz w:val="24"/>
          <w:szCs w:val="24"/>
        </w:rPr>
        <w:t>1829</w:t>
      </w:r>
      <w:r w:rsidRPr="00335D67">
        <w:rPr>
          <w:rFonts w:ascii="Calibri" w:hAnsi="Calibri" w:cs="Arial"/>
          <w:sz w:val="24"/>
          <w:szCs w:val="24"/>
        </w:rPr>
        <w:t xml:space="preserve"> </w:t>
      </w:r>
      <w:r w:rsidR="00962C56" w:rsidRPr="00335D67">
        <w:rPr>
          <w:rFonts w:ascii="Calibri" w:hAnsi="Calibri" w:cs="Arial"/>
          <w:sz w:val="24"/>
          <w:szCs w:val="24"/>
        </w:rPr>
        <w:t xml:space="preserve">z </w:t>
      </w:r>
      <w:proofErr w:type="spellStart"/>
      <w:r w:rsidR="00962C56" w:rsidRPr="00335D67">
        <w:rPr>
          <w:rFonts w:ascii="Calibri" w:hAnsi="Calibri" w:cs="Arial"/>
          <w:sz w:val="24"/>
          <w:szCs w:val="24"/>
        </w:rPr>
        <w:t>późn.zm</w:t>
      </w:r>
      <w:proofErr w:type="spellEnd"/>
      <w:r w:rsidR="00962C56" w:rsidRPr="00335D67">
        <w:rPr>
          <w:rFonts w:ascii="Calibri" w:hAnsi="Calibri" w:cs="Arial"/>
          <w:sz w:val="24"/>
          <w:szCs w:val="24"/>
        </w:rPr>
        <w:t>.</w:t>
      </w:r>
      <w:r w:rsidRPr="00335D67">
        <w:rPr>
          <w:rFonts w:ascii="Calibri" w:hAnsi="Calibri" w:cs="Arial"/>
          <w:sz w:val="24"/>
          <w:szCs w:val="24"/>
        </w:rPr>
        <w:t xml:space="preserve">) Prezes Państwowego Funduszu Rehabilitacji Osób Niepełnosprawnych (zwanego dalej PFRON lub Fundusz) stwierdza, </w:t>
      </w:r>
      <w:r w:rsidRPr="00335D67">
        <w:rPr>
          <w:rFonts w:ascii="Calibri" w:hAnsi="Calibri" w:cs="Arial"/>
          <w:sz w:val="24"/>
          <w:szCs w:val="24"/>
        </w:rPr>
        <w:br/>
        <w:t xml:space="preserve">że stanowisko </w:t>
      </w:r>
      <w:r w:rsidR="00EB3B73">
        <w:rPr>
          <w:rFonts w:ascii="Calibri" w:hAnsi="Calibri" w:cs="Arial"/>
          <w:sz w:val="24"/>
          <w:szCs w:val="24"/>
        </w:rPr>
        <w:t>XXXXXXXXXXX</w:t>
      </w:r>
      <w:r w:rsidR="00962C56" w:rsidRPr="00335D67">
        <w:rPr>
          <w:rFonts w:ascii="Calibri" w:hAnsi="Calibri" w:cs="Arial"/>
          <w:sz w:val="24"/>
          <w:szCs w:val="24"/>
        </w:rPr>
        <w:t xml:space="preserve"> Spółki z o.o. </w:t>
      </w:r>
      <w:r w:rsidRPr="00335D67">
        <w:rPr>
          <w:rFonts w:ascii="Calibri" w:hAnsi="Calibri" w:cs="Arial"/>
          <w:sz w:val="24"/>
          <w:szCs w:val="24"/>
        </w:rPr>
        <w:t>z siedzibą w</w:t>
      </w:r>
      <w:r w:rsidR="00FF4C54" w:rsidRPr="00335D67">
        <w:rPr>
          <w:rFonts w:ascii="Calibri" w:hAnsi="Calibri" w:cs="Arial"/>
          <w:sz w:val="24"/>
          <w:szCs w:val="24"/>
        </w:rPr>
        <w:t xml:space="preserve">e </w:t>
      </w:r>
      <w:r w:rsidR="00EB3B73">
        <w:rPr>
          <w:rFonts w:ascii="Calibri" w:hAnsi="Calibri" w:cs="Arial"/>
          <w:sz w:val="24"/>
          <w:szCs w:val="24"/>
        </w:rPr>
        <w:t>XXXXXXXXXXX</w:t>
      </w:r>
      <w:r w:rsidRPr="00335D67">
        <w:rPr>
          <w:rFonts w:ascii="Calibri" w:hAnsi="Calibri" w:cs="Arial"/>
          <w:sz w:val="24"/>
          <w:szCs w:val="24"/>
        </w:rPr>
        <w:t xml:space="preserve"> (zwanej dalej </w:t>
      </w:r>
      <w:r w:rsidR="006B7857" w:rsidRPr="00335D67">
        <w:rPr>
          <w:rFonts w:ascii="Calibri" w:hAnsi="Calibri" w:cs="Arial"/>
          <w:sz w:val="24"/>
          <w:szCs w:val="24"/>
        </w:rPr>
        <w:t>W</w:t>
      </w:r>
      <w:r w:rsidRPr="00335D67">
        <w:rPr>
          <w:rFonts w:ascii="Calibri" w:hAnsi="Calibri" w:cs="Arial"/>
          <w:sz w:val="24"/>
          <w:szCs w:val="24"/>
        </w:rPr>
        <w:t>nioskodawcą) zaprezentowane we wniosku z dnia</w:t>
      </w:r>
      <w:r w:rsidR="0046422C" w:rsidRPr="00335D67">
        <w:rPr>
          <w:rFonts w:ascii="Calibri" w:hAnsi="Calibri" w:cs="Arial"/>
          <w:sz w:val="24"/>
          <w:szCs w:val="24"/>
        </w:rPr>
        <w:t xml:space="preserve"> 24</w:t>
      </w:r>
      <w:r w:rsidR="00962C56" w:rsidRPr="00335D67">
        <w:rPr>
          <w:rFonts w:ascii="Calibri" w:hAnsi="Calibri" w:cs="Arial"/>
          <w:sz w:val="24"/>
          <w:szCs w:val="24"/>
        </w:rPr>
        <w:t xml:space="preserve"> </w:t>
      </w:r>
      <w:r w:rsidR="0046422C" w:rsidRPr="00335D67">
        <w:rPr>
          <w:rFonts w:ascii="Calibri" w:hAnsi="Calibri" w:cs="Arial"/>
          <w:sz w:val="24"/>
          <w:szCs w:val="24"/>
        </w:rPr>
        <w:t>kwietnia</w:t>
      </w:r>
      <w:r w:rsidRPr="00335D67">
        <w:rPr>
          <w:rFonts w:ascii="Calibri" w:hAnsi="Calibri" w:cs="Arial"/>
          <w:sz w:val="24"/>
          <w:szCs w:val="24"/>
        </w:rPr>
        <w:t xml:space="preserve"> 2017 r. </w:t>
      </w:r>
      <w:r w:rsidR="00664D47" w:rsidRPr="00335D67">
        <w:rPr>
          <w:rFonts w:ascii="Calibri" w:hAnsi="Calibri" w:cs="Arial"/>
          <w:sz w:val="24"/>
          <w:szCs w:val="24"/>
        </w:rPr>
        <w:t xml:space="preserve">oraz jego uzupełnieniu </w:t>
      </w:r>
      <w:r w:rsidR="00493753" w:rsidRPr="00335D67">
        <w:rPr>
          <w:rFonts w:ascii="Calibri" w:hAnsi="Calibri" w:cs="Arial"/>
          <w:sz w:val="24"/>
          <w:szCs w:val="24"/>
        </w:rPr>
        <w:t xml:space="preserve"> dnia </w:t>
      </w:r>
      <w:r w:rsidR="0046422C" w:rsidRPr="00335D67">
        <w:rPr>
          <w:rFonts w:ascii="Calibri" w:hAnsi="Calibri" w:cs="Arial"/>
          <w:sz w:val="24"/>
          <w:szCs w:val="24"/>
        </w:rPr>
        <w:t>10</w:t>
      </w:r>
      <w:r w:rsidR="00493753" w:rsidRPr="00335D67">
        <w:rPr>
          <w:rFonts w:ascii="Calibri" w:hAnsi="Calibri" w:cs="Arial"/>
          <w:sz w:val="24"/>
          <w:szCs w:val="24"/>
        </w:rPr>
        <w:t xml:space="preserve"> ma</w:t>
      </w:r>
      <w:r w:rsidR="0046422C" w:rsidRPr="00335D67">
        <w:rPr>
          <w:rFonts w:ascii="Calibri" w:hAnsi="Calibri" w:cs="Arial"/>
          <w:sz w:val="24"/>
          <w:szCs w:val="24"/>
        </w:rPr>
        <w:t>j</w:t>
      </w:r>
      <w:r w:rsidR="00493753" w:rsidRPr="00335D67">
        <w:rPr>
          <w:rFonts w:ascii="Calibri" w:hAnsi="Calibri" w:cs="Arial"/>
          <w:sz w:val="24"/>
          <w:szCs w:val="24"/>
        </w:rPr>
        <w:t>a 2017 r.</w:t>
      </w:r>
      <w:r w:rsidR="006276CC" w:rsidRPr="00335D67">
        <w:rPr>
          <w:rFonts w:ascii="Calibri" w:hAnsi="Calibri" w:cs="Arial"/>
          <w:sz w:val="24"/>
          <w:szCs w:val="24"/>
        </w:rPr>
        <w:t xml:space="preserve"> i </w:t>
      </w:r>
      <w:r w:rsidR="00664D47" w:rsidRPr="00335D67">
        <w:rPr>
          <w:rFonts w:ascii="Calibri" w:hAnsi="Calibri" w:cs="Arial"/>
          <w:sz w:val="24"/>
          <w:szCs w:val="24"/>
        </w:rPr>
        <w:t xml:space="preserve">dnia </w:t>
      </w:r>
      <w:r w:rsidR="006276CC" w:rsidRPr="00335D67">
        <w:rPr>
          <w:rFonts w:ascii="Calibri" w:hAnsi="Calibri" w:cs="Arial"/>
          <w:sz w:val="24"/>
          <w:szCs w:val="24"/>
        </w:rPr>
        <w:t>22 maja 2017r.</w:t>
      </w:r>
      <w:r w:rsidR="00493753" w:rsidRPr="00335D67">
        <w:rPr>
          <w:rFonts w:ascii="Calibri" w:hAnsi="Calibri" w:cs="Arial"/>
          <w:sz w:val="24"/>
          <w:szCs w:val="24"/>
        </w:rPr>
        <w:t xml:space="preserve"> </w:t>
      </w:r>
      <w:r w:rsidRPr="00335D67">
        <w:rPr>
          <w:rFonts w:ascii="Calibri" w:hAnsi="Calibri" w:cs="Arial"/>
          <w:sz w:val="24"/>
          <w:szCs w:val="24"/>
        </w:rPr>
        <w:t xml:space="preserve">o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 xml:space="preserve">przepisów art. 22 </w:t>
      </w:r>
      <w:r w:rsidR="00962C56" w:rsidRPr="00335D67">
        <w:rPr>
          <w:rFonts w:ascii="Calibri" w:hAnsi="Calibri" w:cs="Arial"/>
          <w:sz w:val="24"/>
          <w:szCs w:val="24"/>
        </w:rPr>
        <w:t>ust.</w:t>
      </w:r>
      <w:r w:rsidR="006904E9" w:rsidRPr="00335D67">
        <w:rPr>
          <w:rFonts w:ascii="Calibri" w:hAnsi="Calibri" w:cs="Arial"/>
          <w:sz w:val="24"/>
          <w:szCs w:val="24"/>
        </w:rPr>
        <w:t xml:space="preserve"> </w:t>
      </w:r>
      <w:r w:rsidR="0046422C" w:rsidRPr="00335D67">
        <w:rPr>
          <w:rFonts w:ascii="Calibri" w:hAnsi="Calibri" w:cs="Arial"/>
          <w:sz w:val="24"/>
          <w:szCs w:val="24"/>
        </w:rPr>
        <w:t>2</w:t>
      </w:r>
      <w:r w:rsidR="00962C56" w:rsidRPr="00335D67">
        <w:rPr>
          <w:rFonts w:ascii="Calibri" w:hAnsi="Calibri" w:cs="Arial"/>
          <w:sz w:val="24"/>
          <w:szCs w:val="24"/>
        </w:rPr>
        <w:t xml:space="preserve"> </w:t>
      </w:r>
      <w:r w:rsidRPr="00335D67">
        <w:rPr>
          <w:rFonts w:ascii="Calibri" w:hAnsi="Calibri" w:cs="Arial"/>
          <w:sz w:val="24"/>
          <w:szCs w:val="24"/>
        </w:rPr>
        <w:t xml:space="preserve">ustawy </w:t>
      </w:r>
      <w:r w:rsidR="00664D47" w:rsidRPr="00335D67">
        <w:rPr>
          <w:rFonts w:ascii="Calibri" w:hAnsi="Calibri" w:cs="Arial"/>
          <w:sz w:val="24"/>
          <w:szCs w:val="24"/>
        </w:rPr>
        <w:br/>
      </w:r>
      <w:r w:rsidRPr="00335D67">
        <w:rPr>
          <w:rFonts w:ascii="Calibri" w:hAnsi="Calibri" w:cs="Arial"/>
          <w:sz w:val="24"/>
          <w:szCs w:val="24"/>
        </w:rPr>
        <w:t>z dnia 27 sierpnia 1997 r. o rehabilitacji zawodowej i społecznej oraz zatrudnianiu osób niepełnosprawnych (</w:t>
      </w:r>
      <w:proofErr w:type="spellStart"/>
      <w:r w:rsidRPr="00335D67">
        <w:rPr>
          <w:rFonts w:ascii="Calibri" w:hAnsi="Calibri" w:cs="Arial"/>
          <w:sz w:val="24"/>
          <w:szCs w:val="24"/>
        </w:rPr>
        <w:t>Dz.U</w:t>
      </w:r>
      <w:proofErr w:type="spellEnd"/>
      <w:r w:rsidRPr="00335D67">
        <w:rPr>
          <w:rFonts w:ascii="Calibri" w:hAnsi="Calibri" w:cs="Arial"/>
          <w:sz w:val="24"/>
          <w:szCs w:val="24"/>
        </w:rPr>
        <w:t>. z 2016 r. poz.</w:t>
      </w:r>
      <w:r w:rsidR="0046422C" w:rsidRPr="00335D67">
        <w:rPr>
          <w:rFonts w:ascii="Calibri" w:hAnsi="Calibri" w:cs="Arial"/>
          <w:sz w:val="24"/>
          <w:szCs w:val="24"/>
        </w:rPr>
        <w:t xml:space="preserve"> </w:t>
      </w:r>
      <w:r w:rsidRPr="00335D67">
        <w:rPr>
          <w:rFonts w:ascii="Calibri" w:hAnsi="Calibri" w:cs="Arial"/>
          <w:sz w:val="24"/>
          <w:szCs w:val="24"/>
        </w:rPr>
        <w:t>2046</w:t>
      </w:r>
      <w:r w:rsidR="00962C56" w:rsidRPr="00335D67">
        <w:rPr>
          <w:rFonts w:ascii="Calibri" w:hAnsi="Calibri" w:cs="Arial"/>
          <w:sz w:val="24"/>
          <w:szCs w:val="24"/>
        </w:rPr>
        <w:t xml:space="preserve"> z </w:t>
      </w:r>
      <w:proofErr w:type="spellStart"/>
      <w:r w:rsidR="00962C56" w:rsidRPr="00335D67">
        <w:rPr>
          <w:rFonts w:ascii="Calibri" w:hAnsi="Calibri" w:cs="Arial"/>
          <w:sz w:val="24"/>
          <w:szCs w:val="24"/>
        </w:rPr>
        <w:t>późn.zm</w:t>
      </w:r>
      <w:proofErr w:type="spellEnd"/>
      <w:r w:rsidR="00962C56" w:rsidRPr="00335D67">
        <w:rPr>
          <w:rFonts w:ascii="Calibri" w:hAnsi="Calibri" w:cs="Arial"/>
          <w:sz w:val="24"/>
          <w:szCs w:val="24"/>
        </w:rPr>
        <w:t>.)</w:t>
      </w:r>
      <w:r w:rsidRPr="00335D67">
        <w:rPr>
          <w:rFonts w:ascii="Calibri" w:hAnsi="Calibri" w:cs="Arial"/>
          <w:sz w:val="24"/>
          <w:szCs w:val="24"/>
        </w:rPr>
        <w:t xml:space="preserve"> zwanej dalej ustawą o rehabilitacji - </w:t>
      </w:r>
      <w:r w:rsidRPr="00335D67">
        <w:rPr>
          <w:rFonts w:ascii="Calibri" w:hAnsi="Calibri" w:cs="Arial"/>
          <w:b/>
          <w:sz w:val="24"/>
          <w:szCs w:val="24"/>
        </w:rPr>
        <w:t>jest prawidłowe.</w:t>
      </w:r>
    </w:p>
    <w:p w:rsidR="00A13535" w:rsidRPr="00335D67" w:rsidRDefault="00A13535" w:rsidP="0014481D">
      <w:pPr>
        <w:spacing w:after="0" w:line="360" w:lineRule="auto"/>
        <w:jc w:val="both"/>
        <w:rPr>
          <w:rFonts w:ascii="Calibri" w:hAnsi="Calibri" w:cs="Arial"/>
          <w:b/>
          <w:sz w:val="24"/>
          <w:szCs w:val="24"/>
        </w:rPr>
      </w:pPr>
    </w:p>
    <w:p w:rsidR="00F8478F" w:rsidRPr="00335D67" w:rsidRDefault="00F8478F" w:rsidP="0014481D">
      <w:pPr>
        <w:spacing w:after="0" w:line="360" w:lineRule="auto"/>
        <w:jc w:val="center"/>
        <w:rPr>
          <w:rFonts w:ascii="Calibri" w:hAnsi="Calibri" w:cs="Arial"/>
          <w:b/>
          <w:sz w:val="24"/>
          <w:szCs w:val="24"/>
        </w:rPr>
      </w:pPr>
      <w:r w:rsidRPr="00335D67">
        <w:rPr>
          <w:rFonts w:ascii="Calibri" w:hAnsi="Calibri" w:cs="Arial"/>
          <w:b/>
          <w:sz w:val="24"/>
          <w:szCs w:val="24"/>
        </w:rPr>
        <w:t>Uzasadnienie:</w:t>
      </w:r>
    </w:p>
    <w:p w:rsidR="00F8478F" w:rsidRPr="00335D67" w:rsidRDefault="00F8478F" w:rsidP="0014481D">
      <w:pPr>
        <w:spacing w:after="0" w:line="360" w:lineRule="auto"/>
        <w:jc w:val="both"/>
        <w:rPr>
          <w:rFonts w:ascii="Calibri" w:hAnsi="Calibri" w:cs="Arial"/>
          <w:sz w:val="24"/>
          <w:szCs w:val="24"/>
        </w:rPr>
      </w:pPr>
      <w:r w:rsidRPr="00335D67">
        <w:rPr>
          <w:rFonts w:ascii="Calibri" w:hAnsi="Calibri" w:cs="Arial"/>
          <w:sz w:val="24"/>
          <w:szCs w:val="24"/>
        </w:rPr>
        <w:t xml:space="preserve">Pismem z dnia </w:t>
      </w:r>
      <w:r w:rsidR="00962C56" w:rsidRPr="00335D67">
        <w:rPr>
          <w:rFonts w:ascii="Calibri" w:hAnsi="Calibri" w:cs="Arial"/>
          <w:sz w:val="24"/>
          <w:szCs w:val="24"/>
        </w:rPr>
        <w:t>2</w:t>
      </w:r>
      <w:r w:rsidR="0046422C" w:rsidRPr="00335D67">
        <w:rPr>
          <w:rFonts w:ascii="Calibri" w:hAnsi="Calibri" w:cs="Arial"/>
          <w:sz w:val="24"/>
          <w:szCs w:val="24"/>
        </w:rPr>
        <w:t>4</w:t>
      </w:r>
      <w:r w:rsidR="00962C56" w:rsidRPr="00335D67">
        <w:rPr>
          <w:rFonts w:ascii="Calibri" w:hAnsi="Calibri" w:cs="Arial"/>
          <w:sz w:val="24"/>
          <w:szCs w:val="24"/>
        </w:rPr>
        <w:t xml:space="preserve"> </w:t>
      </w:r>
      <w:r w:rsidR="0046422C" w:rsidRPr="00335D67">
        <w:rPr>
          <w:rFonts w:ascii="Calibri" w:hAnsi="Calibri" w:cs="Arial"/>
          <w:sz w:val="24"/>
          <w:szCs w:val="24"/>
        </w:rPr>
        <w:t>kwietnia</w:t>
      </w:r>
      <w:r w:rsidRPr="00335D67">
        <w:rPr>
          <w:rFonts w:ascii="Calibri" w:hAnsi="Calibri" w:cs="Arial"/>
          <w:sz w:val="24"/>
          <w:szCs w:val="24"/>
        </w:rPr>
        <w:t xml:space="preserve"> 2017 r.</w:t>
      </w:r>
      <w:r w:rsidR="00C17290" w:rsidRPr="00335D67">
        <w:rPr>
          <w:rFonts w:ascii="Calibri" w:hAnsi="Calibri" w:cs="Arial"/>
          <w:sz w:val="24"/>
          <w:szCs w:val="24"/>
        </w:rPr>
        <w:t xml:space="preserve"> oraz jego uzupełnieniem z dnia </w:t>
      </w:r>
      <w:r w:rsidR="0046422C" w:rsidRPr="00335D67">
        <w:rPr>
          <w:rFonts w:ascii="Calibri" w:hAnsi="Calibri" w:cs="Arial"/>
          <w:sz w:val="24"/>
          <w:szCs w:val="24"/>
        </w:rPr>
        <w:t>10</w:t>
      </w:r>
      <w:r w:rsidR="00C17290" w:rsidRPr="00335D67">
        <w:rPr>
          <w:rFonts w:ascii="Calibri" w:hAnsi="Calibri" w:cs="Arial"/>
          <w:sz w:val="24"/>
          <w:szCs w:val="24"/>
        </w:rPr>
        <w:t xml:space="preserve"> ma</w:t>
      </w:r>
      <w:r w:rsidR="0046422C" w:rsidRPr="00335D67">
        <w:rPr>
          <w:rFonts w:ascii="Calibri" w:hAnsi="Calibri" w:cs="Arial"/>
          <w:sz w:val="24"/>
          <w:szCs w:val="24"/>
        </w:rPr>
        <w:t>j</w:t>
      </w:r>
      <w:r w:rsidR="00C17290" w:rsidRPr="00335D67">
        <w:rPr>
          <w:rFonts w:ascii="Calibri" w:hAnsi="Calibri" w:cs="Arial"/>
          <w:sz w:val="24"/>
          <w:szCs w:val="24"/>
        </w:rPr>
        <w:t>a 2017 r.</w:t>
      </w:r>
      <w:r w:rsidR="00664D47" w:rsidRPr="00335D67">
        <w:rPr>
          <w:rFonts w:ascii="Calibri" w:hAnsi="Calibri" w:cs="Arial"/>
          <w:sz w:val="24"/>
          <w:szCs w:val="24"/>
        </w:rPr>
        <w:t xml:space="preserve"> </w:t>
      </w:r>
      <w:r w:rsidR="00664D47" w:rsidRPr="00335D67">
        <w:rPr>
          <w:rFonts w:ascii="Calibri" w:hAnsi="Calibri" w:cs="Arial"/>
          <w:sz w:val="24"/>
          <w:szCs w:val="24"/>
        </w:rPr>
        <w:br/>
        <w:t>i dnia 22 maja 2017r.</w:t>
      </w:r>
      <w:r w:rsidR="00C17290" w:rsidRPr="00335D67">
        <w:rPr>
          <w:rFonts w:ascii="Calibri" w:hAnsi="Calibri" w:cs="Arial"/>
          <w:sz w:val="24"/>
          <w:szCs w:val="24"/>
        </w:rPr>
        <w:t>,</w:t>
      </w:r>
      <w:r w:rsidR="00664D47" w:rsidRPr="00335D67">
        <w:rPr>
          <w:rFonts w:ascii="Calibri" w:hAnsi="Calibri" w:cs="Arial"/>
          <w:sz w:val="24"/>
          <w:szCs w:val="24"/>
        </w:rPr>
        <w:t xml:space="preserve"> </w:t>
      </w:r>
      <w:r w:rsidRPr="00335D67">
        <w:rPr>
          <w:rFonts w:ascii="Calibri" w:hAnsi="Calibri" w:cs="Arial"/>
          <w:sz w:val="24"/>
          <w:szCs w:val="24"/>
        </w:rPr>
        <w:t xml:space="preserve">Wnioskodawca skierował do Prezesa Zarządu PFRON wniosek </w:t>
      </w:r>
      <w:r w:rsidR="008F4C33">
        <w:rPr>
          <w:rFonts w:ascii="Calibri" w:hAnsi="Calibri" w:cs="Arial"/>
          <w:sz w:val="24"/>
          <w:szCs w:val="24"/>
        </w:rPr>
        <w:br/>
      </w:r>
      <w:r w:rsidRPr="00335D67">
        <w:rPr>
          <w:rFonts w:ascii="Calibri" w:hAnsi="Calibri" w:cs="Arial"/>
          <w:sz w:val="24"/>
          <w:szCs w:val="24"/>
        </w:rPr>
        <w:t xml:space="preserve">o udzielenie pisemnej interpretacji </w:t>
      </w:r>
      <w:r w:rsidR="00785B3D" w:rsidRPr="00335D67">
        <w:rPr>
          <w:rFonts w:ascii="Calibri" w:hAnsi="Calibri" w:cs="Arial"/>
          <w:sz w:val="24"/>
          <w:szCs w:val="24"/>
        </w:rPr>
        <w:t xml:space="preserve">co do zakresu i sposobu zastosowania </w:t>
      </w:r>
      <w:r w:rsidRPr="00335D67">
        <w:rPr>
          <w:rFonts w:ascii="Calibri" w:hAnsi="Calibri" w:cs="Arial"/>
          <w:sz w:val="24"/>
          <w:szCs w:val="24"/>
        </w:rPr>
        <w:t xml:space="preserve">przepisów </w:t>
      </w:r>
      <w:r w:rsidR="008F4C33">
        <w:rPr>
          <w:rFonts w:ascii="Calibri" w:hAnsi="Calibri" w:cs="Arial"/>
          <w:sz w:val="24"/>
          <w:szCs w:val="24"/>
        </w:rPr>
        <w:br/>
      </w:r>
      <w:r w:rsidR="00A13535" w:rsidRPr="00335D67">
        <w:rPr>
          <w:rFonts w:ascii="Calibri" w:hAnsi="Calibri" w:cs="Arial"/>
          <w:sz w:val="24"/>
          <w:szCs w:val="24"/>
        </w:rPr>
        <w:t>art</w:t>
      </w:r>
      <w:r w:rsidRPr="00335D67">
        <w:rPr>
          <w:rFonts w:ascii="Calibri" w:hAnsi="Calibri" w:cs="Arial"/>
          <w:sz w:val="24"/>
          <w:szCs w:val="24"/>
        </w:rPr>
        <w:t>.</w:t>
      </w:r>
      <w:r w:rsidR="0046422C" w:rsidRPr="00335D67">
        <w:rPr>
          <w:rFonts w:ascii="Calibri" w:hAnsi="Calibri" w:cs="Arial"/>
          <w:sz w:val="24"/>
          <w:szCs w:val="24"/>
        </w:rPr>
        <w:t xml:space="preserve"> </w:t>
      </w:r>
      <w:r w:rsidRPr="00335D67">
        <w:rPr>
          <w:rFonts w:ascii="Calibri" w:hAnsi="Calibri" w:cs="Arial"/>
          <w:sz w:val="24"/>
          <w:szCs w:val="24"/>
        </w:rPr>
        <w:t xml:space="preserve">22 </w:t>
      </w:r>
      <w:r w:rsidR="00962C56" w:rsidRPr="00335D67">
        <w:rPr>
          <w:rFonts w:ascii="Calibri" w:hAnsi="Calibri" w:cs="Arial"/>
          <w:sz w:val="24"/>
          <w:szCs w:val="24"/>
        </w:rPr>
        <w:t>ust.</w:t>
      </w:r>
      <w:r w:rsidR="006904E9" w:rsidRPr="00335D67">
        <w:rPr>
          <w:rFonts w:ascii="Calibri" w:hAnsi="Calibri" w:cs="Arial"/>
          <w:sz w:val="24"/>
          <w:szCs w:val="24"/>
        </w:rPr>
        <w:t xml:space="preserve"> </w:t>
      </w:r>
      <w:r w:rsidR="00962C56" w:rsidRPr="00335D67">
        <w:rPr>
          <w:rFonts w:ascii="Calibri" w:hAnsi="Calibri" w:cs="Arial"/>
          <w:sz w:val="24"/>
          <w:szCs w:val="24"/>
        </w:rPr>
        <w:t xml:space="preserve">2 </w:t>
      </w:r>
      <w:r w:rsidRPr="00335D67">
        <w:rPr>
          <w:rFonts w:ascii="Calibri" w:hAnsi="Calibri" w:cs="Arial"/>
          <w:sz w:val="24"/>
          <w:szCs w:val="24"/>
        </w:rPr>
        <w:t>ustawy o rehabilitacji.</w:t>
      </w:r>
    </w:p>
    <w:p w:rsidR="0014481D" w:rsidRPr="00335D67" w:rsidRDefault="00F8478F" w:rsidP="00551541">
      <w:pPr>
        <w:spacing w:after="240" w:line="360" w:lineRule="auto"/>
        <w:jc w:val="both"/>
        <w:rPr>
          <w:rFonts w:ascii="Calibri" w:hAnsi="Calibri" w:cs="Arial"/>
          <w:i/>
          <w:sz w:val="24"/>
          <w:szCs w:val="24"/>
        </w:rPr>
      </w:pPr>
      <w:r w:rsidRPr="00335D67">
        <w:rPr>
          <w:rFonts w:ascii="Calibri" w:hAnsi="Calibri" w:cs="Arial"/>
          <w:sz w:val="24"/>
          <w:szCs w:val="24"/>
        </w:rPr>
        <w:lastRenderedPageBreak/>
        <w:t xml:space="preserve">Wniosek swój Wnioskodawca skierował na podstawie </w:t>
      </w:r>
      <w:r w:rsidR="00A13535" w:rsidRPr="00335D67">
        <w:rPr>
          <w:rFonts w:ascii="Calibri" w:hAnsi="Calibri" w:cs="Arial"/>
          <w:sz w:val="24"/>
          <w:szCs w:val="24"/>
        </w:rPr>
        <w:t>art</w:t>
      </w:r>
      <w:r w:rsidRPr="00335D67">
        <w:rPr>
          <w:rFonts w:ascii="Calibri" w:hAnsi="Calibri" w:cs="Arial"/>
          <w:sz w:val="24"/>
          <w:szCs w:val="24"/>
        </w:rPr>
        <w:t xml:space="preserve">. 10 i 10a ustawy o swobodzie działalności gospodarczej. 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 xml:space="preserve">przedsiębiorca może złożyć do właściwego organu administracji publicznej </w:t>
      </w:r>
      <w:r w:rsidR="004963C0" w:rsidRPr="00335D67">
        <w:rPr>
          <w:rFonts w:ascii="Calibri" w:hAnsi="Calibri" w:cs="Arial"/>
          <w:i/>
          <w:sz w:val="24"/>
          <w:szCs w:val="24"/>
        </w:rPr>
        <w:br/>
      </w:r>
      <w:r w:rsidRPr="00335D67">
        <w:rPr>
          <w:rFonts w:ascii="Calibri" w:hAnsi="Calibri" w:cs="Arial"/>
          <w:i/>
          <w:sz w:val="24"/>
          <w:szCs w:val="24"/>
        </w:rPr>
        <w:t xml:space="preserve">lub państwowej jednostki organizacyjnej wniosek o wydanie pisemnej interpretacji </w:t>
      </w:r>
      <w:r w:rsidR="00A13535" w:rsidRPr="00335D67">
        <w:rPr>
          <w:rFonts w:ascii="Calibri" w:hAnsi="Calibri" w:cs="Arial"/>
          <w:i/>
          <w:sz w:val="24"/>
          <w:szCs w:val="24"/>
        </w:rPr>
        <w:br/>
      </w:r>
      <w:r w:rsidRPr="00335D67">
        <w:rPr>
          <w:rFonts w:ascii="Calibri" w:hAnsi="Calibri" w:cs="Arial"/>
          <w:i/>
          <w:sz w:val="24"/>
          <w:szCs w:val="24"/>
        </w:rPr>
        <w:t xml:space="preserve">co do zakresu i sposobu zastosowania przepisów, z których wynika obowiązek świadczenia przez przedsiębiorcę daniny publicznej oraz składek na ubezpieczenia społeczne </w:t>
      </w:r>
      <w:r w:rsidR="00FF2D0A" w:rsidRPr="00335D67">
        <w:rPr>
          <w:rFonts w:ascii="Calibri" w:hAnsi="Calibri" w:cs="Arial"/>
          <w:i/>
          <w:sz w:val="24"/>
          <w:szCs w:val="24"/>
        </w:rPr>
        <w:br/>
      </w:r>
      <w:r w:rsidRPr="00335D67">
        <w:rPr>
          <w:rFonts w:ascii="Calibri" w:hAnsi="Calibri" w:cs="Arial"/>
          <w:i/>
          <w:sz w:val="24"/>
          <w:szCs w:val="24"/>
        </w:rPr>
        <w:t>lub zdrowotne, w jego indywidualnej sprawie.</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W przedmiotowym wniosku Wnioskodawca przedstawił następujący stan faktyczny:</w:t>
      </w:r>
    </w:p>
    <w:p w:rsidR="00A84E1A" w:rsidRPr="00335D67" w:rsidRDefault="001F743D" w:rsidP="0014481D">
      <w:pPr>
        <w:spacing w:after="0" w:line="360" w:lineRule="auto"/>
        <w:jc w:val="both"/>
        <w:rPr>
          <w:sz w:val="24"/>
          <w:szCs w:val="24"/>
        </w:rPr>
      </w:pPr>
      <w:r w:rsidRPr="00335D67">
        <w:rPr>
          <w:sz w:val="24"/>
          <w:szCs w:val="24"/>
        </w:rPr>
        <w:t xml:space="preserve">Spółka </w:t>
      </w:r>
      <w:r w:rsidR="00EB3B73">
        <w:rPr>
          <w:sz w:val="24"/>
          <w:szCs w:val="24"/>
        </w:rPr>
        <w:t>XXXXXXXXXXXX</w:t>
      </w:r>
      <w:r w:rsidRPr="00335D67">
        <w:rPr>
          <w:sz w:val="24"/>
          <w:szCs w:val="24"/>
        </w:rPr>
        <w:t xml:space="preserve"> posiada status zakładu pracy chronionej. Dodatkowo spełnia wymogi </w:t>
      </w:r>
      <w:r w:rsidR="006276CC" w:rsidRPr="00335D67">
        <w:rPr>
          <w:sz w:val="24"/>
          <w:szCs w:val="24"/>
        </w:rPr>
        <w:br/>
      </w:r>
      <w:r w:rsidRPr="00335D67">
        <w:rPr>
          <w:sz w:val="24"/>
          <w:szCs w:val="24"/>
        </w:rPr>
        <w:t xml:space="preserve">z art. 22 ust 1 ustawy o rehabilitacji, przez co jest podmiotem uprawnionym do wystawiania informacji o kwocie obniżenia </w:t>
      </w:r>
      <w:r w:rsidR="006276CC" w:rsidRPr="00335D67">
        <w:rPr>
          <w:sz w:val="24"/>
          <w:szCs w:val="24"/>
        </w:rPr>
        <w:t>wpłat</w:t>
      </w:r>
      <w:r w:rsidR="00CD7087" w:rsidRPr="00335D67">
        <w:rPr>
          <w:sz w:val="24"/>
          <w:szCs w:val="24"/>
        </w:rPr>
        <w:t xml:space="preserve">. Celem uzyskania dodatkowych źródeł finansowania </w:t>
      </w:r>
      <w:r w:rsidR="00EB3B73">
        <w:rPr>
          <w:sz w:val="24"/>
          <w:szCs w:val="24"/>
        </w:rPr>
        <w:t>XXXXXXXXXX</w:t>
      </w:r>
      <w:r w:rsidR="00CD7087" w:rsidRPr="00335D67">
        <w:rPr>
          <w:sz w:val="24"/>
          <w:szCs w:val="24"/>
        </w:rPr>
        <w:t xml:space="preserve"> zamierza zawrzeć umowę factoringu niepełnego (factoring z regresem) </w:t>
      </w:r>
      <w:r w:rsidR="00887BF7" w:rsidRPr="00335D67">
        <w:rPr>
          <w:sz w:val="24"/>
          <w:szCs w:val="24"/>
        </w:rPr>
        <w:br/>
      </w:r>
      <w:r w:rsidR="00CD7087" w:rsidRPr="00335D67">
        <w:rPr>
          <w:sz w:val="24"/>
          <w:szCs w:val="24"/>
        </w:rPr>
        <w:t xml:space="preserve">z instytucją </w:t>
      </w:r>
      <w:r w:rsidR="00F94CDB" w:rsidRPr="00335D67">
        <w:rPr>
          <w:sz w:val="24"/>
          <w:szCs w:val="24"/>
        </w:rPr>
        <w:t>finansową (bankiem) zwaną dalej „faktorem”. Na mocy tej umowy faktor dokonywać będzie wykupu nale</w:t>
      </w:r>
      <w:r w:rsidR="009866E0" w:rsidRPr="00335D67">
        <w:rPr>
          <w:sz w:val="24"/>
          <w:szCs w:val="24"/>
        </w:rPr>
        <w:t>ż</w:t>
      </w:r>
      <w:r w:rsidR="00F94CDB" w:rsidRPr="00335D67">
        <w:rPr>
          <w:sz w:val="24"/>
          <w:szCs w:val="24"/>
        </w:rPr>
        <w:t xml:space="preserve">ności (wierzytelności wynikających wystawionych przez </w:t>
      </w:r>
      <w:r w:rsidR="00EB3B73">
        <w:rPr>
          <w:sz w:val="24"/>
          <w:szCs w:val="24"/>
        </w:rPr>
        <w:t>XXXXXXXX</w:t>
      </w:r>
      <w:r w:rsidR="00F94CDB" w:rsidRPr="00335D67">
        <w:rPr>
          <w:sz w:val="24"/>
          <w:szCs w:val="24"/>
        </w:rPr>
        <w:t xml:space="preserve"> faktur VAT) bez przejęcia ryzyka niewypłacalności kontrahentów </w:t>
      </w:r>
      <w:r w:rsidR="00EB3B73">
        <w:rPr>
          <w:sz w:val="24"/>
          <w:szCs w:val="24"/>
        </w:rPr>
        <w:t>XXXXXXXXX</w:t>
      </w:r>
      <w:r w:rsidR="00F94CDB" w:rsidRPr="00335D67">
        <w:rPr>
          <w:sz w:val="24"/>
          <w:szCs w:val="24"/>
        </w:rPr>
        <w:t>. Wykup należności po</w:t>
      </w:r>
      <w:r w:rsidR="006276CC" w:rsidRPr="00335D67">
        <w:rPr>
          <w:sz w:val="24"/>
          <w:szCs w:val="24"/>
        </w:rPr>
        <w:t>legać będzie na przedstawieniu f</w:t>
      </w:r>
      <w:r w:rsidR="00F94CDB" w:rsidRPr="00335D67">
        <w:rPr>
          <w:sz w:val="24"/>
          <w:szCs w:val="24"/>
        </w:rPr>
        <w:t xml:space="preserve">aktorowi przez </w:t>
      </w:r>
      <w:r w:rsidR="00EB3B73">
        <w:rPr>
          <w:sz w:val="24"/>
          <w:szCs w:val="24"/>
        </w:rPr>
        <w:t>XXXXXX</w:t>
      </w:r>
      <w:r w:rsidR="00F94CDB" w:rsidRPr="00335D67">
        <w:rPr>
          <w:sz w:val="24"/>
          <w:szCs w:val="24"/>
        </w:rPr>
        <w:t xml:space="preserve"> faktur </w:t>
      </w:r>
      <w:r w:rsidR="008F4C33">
        <w:rPr>
          <w:sz w:val="24"/>
          <w:szCs w:val="24"/>
        </w:rPr>
        <w:br/>
      </w:r>
      <w:r w:rsidR="00F94CDB" w:rsidRPr="00335D67">
        <w:rPr>
          <w:sz w:val="24"/>
          <w:szCs w:val="24"/>
        </w:rPr>
        <w:t xml:space="preserve">do wykupu – przez co nastąpi wypłata zaliczki przed terminem wymagalności faktur. </w:t>
      </w:r>
      <w:r w:rsidR="00153F59" w:rsidRPr="00335D67">
        <w:rPr>
          <w:sz w:val="24"/>
          <w:szCs w:val="24"/>
        </w:rPr>
        <w:t>Um</w:t>
      </w:r>
      <w:r w:rsidR="00F94CDB" w:rsidRPr="00335D67">
        <w:rPr>
          <w:sz w:val="24"/>
          <w:szCs w:val="24"/>
        </w:rPr>
        <w:t xml:space="preserve">owa factoringowa przewiduje objęcie należności </w:t>
      </w:r>
      <w:r w:rsidR="00EB3B73">
        <w:rPr>
          <w:sz w:val="24"/>
          <w:szCs w:val="24"/>
        </w:rPr>
        <w:t>XXXXXXXXX</w:t>
      </w:r>
      <w:r w:rsidR="00F94CDB" w:rsidRPr="00335D67">
        <w:rPr>
          <w:sz w:val="24"/>
          <w:szCs w:val="24"/>
        </w:rPr>
        <w:t xml:space="preserve"> cesją globalną, która dotyczy</w:t>
      </w:r>
      <w:r w:rsidR="00887BF7" w:rsidRPr="00335D67">
        <w:rPr>
          <w:sz w:val="24"/>
          <w:szCs w:val="24"/>
        </w:rPr>
        <w:t>ć</w:t>
      </w:r>
      <w:r w:rsidR="00F94CDB" w:rsidRPr="00335D67">
        <w:rPr>
          <w:sz w:val="24"/>
          <w:szCs w:val="24"/>
        </w:rPr>
        <w:t xml:space="preserve"> będzie kontrahentów zgłos</w:t>
      </w:r>
      <w:r w:rsidR="006276CC" w:rsidRPr="00335D67">
        <w:rPr>
          <w:sz w:val="24"/>
          <w:szCs w:val="24"/>
        </w:rPr>
        <w:t>zonych i zaakceptowanych przez f</w:t>
      </w:r>
      <w:r w:rsidR="00F94CDB" w:rsidRPr="00335D67">
        <w:rPr>
          <w:sz w:val="24"/>
          <w:szCs w:val="24"/>
        </w:rPr>
        <w:t xml:space="preserve">aktora do umowy factoringowej i skutecznym poinformowaniu o fakcie cesji. Tym samym faktor </w:t>
      </w:r>
      <w:r w:rsidR="00D33F71" w:rsidRPr="00335D67">
        <w:rPr>
          <w:sz w:val="24"/>
          <w:szCs w:val="24"/>
        </w:rPr>
        <w:t xml:space="preserve">stanie się wierzycielem kontrahentów Spółki w zakresie zapłaty wynagrodzenia za świadczone przez </w:t>
      </w:r>
      <w:r w:rsidR="00EB3B73">
        <w:rPr>
          <w:sz w:val="24"/>
          <w:szCs w:val="24"/>
        </w:rPr>
        <w:t>XXXXXXXXX</w:t>
      </w:r>
      <w:r w:rsidR="00D33F71" w:rsidRPr="00335D67">
        <w:rPr>
          <w:sz w:val="24"/>
          <w:szCs w:val="24"/>
        </w:rPr>
        <w:t xml:space="preserve"> usługi. </w:t>
      </w:r>
      <w:r w:rsidR="00862657" w:rsidRPr="00335D67">
        <w:rPr>
          <w:sz w:val="24"/>
          <w:szCs w:val="24"/>
        </w:rPr>
        <w:t xml:space="preserve">Kontrahenci </w:t>
      </w:r>
      <w:r w:rsidR="00EB3B73">
        <w:rPr>
          <w:sz w:val="24"/>
          <w:szCs w:val="24"/>
        </w:rPr>
        <w:t>XXXXXXXXXX</w:t>
      </w:r>
      <w:r w:rsidR="00862657" w:rsidRPr="00335D67">
        <w:rPr>
          <w:sz w:val="24"/>
          <w:szCs w:val="24"/>
        </w:rPr>
        <w:t xml:space="preserve"> będą zobowiązani</w:t>
      </w:r>
      <w:r w:rsidR="00887BF7" w:rsidRPr="00335D67">
        <w:rPr>
          <w:sz w:val="24"/>
          <w:szCs w:val="24"/>
        </w:rPr>
        <w:t xml:space="preserve"> wpłacać należności wynikające z</w:t>
      </w:r>
      <w:r w:rsidR="00862657" w:rsidRPr="00335D67">
        <w:rPr>
          <w:sz w:val="24"/>
          <w:szCs w:val="24"/>
        </w:rPr>
        <w:t xml:space="preserve"> faktur </w:t>
      </w:r>
      <w:r w:rsidR="006276CC" w:rsidRPr="00335D67">
        <w:rPr>
          <w:sz w:val="24"/>
          <w:szCs w:val="24"/>
        </w:rPr>
        <w:t>VAT – bezpośrednio na rachunek f</w:t>
      </w:r>
      <w:r w:rsidR="00862657" w:rsidRPr="00335D67">
        <w:rPr>
          <w:sz w:val="24"/>
          <w:szCs w:val="24"/>
        </w:rPr>
        <w:t xml:space="preserve">aktora wskazany na fakturach wystawionych przez </w:t>
      </w:r>
      <w:r w:rsidR="00EB3B73">
        <w:rPr>
          <w:sz w:val="24"/>
          <w:szCs w:val="24"/>
        </w:rPr>
        <w:t>XXXXXX</w:t>
      </w:r>
      <w:r w:rsidR="00B95034" w:rsidRPr="00335D67">
        <w:rPr>
          <w:sz w:val="24"/>
          <w:szCs w:val="24"/>
        </w:rPr>
        <w:t>,</w:t>
      </w:r>
      <w:r w:rsidR="00862657" w:rsidRPr="00335D67">
        <w:rPr>
          <w:sz w:val="24"/>
          <w:szCs w:val="24"/>
        </w:rPr>
        <w:t xml:space="preserve"> a nie na rachunek wystawcy, gdyż z</w:t>
      </w:r>
      <w:r w:rsidR="006276CC" w:rsidRPr="00335D67">
        <w:rPr>
          <w:sz w:val="24"/>
          <w:szCs w:val="24"/>
        </w:rPr>
        <w:t xml:space="preserve"> chwilą objęcia należności cesją</w:t>
      </w:r>
      <w:r w:rsidR="00862657" w:rsidRPr="00335D67">
        <w:rPr>
          <w:sz w:val="24"/>
          <w:szCs w:val="24"/>
        </w:rPr>
        <w:t xml:space="preserve"> globalną – </w:t>
      </w:r>
      <w:r w:rsidR="00EB3B73">
        <w:rPr>
          <w:sz w:val="24"/>
          <w:szCs w:val="24"/>
        </w:rPr>
        <w:t>XXXXXX</w:t>
      </w:r>
      <w:r w:rsidR="00862657" w:rsidRPr="00335D67">
        <w:rPr>
          <w:sz w:val="24"/>
          <w:szCs w:val="24"/>
        </w:rPr>
        <w:t xml:space="preserve"> przestanie być wierzycielem swoich kontrahentów co do wynagrodze</w:t>
      </w:r>
      <w:r w:rsidR="006276CC" w:rsidRPr="00335D67">
        <w:rPr>
          <w:sz w:val="24"/>
          <w:szCs w:val="24"/>
        </w:rPr>
        <w:t>nia. Z chwilą akceptacji przez f</w:t>
      </w:r>
      <w:r w:rsidR="00862657" w:rsidRPr="00335D67">
        <w:rPr>
          <w:sz w:val="24"/>
          <w:szCs w:val="24"/>
        </w:rPr>
        <w:t>aktora</w:t>
      </w:r>
      <w:r w:rsidR="006276CC" w:rsidRPr="00335D67">
        <w:rPr>
          <w:sz w:val="24"/>
          <w:szCs w:val="24"/>
        </w:rPr>
        <w:t xml:space="preserve"> przedstawionych przez </w:t>
      </w:r>
      <w:r w:rsidR="00EB3B73">
        <w:rPr>
          <w:sz w:val="24"/>
          <w:szCs w:val="24"/>
        </w:rPr>
        <w:t>XXXXXX</w:t>
      </w:r>
      <w:r w:rsidR="006276CC" w:rsidRPr="00335D67">
        <w:rPr>
          <w:sz w:val="24"/>
          <w:szCs w:val="24"/>
        </w:rPr>
        <w:t xml:space="preserve"> faktur VAT- f</w:t>
      </w:r>
      <w:r w:rsidR="00862657" w:rsidRPr="00335D67">
        <w:rPr>
          <w:sz w:val="24"/>
          <w:szCs w:val="24"/>
        </w:rPr>
        <w:t xml:space="preserve">aktor wpłaci </w:t>
      </w:r>
      <w:r w:rsidR="00EB3B73">
        <w:rPr>
          <w:sz w:val="24"/>
          <w:szCs w:val="24"/>
        </w:rPr>
        <w:t>XXXXXX</w:t>
      </w:r>
      <w:r w:rsidR="00862657" w:rsidRPr="00335D67">
        <w:rPr>
          <w:sz w:val="24"/>
          <w:szCs w:val="24"/>
        </w:rPr>
        <w:t xml:space="preserve"> zaliczkę w wysokości 90 % wartości należności wynikających z przedstawionych </w:t>
      </w:r>
      <w:r w:rsidR="00B95034" w:rsidRPr="00335D67">
        <w:rPr>
          <w:sz w:val="24"/>
          <w:szCs w:val="24"/>
        </w:rPr>
        <w:br/>
      </w:r>
      <w:r w:rsidR="00862657" w:rsidRPr="00335D67">
        <w:rPr>
          <w:sz w:val="24"/>
          <w:szCs w:val="24"/>
        </w:rPr>
        <w:t xml:space="preserve">do wykupu faktur, a następnie po uregulowaniu przez kontrahenta należności wynikającej </w:t>
      </w:r>
      <w:r w:rsidR="00B95034" w:rsidRPr="00335D67">
        <w:rPr>
          <w:sz w:val="24"/>
          <w:szCs w:val="24"/>
        </w:rPr>
        <w:br/>
      </w:r>
      <w:r w:rsidR="00862657" w:rsidRPr="00335D67">
        <w:rPr>
          <w:sz w:val="24"/>
          <w:szCs w:val="24"/>
        </w:rPr>
        <w:t xml:space="preserve">z otrzymanej faktury VAT – zapłaci </w:t>
      </w:r>
      <w:r w:rsidR="00EB3B73">
        <w:rPr>
          <w:sz w:val="24"/>
          <w:szCs w:val="24"/>
        </w:rPr>
        <w:t>XXXXXXX</w:t>
      </w:r>
      <w:r w:rsidR="00862657" w:rsidRPr="00335D67">
        <w:rPr>
          <w:sz w:val="24"/>
          <w:szCs w:val="24"/>
        </w:rPr>
        <w:t xml:space="preserve"> pozostałe 10 % wartości należności wystawionych i przedstawionych </w:t>
      </w:r>
      <w:r w:rsidR="002318D8" w:rsidRPr="00335D67">
        <w:rPr>
          <w:sz w:val="24"/>
          <w:szCs w:val="24"/>
        </w:rPr>
        <w:t xml:space="preserve">do wykupu faktur VAT. Faktor w ramach obsługi umowy </w:t>
      </w:r>
      <w:r w:rsidR="002318D8" w:rsidRPr="00335D67">
        <w:rPr>
          <w:sz w:val="24"/>
          <w:szCs w:val="24"/>
        </w:rPr>
        <w:lastRenderedPageBreak/>
        <w:t>umożliwi Wnioskodawcy generowanie raportów dokumentujących terminowość spłat kontrahentów na platformie factoringowej.</w:t>
      </w:r>
    </w:p>
    <w:p w:rsidR="009866E0" w:rsidRPr="00335D67" w:rsidRDefault="00A84E1A" w:rsidP="0014481D">
      <w:pPr>
        <w:spacing w:after="0" w:line="360" w:lineRule="auto"/>
        <w:jc w:val="both"/>
        <w:rPr>
          <w:sz w:val="24"/>
          <w:szCs w:val="24"/>
        </w:rPr>
      </w:pPr>
      <w:r w:rsidRPr="00335D67">
        <w:rPr>
          <w:sz w:val="24"/>
          <w:szCs w:val="24"/>
        </w:rPr>
        <w:t>Zadaniem Wnioskodawcy ustawa o rehabilitacji nie reguluje jasno i wprost kwestii zapłaty przez odbiorcę należności za wykonaną usługę przez podmiot uprawniony do oferowania ulgi we wpłatach na PFRON. Ustawa nie wskazuje również wprost, że płatność ma nastąpić bezpośrednio na rachunek bankowy sprzedawcy – istotnym jest tylko by zakup usługi był udokumentowany faktur</w:t>
      </w:r>
      <w:r w:rsidR="006276CC" w:rsidRPr="00335D67">
        <w:rPr>
          <w:sz w:val="24"/>
          <w:szCs w:val="24"/>
        </w:rPr>
        <w:t>ą</w:t>
      </w:r>
      <w:r w:rsidRPr="00335D67">
        <w:rPr>
          <w:sz w:val="24"/>
          <w:szCs w:val="24"/>
        </w:rPr>
        <w:t>, a uregulowanie należności za zakup usługi następował w terminie określonym na fakturze, z tym że w przypadku płatności dokonywanych za pośrednictwem banku za datę uregulowania należności uważa się datę obciążenia rachunku bankowego nabywcy na podstawie polecenia przelewu. Tym samym z literalnego brzmienia przepisów ustawy o rehabilitacji nie wynika, że odbiorca usługi ma dokonywać płatności bezpośrednio na rachunek sprzedawcy usługi, a jedynie, że płatność ma nastąpić w terminie określonym na fakturze.</w:t>
      </w:r>
      <w:r w:rsidR="00025BE0" w:rsidRPr="00335D67">
        <w:rPr>
          <w:sz w:val="24"/>
          <w:szCs w:val="24"/>
        </w:rPr>
        <w:t xml:space="preserve"> Mając na uwadze powyższe, w ocenie Wnioskodawcy dopuszczalne jest wystawienie przez Spółkę informacji o kwocie obniżenia we wpłatach na PFRON swoim kontrahentom, którzy w ramach umowy factoringu będą dokonywać zapłaty wynagrodzenia za świadczone pr</w:t>
      </w:r>
      <w:r w:rsidR="006276CC" w:rsidRPr="00335D67">
        <w:rPr>
          <w:sz w:val="24"/>
          <w:szCs w:val="24"/>
        </w:rPr>
        <w:t xml:space="preserve">zez </w:t>
      </w:r>
      <w:r w:rsidR="00EB3B73">
        <w:rPr>
          <w:sz w:val="24"/>
          <w:szCs w:val="24"/>
        </w:rPr>
        <w:t>XXXXX</w:t>
      </w:r>
      <w:r w:rsidR="006276CC" w:rsidRPr="00335D67">
        <w:rPr>
          <w:sz w:val="24"/>
          <w:szCs w:val="24"/>
        </w:rPr>
        <w:t xml:space="preserve"> usługi na konto f</w:t>
      </w:r>
      <w:r w:rsidR="00025BE0" w:rsidRPr="00335D67">
        <w:rPr>
          <w:sz w:val="24"/>
          <w:szCs w:val="24"/>
        </w:rPr>
        <w:t xml:space="preserve">aktora, a nie bezpośrednio na konto </w:t>
      </w:r>
      <w:r w:rsidR="00EB3B73">
        <w:rPr>
          <w:sz w:val="24"/>
          <w:szCs w:val="24"/>
        </w:rPr>
        <w:t>XXXXXXX</w:t>
      </w:r>
      <w:r w:rsidR="00025BE0" w:rsidRPr="00335D67">
        <w:rPr>
          <w:sz w:val="24"/>
          <w:szCs w:val="24"/>
        </w:rPr>
        <w:t xml:space="preserve">. Warunkiem jednak wystawienia przez </w:t>
      </w:r>
      <w:r w:rsidR="00EB3B73">
        <w:rPr>
          <w:sz w:val="24"/>
          <w:szCs w:val="24"/>
        </w:rPr>
        <w:t>XXXXXXX</w:t>
      </w:r>
      <w:r w:rsidR="00025BE0" w:rsidRPr="00335D67">
        <w:rPr>
          <w:sz w:val="24"/>
          <w:szCs w:val="24"/>
        </w:rPr>
        <w:t xml:space="preserve"> informacji o kwocie obniżenia we wpłatach na PFRON będzie dokonanie przez kontrahenta pełnej wpłaty należności wynikającej z faktury VAT, w terminie określonym na fakturze.</w:t>
      </w:r>
      <w:r w:rsidR="00862657" w:rsidRPr="00335D67">
        <w:rPr>
          <w:sz w:val="24"/>
          <w:szCs w:val="24"/>
        </w:rPr>
        <w:t xml:space="preserve">     </w:t>
      </w:r>
    </w:p>
    <w:p w:rsidR="00025BE0" w:rsidRPr="00335D67" w:rsidRDefault="00025BE0" w:rsidP="00551541">
      <w:pPr>
        <w:spacing w:after="120" w:line="360" w:lineRule="auto"/>
        <w:jc w:val="both"/>
        <w:rPr>
          <w:rFonts w:ascii="Calibri" w:hAnsi="Calibri" w:cs="Arial"/>
          <w:b/>
          <w:sz w:val="24"/>
          <w:szCs w:val="24"/>
        </w:rPr>
      </w:pP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 xml:space="preserve">W związku z powyższym zwrócono się z wnioskiem o rozstrzygnięcie następującej kwestii: </w:t>
      </w:r>
    </w:p>
    <w:p w:rsidR="00FD6C08" w:rsidRPr="00335D67" w:rsidRDefault="00B95034" w:rsidP="00551541">
      <w:pPr>
        <w:spacing w:after="240" w:line="360" w:lineRule="auto"/>
        <w:jc w:val="both"/>
        <w:rPr>
          <w:rFonts w:ascii="Calibri" w:hAnsi="Calibri" w:cs="Arial"/>
          <w:sz w:val="24"/>
          <w:szCs w:val="24"/>
        </w:rPr>
      </w:pPr>
      <w:r w:rsidRPr="00335D67">
        <w:rPr>
          <w:rFonts w:ascii="Calibri" w:hAnsi="Calibri" w:cs="Arial"/>
          <w:sz w:val="24"/>
          <w:szCs w:val="24"/>
        </w:rPr>
        <w:t>c</w:t>
      </w:r>
      <w:r w:rsidR="00DD0FF8" w:rsidRPr="00335D67">
        <w:rPr>
          <w:rFonts w:ascii="Calibri" w:hAnsi="Calibri" w:cs="Arial"/>
          <w:sz w:val="24"/>
          <w:szCs w:val="24"/>
        </w:rPr>
        <w:t xml:space="preserve">zy w świetle ustawy o rehabilitacji, w tym w szczególności przepisu art. 22 ustawy </w:t>
      </w:r>
      <w:r w:rsidR="008F4C33">
        <w:rPr>
          <w:rFonts w:ascii="Calibri" w:hAnsi="Calibri" w:cs="Arial"/>
          <w:sz w:val="24"/>
          <w:szCs w:val="24"/>
        </w:rPr>
        <w:br/>
      </w:r>
      <w:r w:rsidR="00DD0FF8" w:rsidRPr="00335D67">
        <w:rPr>
          <w:rFonts w:ascii="Calibri" w:hAnsi="Calibri" w:cs="Arial"/>
          <w:sz w:val="24"/>
          <w:szCs w:val="24"/>
        </w:rPr>
        <w:t>o rehabilitacji dopuszczalne jest wystawienie przez Wnioskodawcę informacji o kwocie obniżenia we wpłatach na PFRON swoim kontrahentom pomimo, że płatności za usługi realizowane przez Wnioskodawcę</w:t>
      </w:r>
      <w:r w:rsidR="006276CC" w:rsidRPr="00335D67">
        <w:rPr>
          <w:rFonts w:ascii="Calibri" w:hAnsi="Calibri" w:cs="Arial"/>
          <w:sz w:val="24"/>
          <w:szCs w:val="24"/>
        </w:rPr>
        <w:t xml:space="preserve"> dokonywane są na konto f</w:t>
      </w:r>
      <w:r w:rsidR="00FD6C08" w:rsidRPr="00335D67">
        <w:rPr>
          <w:rFonts w:ascii="Calibri" w:hAnsi="Calibri" w:cs="Arial"/>
          <w:sz w:val="24"/>
          <w:szCs w:val="24"/>
        </w:rPr>
        <w:t>aktora?</w:t>
      </w:r>
    </w:p>
    <w:p w:rsidR="00F8478F" w:rsidRPr="00335D67" w:rsidRDefault="00F8478F" w:rsidP="00551541">
      <w:pPr>
        <w:spacing w:after="120" w:line="360" w:lineRule="auto"/>
        <w:jc w:val="both"/>
        <w:rPr>
          <w:rFonts w:ascii="Calibri" w:hAnsi="Calibri" w:cs="Arial"/>
          <w:b/>
          <w:sz w:val="24"/>
          <w:szCs w:val="24"/>
        </w:rPr>
      </w:pPr>
      <w:r w:rsidRPr="00335D67">
        <w:rPr>
          <w:rFonts w:ascii="Calibri" w:hAnsi="Calibri" w:cs="Arial"/>
          <w:b/>
          <w:sz w:val="24"/>
          <w:szCs w:val="24"/>
        </w:rPr>
        <w:t>Na tle przedstawionego stanu faktycznego, stwierdzam co następuje:</w:t>
      </w:r>
    </w:p>
    <w:p w:rsidR="00F8478F" w:rsidRPr="00335D67" w:rsidRDefault="00F8478F" w:rsidP="0014481D">
      <w:pPr>
        <w:spacing w:after="0" w:line="360" w:lineRule="auto"/>
        <w:jc w:val="both"/>
        <w:rPr>
          <w:rFonts w:ascii="Calibri" w:hAnsi="Calibri" w:cs="Arial"/>
          <w:i/>
          <w:sz w:val="24"/>
          <w:szCs w:val="24"/>
        </w:rPr>
      </w:pPr>
      <w:r w:rsidRPr="00335D67">
        <w:rPr>
          <w:rFonts w:ascii="Calibri" w:hAnsi="Calibri" w:cs="Arial"/>
          <w:sz w:val="24"/>
          <w:szCs w:val="24"/>
        </w:rPr>
        <w:t xml:space="preserve">Zgodnie z </w:t>
      </w:r>
      <w:r w:rsidR="00A13535" w:rsidRPr="00335D67">
        <w:rPr>
          <w:rFonts w:ascii="Calibri" w:hAnsi="Calibri" w:cs="Arial"/>
          <w:sz w:val="24"/>
          <w:szCs w:val="24"/>
        </w:rPr>
        <w:t>art</w:t>
      </w:r>
      <w:r w:rsidRPr="00335D67">
        <w:rPr>
          <w:rFonts w:ascii="Calibri" w:hAnsi="Calibri" w:cs="Arial"/>
          <w:sz w:val="24"/>
          <w:szCs w:val="24"/>
        </w:rPr>
        <w:t xml:space="preserve">. 10 ust. 1 ustawy o swobodzie działalności gospodarczej </w:t>
      </w:r>
      <w:r w:rsidRPr="00335D67">
        <w:rPr>
          <w:rFonts w:ascii="Calibri" w:hAnsi="Calibri" w:cs="Arial"/>
          <w:i/>
          <w:sz w:val="24"/>
          <w:szCs w:val="24"/>
        </w:rPr>
        <w:t xml:space="preserve">przedsiębiorca może złożyć do właściwego organu administracji publicznej lub państwowej jednostki organizacyjnej wniosek o wydanie pisemnej interpretacji co do zakresu i sposobu zastosowania przepisów, z których wynika obowiązek świadczenia przez przedsiębiorcę </w:t>
      </w:r>
      <w:r w:rsidRPr="00335D67">
        <w:rPr>
          <w:rFonts w:ascii="Calibri" w:hAnsi="Calibri" w:cs="Arial"/>
          <w:i/>
          <w:sz w:val="24"/>
          <w:szCs w:val="24"/>
        </w:rPr>
        <w:lastRenderedPageBreak/>
        <w:t>daniny publicznej oraz składek na ubezpieczenia społeczne lub zdrowotne, w jego indywidualnej sprawie.</w:t>
      </w:r>
    </w:p>
    <w:p w:rsidR="00025BE0" w:rsidRPr="00335D67" w:rsidRDefault="00025BE0" w:rsidP="00025BE0">
      <w:pPr>
        <w:pStyle w:val="Tekstpodstawowy"/>
        <w:jc w:val="both"/>
        <w:rPr>
          <w:rFonts w:asciiTheme="minorHAnsi" w:hAnsiTheme="minorHAnsi"/>
        </w:rPr>
      </w:pPr>
      <w:r w:rsidRPr="00335D67">
        <w:rPr>
          <w:rFonts w:asciiTheme="minorHAnsi" w:hAnsiTheme="minorHAnsi"/>
        </w:rPr>
        <w:t xml:space="preserve">Zgodnie z art. 22 ustawy o rehabilitacji,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p>
    <w:p w:rsidR="0015107F" w:rsidRPr="00335D67" w:rsidRDefault="00025BE0" w:rsidP="00025BE0">
      <w:pPr>
        <w:pStyle w:val="Tekstpodstawowy"/>
        <w:jc w:val="both"/>
        <w:rPr>
          <w:rFonts w:asciiTheme="minorHAnsi" w:hAnsiTheme="minorHAnsi"/>
        </w:rPr>
      </w:pPr>
      <w:r w:rsidRPr="00335D67">
        <w:rPr>
          <w:rFonts w:asciiTheme="minorHAnsi" w:hAnsiTheme="minorHAnsi"/>
        </w:rPr>
        <w:t>Ustawa o rehabilitacji, w art.</w:t>
      </w:r>
      <w:r w:rsidR="00B95034" w:rsidRPr="00335D67">
        <w:rPr>
          <w:rFonts w:asciiTheme="minorHAnsi" w:hAnsiTheme="minorHAnsi"/>
        </w:rPr>
        <w:t xml:space="preserve"> </w:t>
      </w:r>
      <w:r w:rsidRPr="00335D67">
        <w:rPr>
          <w:rFonts w:asciiTheme="minorHAnsi" w:hAnsiTheme="minorHAnsi"/>
        </w:rPr>
        <w:t xml:space="preserve">22 ust.2, wprost wskazuje jakie warunki muszą być spełnione łącznie, aby doszło do obniżenia wpłaty na PFRON. </w:t>
      </w:r>
    </w:p>
    <w:p w:rsidR="0015107F" w:rsidRPr="00335D67" w:rsidRDefault="0015107F" w:rsidP="0015107F">
      <w:pPr>
        <w:pStyle w:val="Tekstpodstawowy"/>
        <w:jc w:val="both"/>
        <w:rPr>
          <w:rFonts w:asciiTheme="minorHAnsi" w:hAnsiTheme="minorHAnsi"/>
        </w:rPr>
      </w:pPr>
      <w:r w:rsidRPr="00335D67">
        <w:rPr>
          <w:rFonts w:asciiTheme="minorHAnsi" w:hAnsiTheme="minorHAnsi"/>
        </w:rPr>
        <w:t>Jednym z tych warunków jest udokumentowanie zakupu fakturą. Ogólnie sam zakup produkcji lub usługi może być potwierdzony dowolnym dokumentem: umową, rachunkiem, fakturą, oświadczeniem stron. Jednak dla celów obniżenia wpłat na PFRON możliwe jest potwierdzenie zakupu wyłącznie fakturą.</w:t>
      </w:r>
    </w:p>
    <w:p w:rsidR="00025BE0" w:rsidRPr="00335D67" w:rsidRDefault="0015107F" w:rsidP="00025BE0">
      <w:pPr>
        <w:pStyle w:val="Tekstpodstawowy"/>
        <w:jc w:val="both"/>
        <w:rPr>
          <w:rFonts w:asciiTheme="minorHAnsi" w:hAnsiTheme="minorHAnsi"/>
        </w:rPr>
      </w:pPr>
      <w:r w:rsidRPr="00335D67">
        <w:rPr>
          <w:rFonts w:asciiTheme="minorHAnsi" w:hAnsiTheme="minorHAnsi"/>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przelewu. Nie oznacza to jednak, że jest to jedyna dopuszczalna forma płatności umożliwiająca nabycie prawa do ulgi. </w:t>
      </w:r>
      <w:r w:rsidR="001720AA" w:rsidRPr="00335D67">
        <w:rPr>
          <w:rFonts w:asciiTheme="minorHAnsi" w:hAnsiTheme="minorHAnsi"/>
        </w:rPr>
        <w:t xml:space="preserve">Skoro w tych przepisach użyto sformułowania „w przypadku”, to oznacza, że regulacja ma charakter przykładowy, dotyczący tylko jednego z wielu możliwych sposobów dokonania płatności. Pracodawca może dokonać płatności np. gotówką, czekiem, wekslem czy w drodze dwu- </w:t>
      </w:r>
      <w:r w:rsidR="00B95034" w:rsidRPr="00335D67">
        <w:rPr>
          <w:rFonts w:asciiTheme="minorHAnsi" w:hAnsiTheme="minorHAnsi"/>
        </w:rPr>
        <w:t>lub wielostronnej kompensaty albo w inny dowoln</w:t>
      </w:r>
      <w:r w:rsidR="002B2186" w:rsidRPr="00335D67">
        <w:rPr>
          <w:rFonts w:asciiTheme="minorHAnsi" w:hAnsiTheme="minorHAnsi"/>
        </w:rPr>
        <w:t>y sposób. Należy jednak pamiętać, że zapłata (bez względu na jej formę) musi być dokonana w całości w terminie określony</w:t>
      </w:r>
      <w:r w:rsidR="00887BF7" w:rsidRPr="00335D67">
        <w:rPr>
          <w:rFonts w:asciiTheme="minorHAnsi" w:hAnsiTheme="minorHAnsi"/>
        </w:rPr>
        <w:t>m</w:t>
      </w:r>
      <w:r w:rsidR="002B2186" w:rsidRPr="00335D67">
        <w:rPr>
          <w:rFonts w:asciiTheme="minorHAnsi" w:hAnsiTheme="minorHAnsi"/>
        </w:rPr>
        <w:t xml:space="preserve"> na fakturze. Istotne przy doborze formy płatności jest więc to, by możliwe było usta</w:t>
      </w:r>
      <w:r w:rsidR="00887BF7" w:rsidRPr="00335D67">
        <w:rPr>
          <w:rFonts w:asciiTheme="minorHAnsi" w:hAnsiTheme="minorHAnsi"/>
        </w:rPr>
        <w:t xml:space="preserve">lenie, </w:t>
      </w:r>
      <w:r w:rsidR="00887BF7" w:rsidRPr="00335D67">
        <w:rPr>
          <w:rFonts w:asciiTheme="minorHAnsi" w:hAnsiTheme="minorHAnsi"/>
        </w:rPr>
        <w:br/>
        <w:t>ż</w:t>
      </w:r>
      <w:r w:rsidR="002B2186" w:rsidRPr="00335D67">
        <w:rPr>
          <w:rFonts w:asciiTheme="minorHAnsi" w:hAnsiTheme="minorHAnsi"/>
        </w:rPr>
        <w:t>e wierzytelność sprzedawcy s</w:t>
      </w:r>
      <w:r w:rsidR="00887BF7" w:rsidRPr="00335D67">
        <w:rPr>
          <w:rFonts w:asciiTheme="minorHAnsi" w:hAnsiTheme="minorHAnsi"/>
        </w:rPr>
        <w:t xml:space="preserve">pełniającego warunki określone </w:t>
      </w:r>
      <w:r w:rsidR="002B2186" w:rsidRPr="00335D67">
        <w:rPr>
          <w:rFonts w:asciiTheme="minorHAnsi" w:hAnsiTheme="minorHAnsi"/>
        </w:rPr>
        <w:t xml:space="preserve">w art. 22 ust. 1 </w:t>
      </w:r>
      <w:r w:rsidR="00887BF7" w:rsidRPr="00335D67">
        <w:rPr>
          <w:rFonts w:asciiTheme="minorHAnsi" w:hAnsiTheme="minorHAnsi"/>
        </w:rPr>
        <w:br/>
      </w:r>
      <w:r w:rsidR="002B2186" w:rsidRPr="00335D67">
        <w:rPr>
          <w:rFonts w:asciiTheme="minorHAnsi" w:hAnsiTheme="minorHAnsi"/>
        </w:rPr>
        <w:t xml:space="preserve">ustawy o rehabilitacji została dokonana w pełnej wysokości i w terminie </w:t>
      </w:r>
      <w:r w:rsidR="00887BF7" w:rsidRPr="00335D67">
        <w:rPr>
          <w:rFonts w:asciiTheme="minorHAnsi" w:hAnsiTheme="minorHAnsi"/>
        </w:rPr>
        <w:t>widniejąc</w:t>
      </w:r>
      <w:r w:rsidR="002B2186" w:rsidRPr="00335D67">
        <w:rPr>
          <w:rFonts w:asciiTheme="minorHAnsi" w:hAnsiTheme="minorHAnsi"/>
        </w:rPr>
        <w:t xml:space="preserve">ym na fakturze. </w:t>
      </w:r>
      <w:r w:rsidR="00025BE0" w:rsidRPr="00335D67">
        <w:rPr>
          <w:rFonts w:asciiTheme="minorHAnsi" w:hAnsiTheme="minorHAnsi"/>
        </w:rPr>
        <w:t xml:space="preserve">Niespełnienie któregoś z </w:t>
      </w:r>
      <w:r w:rsidR="00887BF7" w:rsidRPr="00335D67">
        <w:rPr>
          <w:rFonts w:asciiTheme="minorHAnsi" w:hAnsiTheme="minorHAnsi"/>
        </w:rPr>
        <w:t>tych warunków</w:t>
      </w:r>
      <w:r w:rsidR="00025BE0" w:rsidRPr="00335D67">
        <w:rPr>
          <w:rFonts w:asciiTheme="minorHAnsi" w:hAnsiTheme="minorHAnsi"/>
        </w:rPr>
        <w:t xml:space="preserve"> powoduje brak możliwości nabycia prawa do obniżenia. Natomiast samo nabycie prawa do obniżenia następuje z dniem otrzymania przez nabywcę informacji o kwocie obniżenia wpłat na PFRON. </w:t>
      </w:r>
    </w:p>
    <w:p w:rsidR="00645D9E" w:rsidRPr="00335D67" w:rsidRDefault="00645D9E" w:rsidP="006276CC">
      <w:pPr>
        <w:spacing w:after="0" w:line="360" w:lineRule="auto"/>
        <w:jc w:val="both"/>
        <w:rPr>
          <w:color w:val="000000"/>
          <w:sz w:val="24"/>
          <w:szCs w:val="24"/>
        </w:rPr>
      </w:pPr>
      <w:r w:rsidRPr="00335D67">
        <w:rPr>
          <w:color w:val="000000"/>
          <w:sz w:val="24"/>
          <w:szCs w:val="24"/>
        </w:rPr>
        <w:t xml:space="preserve">Stosownie do </w:t>
      </w:r>
      <w:r w:rsidRPr="00335D67">
        <w:rPr>
          <w:color w:val="1B1B1B"/>
          <w:sz w:val="24"/>
          <w:szCs w:val="24"/>
        </w:rPr>
        <w:t>art. 509 § 1</w:t>
      </w:r>
      <w:r w:rsidRPr="00335D67">
        <w:rPr>
          <w:color w:val="000000"/>
          <w:sz w:val="24"/>
          <w:szCs w:val="24"/>
        </w:rPr>
        <w:t xml:space="preserve"> Kodeksu cywilnego, wierzyciel może bez zgody dłużnika przenieść wierzytelność na osobę trzecią (przelew), chyba że sprzeciwiałoby się to ustawie, zastrzeżeniu umownemu albo właściwości zobowiązania. W nauce prawa oraz orzecznictwie nie ma wątpliwości co do tego, że przedmiotem przelewu mogą być zarówno wierzytelności </w:t>
      </w:r>
      <w:r w:rsidRPr="00335D67">
        <w:rPr>
          <w:color w:val="000000"/>
          <w:sz w:val="24"/>
          <w:szCs w:val="24"/>
        </w:rPr>
        <w:lastRenderedPageBreak/>
        <w:t xml:space="preserve">istniejące, jak i przyszłe. Co do tych ostatnich podkreśla się ich niejednorodny charakter, wskazując, że należą do nich wierzytelności z czynności prawnych dokonanych pod warunkiem zawieszającym lub z zastrzeżeniem terminu, wierzytelności, u których podłoża leży częściowo tylko zrealizowany stan faktyczny uzasadniający jej powstanie </w:t>
      </w:r>
      <w:r w:rsidR="002B2186" w:rsidRPr="00335D67">
        <w:rPr>
          <w:color w:val="000000"/>
          <w:sz w:val="24"/>
          <w:szCs w:val="24"/>
        </w:rPr>
        <w:br/>
      </w:r>
      <w:r w:rsidRPr="00335D67">
        <w:rPr>
          <w:color w:val="000000"/>
          <w:sz w:val="24"/>
          <w:szCs w:val="24"/>
        </w:rPr>
        <w:t xml:space="preserve">oraz wierzytelności, których powstanie jest w całości kwestią przyszłości (nadzieja </w:t>
      </w:r>
      <w:r w:rsidR="00887BF7" w:rsidRPr="00335D67">
        <w:rPr>
          <w:color w:val="000000"/>
          <w:sz w:val="24"/>
          <w:szCs w:val="24"/>
        </w:rPr>
        <w:br/>
      </w:r>
      <w:r w:rsidRPr="00335D67">
        <w:rPr>
          <w:color w:val="000000"/>
          <w:sz w:val="24"/>
          <w:szCs w:val="24"/>
        </w:rPr>
        <w:t>na powstanie wierzytelności). Podkreśla się także, że wierzytelność wskazana w umowie przelewu wierzytelności przyszłej, zostaje przeniesiona na cesjonariusza dopiero z chwil</w:t>
      </w:r>
      <w:r w:rsidR="00887BF7" w:rsidRPr="00335D67">
        <w:rPr>
          <w:color w:val="000000"/>
          <w:sz w:val="24"/>
          <w:szCs w:val="24"/>
        </w:rPr>
        <w:t>ą</w:t>
      </w:r>
      <w:r w:rsidRPr="00335D67">
        <w:rPr>
          <w:color w:val="000000"/>
          <w:sz w:val="24"/>
          <w:szCs w:val="24"/>
        </w:rPr>
        <w:t xml:space="preserve"> </w:t>
      </w:r>
      <w:r w:rsidR="00887BF7" w:rsidRPr="00335D67">
        <w:rPr>
          <w:color w:val="000000"/>
          <w:sz w:val="24"/>
          <w:szCs w:val="24"/>
        </w:rPr>
        <w:br/>
      </w:r>
      <w:r w:rsidRPr="00335D67">
        <w:rPr>
          <w:color w:val="000000"/>
          <w:sz w:val="24"/>
          <w:szCs w:val="24"/>
        </w:rPr>
        <w:t xml:space="preserve">jej powstania, zatem skutek rozporządzający nie następuje w chwili zawarcia umowy cesji (wyrok Sądu Najwyższego z dnia 8 sierpnia 2003 r., </w:t>
      </w:r>
      <w:r w:rsidRPr="00335D67">
        <w:rPr>
          <w:color w:val="1B1B1B"/>
          <w:sz w:val="24"/>
          <w:szCs w:val="24"/>
        </w:rPr>
        <w:t>V CK 169/02</w:t>
      </w:r>
      <w:r w:rsidRPr="00335D67">
        <w:rPr>
          <w:color w:val="000000"/>
          <w:sz w:val="24"/>
          <w:szCs w:val="24"/>
        </w:rPr>
        <w:t>,</w:t>
      </w:r>
      <w:r w:rsidRPr="00335D67">
        <w:rPr>
          <w:sz w:val="24"/>
          <w:szCs w:val="24"/>
        </w:rPr>
        <w:t xml:space="preserve"> </w:t>
      </w:r>
      <w:r w:rsidRPr="00335D67">
        <w:rPr>
          <w:color w:val="000000"/>
          <w:sz w:val="24"/>
          <w:szCs w:val="24"/>
        </w:rPr>
        <w:t xml:space="preserve"> z dnia 9 sierpnia 2005 r., </w:t>
      </w:r>
      <w:r w:rsidR="006276CC" w:rsidRPr="00335D67">
        <w:rPr>
          <w:color w:val="000000"/>
          <w:sz w:val="24"/>
          <w:szCs w:val="24"/>
        </w:rPr>
        <w:br/>
      </w:r>
      <w:r w:rsidRPr="00335D67">
        <w:rPr>
          <w:color w:val="1B1B1B"/>
          <w:sz w:val="24"/>
          <w:szCs w:val="24"/>
        </w:rPr>
        <w:t>IV CK 157/05</w:t>
      </w:r>
      <w:r w:rsidRPr="00335D67">
        <w:rPr>
          <w:color w:val="000000"/>
          <w:sz w:val="24"/>
          <w:szCs w:val="24"/>
        </w:rPr>
        <w:t xml:space="preserve"> i z dnia 26 września 2002 r., </w:t>
      </w:r>
      <w:r w:rsidRPr="00335D67">
        <w:rPr>
          <w:color w:val="1B1B1B"/>
          <w:sz w:val="24"/>
          <w:szCs w:val="24"/>
        </w:rPr>
        <w:t>III CKN 346/01</w:t>
      </w:r>
      <w:r w:rsidRPr="00335D67">
        <w:rPr>
          <w:color w:val="000000"/>
          <w:sz w:val="24"/>
          <w:szCs w:val="24"/>
        </w:rPr>
        <w:t>).</w:t>
      </w:r>
    </w:p>
    <w:p w:rsidR="00D95EAD" w:rsidRPr="00335D67" w:rsidRDefault="00D95EAD" w:rsidP="006276CC">
      <w:pPr>
        <w:spacing w:after="0" w:line="360" w:lineRule="auto"/>
        <w:jc w:val="both"/>
        <w:rPr>
          <w:sz w:val="24"/>
          <w:szCs w:val="24"/>
        </w:rPr>
      </w:pPr>
      <w:r w:rsidRPr="00335D67">
        <w:rPr>
          <w:color w:val="000000"/>
          <w:sz w:val="24"/>
          <w:szCs w:val="24"/>
        </w:rPr>
        <w:t xml:space="preserve">Należy wskazać, </w:t>
      </w:r>
      <w:r w:rsidR="005B5F03" w:rsidRPr="00335D67">
        <w:rPr>
          <w:color w:val="000000"/>
          <w:sz w:val="24"/>
          <w:szCs w:val="24"/>
        </w:rPr>
        <w:t>ż</w:t>
      </w:r>
      <w:r w:rsidRPr="00335D67">
        <w:rPr>
          <w:color w:val="000000"/>
          <w:sz w:val="24"/>
          <w:szCs w:val="24"/>
        </w:rPr>
        <w:t xml:space="preserve">e celem i skutkiem cesji jest przejście wierzytelności na nabywcę i utrata jej przez cedenta – zbywcę. Przelew powoduje więc, ze cedent przestaje być wierzycielem, </w:t>
      </w:r>
      <w:r w:rsidR="00A635B7" w:rsidRPr="00335D67">
        <w:rPr>
          <w:color w:val="000000"/>
          <w:sz w:val="24"/>
          <w:szCs w:val="24"/>
        </w:rPr>
        <w:br/>
      </w:r>
      <w:r w:rsidRPr="00335D67">
        <w:rPr>
          <w:color w:val="000000"/>
          <w:sz w:val="24"/>
          <w:szCs w:val="24"/>
        </w:rPr>
        <w:t>a staje się nim cesjonariusz. Dotychczasowy wierzyciel zostaje wył</w:t>
      </w:r>
      <w:r w:rsidR="00A635B7" w:rsidRPr="00335D67">
        <w:rPr>
          <w:color w:val="000000"/>
          <w:sz w:val="24"/>
          <w:szCs w:val="24"/>
        </w:rPr>
        <w:t>ą</w:t>
      </w:r>
      <w:r w:rsidRPr="00335D67">
        <w:rPr>
          <w:color w:val="000000"/>
          <w:sz w:val="24"/>
          <w:szCs w:val="24"/>
        </w:rPr>
        <w:t>czony ze stosunku zobowiązanego</w:t>
      </w:r>
      <w:r w:rsidR="00A635B7" w:rsidRPr="00335D67">
        <w:rPr>
          <w:color w:val="000000"/>
          <w:sz w:val="24"/>
          <w:szCs w:val="24"/>
        </w:rPr>
        <w:t xml:space="preserve">, jaki go wiązał z dłużnikiem. Cesjonariusz nabywa wierzytelność w takim zakresie i stanie, w jakim znajdowała się </w:t>
      </w:r>
      <w:r w:rsidR="005B5F03" w:rsidRPr="00335D67">
        <w:rPr>
          <w:color w:val="000000"/>
          <w:sz w:val="24"/>
          <w:szCs w:val="24"/>
        </w:rPr>
        <w:t>ona w chwili dokonania przelewu</w:t>
      </w:r>
      <w:r w:rsidR="00A635B7" w:rsidRPr="00335D67">
        <w:rPr>
          <w:color w:val="000000"/>
          <w:sz w:val="24"/>
          <w:szCs w:val="24"/>
        </w:rPr>
        <w:t xml:space="preserve">. Zmienia się tylko osoba wierzyciela, czyli osoby uprawnionej do zadania spełnienia świadczenia. Innymi słowy, stosunek zobowiązaniowy nie ulega zmianie, natomiast zmienia się osoba uczestnicząca </w:t>
      </w:r>
      <w:r w:rsidR="002B2186" w:rsidRPr="00335D67">
        <w:rPr>
          <w:color w:val="000000"/>
          <w:sz w:val="24"/>
          <w:szCs w:val="24"/>
        </w:rPr>
        <w:br/>
      </w:r>
      <w:r w:rsidR="007C4851" w:rsidRPr="00335D67">
        <w:rPr>
          <w:color w:val="000000"/>
          <w:sz w:val="24"/>
          <w:szCs w:val="24"/>
        </w:rPr>
        <w:t xml:space="preserve">w nim po stronie wierzyciela (wyrok Sądu Najwyższego z dnia 5 września 2001r., I CKN 379/00). W literaturze przedmiotu podkreśla się, ze przelew wierzytelności nie powoduje zmiany </w:t>
      </w:r>
      <w:r w:rsidR="00CF4DFF" w:rsidRPr="00335D67">
        <w:rPr>
          <w:color w:val="000000"/>
          <w:sz w:val="24"/>
          <w:szCs w:val="24"/>
        </w:rPr>
        <w:t>zobowiązania i nie może pogorszyć sytuacji dłużnika. Dłużnik dalej ma obowiązek świadczenia tylko tego, do czego był zobowiązany w stosunku do zbywcy</w:t>
      </w:r>
      <w:r w:rsidR="00147204" w:rsidRPr="00335D67">
        <w:rPr>
          <w:color w:val="000000"/>
          <w:sz w:val="24"/>
          <w:szCs w:val="24"/>
        </w:rPr>
        <w:t xml:space="preserve"> </w:t>
      </w:r>
      <w:r w:rsidR="00147204" w:rsidRPr="00335D67">
        <w:rPr>
          <w:sz w:val="24"/>
          <w:szCs w:val="24"/>
        </w:rPr>
        <w:t xml:space="preserve">(H. Ciepła </w:t>
      </w:r>
      <w:r w:rsidR="002B2186" w:rsidRPr="00335D67">
        <w:rPr>
          <w:sz w:val="24"/>
          <w:szCs w:val="24"/>
        </w:rPr>
        <w:br/>
      </w:r>
      <w:r w:rsidR="00147204" w:rsidRPr="00335D67">
        <w:rPr>
          <w:sz w:val="24"/>
          <w:szCs w:val="24"/>
        </w:rPr>
        <w:t xml:space="preserve">(w:) </w:t>
      </w:r>
      <w:r w:rsidR="00147204" w:rsidRPr="00335D67">
        <w:rPr>
          <w:rStyle w:val="Uwydatnienie"/>
          <w:sz w:val="24"/>
          <w:szCs w:val="24"/>
        </w:rPr>
        <w:t xml:space="preserve">Komentarz do kodeksu cywilnego, </w:t>
      </w:r>
      <w:r w:rsidR="00147204" w:rsidRPr="00335D67">
        <w:rPr>
          <w:sz w:val="24"/>
          <w:szCs w:val="24"/>
        </w:rPr>
        <w:t xml:space="preserve">s. 587; B. Łubkowski (w:) </w:t>
      </w:r>
      <w:r w:rsidR="00147204" w:rsidRPr="00335D67">
        <w:rPr>
          <w:rStyle w:val="Uwydatnienie"/>
          <w:sz w:val="24"/>
          <w:szCs w:val="24"/>
        </w:rPr>
        <w:t>Kodeks cywilny – komentarz,</w:t>
      </w:r>
      <w:r w:rsidR="00147204" w:rsidRPr="00335D67">
        <w:rPr>
          <w:sz w:val="24"/>
          <w:szCs w:val="24"/>
        </w:rPr>
        <w:t xml:space="preserve"> </w:t>
      </w:r>
      <w:r w:rsidR="002B2186" w:rsidRPr="00335D67">
        <w:rPr>
          <w:sz w:val="24"/>
          <w:szCs w:val="24"/>
        </w:rPr>
        <w:br/>
      </w:r>
      <w:r w:rsidR="00147204" w:rsidRPr="00335D67">
        <w:rPr>
          <w:sz w:val="24"/>
          <w:szCs w:val="24"/>
        </w:rPr>
        <w:t>s. 1220).</w:t>
      </w:r>
    </w:p>
    <w:p w:rsidR="00147204" w:rsidRPr="00335D67" w:rsidRDefault="00147204" w:rsidP="006276CC">
      <w:pPr>
        <w:spacing w:after="0" w:line="360" w:lineRule="auto"/>
        <w:jc w:val="both"/>
        <w:rPr>
          <w:sz w:val="24"/>
          <w:szCs w:val="24"/>
        </w:rPr>
      </w:pPr>
      <w:r w:rsidRPr="00335D67">
        <w:rPr>
          <w:sz w:val="24"/>
          <w:szCs w:val="24"/>
        </w:rPr>
        <w:t>Ponadto z treści art. 512 Kodeksu cywilnego wynika, że dopóki zbywca nie zawiadomił dłużnika o przelewie, spełnienie świadczenia do rąk poprzedniego wierzyciela ma skutek względem nabywcy, chyba, ze w chwili spełnienia świadczenia dłużnik wiedział o przelewie (uchwała Sądu Najwyższego z dnia 26 lutego 2014 r., syg</w:t>
      </w:r>
      <w:r w:rsidR="005B5F03" w:rsidRPr="00335D67">
        <w:rPr>
          <w:sz w:val="24"/>
          <w:szCs w:val="24"/>
        </w:rPr>
        <w:t xml:space="preserve">n. akt III CZP 110/13). A </w:t>
      </w:r>
      <w:proofErr w:type="spellStart"/>
      <w:r w:rsidR="005B5F03" w:rsidRPr="00335D67">
        <w:rPr>
          <w:sz w:val="24"/>
          <w:szCs w:val="24"/>
        </w:rPr>
        <w:t>contr</w:t>
      </w:r>
      <w:r w:rsidRPr="00335D67">
        <w:rPr>
          <w:sz w:val="24"/>
          <w:szCs w:val="24"/>
        </w:rPr>
        <w:t>ario</w:t>
      </w:r>
      <w:proofErr w:type="spellEnd"/>
      <w:r w:rsidRPr="00335D67">
        <w:rPr>
          <w:sz w:val="24"/>
          <w:szCs w:val="24"/>
        </w:rPr>
        <w:t xml:space="preserve"> – od momentu zawiadomienia dłużnika o zmianie wierzyciela powstaje obowią</w:t>
      </w:r>
      <w:r w:rsidR="005B5F03" w:rsidRPr="00335D67">
        <w:rPr>
          <w:sz w:val="24"/>
          <w:szCs w:val="24"/>
        </w:rPr>
        <w:t>zek spełnienia świadczenia do rą</w:t>
      </w:r>
      <w:r w:rsidRPr="00335D67">
        <w:rPr>
          <w:sz w:val="24"/>
          <w:szCs w:val="24"/>
        </w:rPr>
        <w:t xml:space="preserve">k podmiotu wskazanego przez dotychczasowego wierzyciela. </w:t>
      </w:r>
    </w:p>
    <w:p w:rsidR="00147204" w:rsidRPr="00335D67" w:rsidRDefault="00147204" w:rsidP="006276CC">
      <w:pPr>
        <w:spacing w:after="0" w:line="360" w:lineRule="auto"/>
        <w:jc w:val="both"/>
        <w:rPr>
          <w:sz w:val="24"/>
          <w:szCs w:val="24"/>
        </w:rPr>
      </w:pPr>
      <w:r w:rsidRPr="00335D67">
        <w:rPr>
          <w:sz w:val="24"/>
          <w:szCs w:val="24"/>
        </w:rPr>
        <w:t>Należy więc uznać</w:t>
      </w:r>
      <w:r w:rsidR="003E4066" w:rsidRPr="00335D67">
        <w:rPr>
          <w:sz w:val="24"/>
          <w:szCs w:val="24"/>
        </w:rPr>
        <w:t xml:space="preserve">, że stosunek prawny łączący strony umowy factoringu oraz ich wzajemne rozliczenia stanowią realizację zasady swobody umów. Wywiązanie się ze zobowiązania przez kupującego poprzez terminowe uregulowanie płatności na rzecz podmiotu wskazanego </w:t>
      </w:r>
      <w:r w:rsidR="003E4066" w:rsidRPr="00335D67">
        <w:rPr>
          <w:sz w:val="24"/>
          <w:szCs w:val="24"/>
        </w:rPr>
        <w:lastRenderedPageBreak/>
        <w:t>przez sprzedającego</w:t>
      </w:r>
      <w:r w:rsidR="00664D47" w:rsidRPr="00335D67">
        <w:rPr>
          <w:sz w:val="24"/>
          <w:szCs w:val="24"/>
        </w:rPr>
        <w:t xml:space="preserve">, jest dopuszczalnym prawnie sposobem regulowania płatności uprawniającym do wystawienia informacji o kwocie obniżenia. </w:t>
      </w:r>
      <w:r w:rsidR="003E4066" w:rsidRPr="00335D67">
        <w:rPr>
          <w:sz w:val="24"/>
          <w:szCs w:val="24"/>
        </w:rPr>
        <w:t xml:space="preserve"> </w:t>
      </w:r>
    </w:p>
    <w:p w:rsidR="006F7BA7" w:rsidRPr="00335D67" w:rsidRDefault="006F7BA7" w:rsidP="006276CC">
      <w:pPr>
        <w:spacing w:after="0" w:line="360" w:lineRule="auto"/>
        <w:jc w:val="both"/>
        <w:rPr>
          <w:rFonts w:cs="Arial"/>
          <w:sz w:val="24"/>
          <w:szCs w:val="24"/>
        </w:rPr>
      </w:pPr>
      <w:r w:rsidRPr="00335D67">
        <w:rPr>
          <w:rFonts w:cs="Arial"/>
          <w:sz w:val="24"/>
          <w:szCs w:val="24"/>
        </w:rPr>
        <w:t>Należy jednak zwrócić uwagę na to, że obowiązki sprzedającego okre</w:t>
      </w:r>
      <w:r w:rsidR="00044B91" w:rsidRPr="00335D67">
        <w:rPr>
          <w:rFonts w:cs="Arial"/>
          <w:sz w:val="24"/>
          <w:szCs w:val="24"/>
        </w:rPr>
        <w:t>ś</w:t>
      </w:r>
      <w:r w:rsidRPr="00335D67">
        <w:rPr>
          <w:rFonts w:cs="Arial"/>
          <w:sz w:val="24"/>
          <w:szCs w:val="24"/>
        </w:rPr>
        <w:t>l</w:t>
      </w:r>
      <w:r w:rsidR="00044B91" w:rsidRPr="00335D67">
        <w:rPr>
          <w:rFonts w:cs="Arial"/>
          <w:sz w:val="24"/>
          <w:szCs w:val="24"/>
        </w:rPr>
        <w:t>o</w:t>
      </w:r>
      <w:r w:rsidRPr="00335D67">
        <w:rPr>
          <w:rFonts w:cs="Arial"/>
          <w:sz w:val="24"/>
          <w:szCs w:val="24"/>
        </w:rPr>
        <w:t xml:space="preserve">ne w art. 22 i 22b ustawy o rehabilitacji nie przechodzą na faktora. </w:t>
      </w:r>
      <w:r w:rsidR="00941D1F" w:rsidRPr="00335D67">
        <w:rPr>
          <w:rFonts w:cs="Arial"/>
          <w:sz w:val="24"/>
          <w:szCs w:val="24"/>
        </w:rPr>
        <w:t xml:space="preserve">Tylko sprzedający jest uprawniony </w:t>
      </w:r>
      <w:r w:rsidR="000B5E2B" w:rsidRPr="00335D67">
        <w:rPr>
          <w:rFonts w:cs="Arial"/>
          <w:sz w:val="24"/>
          <w:szCs w:val="24"/>
        </w:rPr>
        <w:br/>
      </w:r>
      <w:r w:rsidR="00941D1F" w:rsidRPr="00335D67">
        <w:rPr>
          <w:rFonts w:cs="Arial"/>
          <w:sz w:val="24"/>
          <w:szCs w:val="24"/>
        </w:rPr>
        <w:t xml:space="preserve">do wystawienie informacji o kwocie obniżenia wpłat w przypadku uregulowania </w:t>
      </w:r>
      <w:r w:rsidR="000B5E2B" w:rsidRPr="00335D67">
        <w:rPr>
          <w:rFonts w:cs="Arial"/>
          <w:sz w:val="24"/>
          <w:szCs w:val="24"/>
        </w:rPr>
        <w:t>należności za zakup usługi lub produkcji w wysokości i terminie wynikającym z faktury.</w:t>
      </w:r>
      <w:r w:rsidR="00941D1F" w:rsidRPr="00335D67">
        <w:rPr>
          <w:rFonts w:cs="Arial"/>
          <w:sz w:val="24"/>
          <w:szCs w:val="24"/>
        </w:rPr>
        <w:t xml:space="preserve"> </w:t>
      </w:r>
    </w:p>
    <w:p w:rsidR="006276CC" w:rsidRPr="00335D67" w:rsidRDefault="006276CC" w:rsidP="006276CC">
      <w:pPr>
        <w:pStyle w:val="Tekstpodstawowy"/>
        <w:jc w:val="both"/>
        <w:rPr>
          <w:rFonts w:asciiTheme="minorHAnsi" w:hAnsiTheme="minorHAnsi" w:cs="Arial"/>
        </w:rPr>
      </w:pPr>
    </w:p>
    <w:p w:rsidR="00F8478F" w:rsidRPr="00335D67" w:rsidRDefault="00F8478F" w:rsidP="006276CC">
      <w:pPr>
        <w:pStyle w:val="Tekstpodstawowy"/>
        <w:jc w:val="both"/>
        <w:rPr>
          <w:rFonts w:asciiTheme="minorHAnsi" w:hAnsiTheme="minorHAnsi"/>
        </w:rPr>
      </w:pPr>
      <w:r w:rsidRPr="00335D67">
        <w:rPr>
          <w:rFonts w:asciiTheme="minorHAnsi" w:hAnsiTheme="minorHAnsi" w:cs="Arial"/>
        </w:rPr>
        <w:t xml:space="preserve">Mając powyższe na uwadze, stanowisko </w:t>
      </w:r>
      <w:r w:rsidR="00EB3B73">
        <w:rPr>
          <w:rFonts w:asciiTheme="minorHAnsi" w:hAnsiTheme="minorHAnsi" w:cs="Arial"/>
        </w:rPr>
        <w:t>XXXXXXXXX</w:t>
      </w:r>
      <w:r w:rsidR="008A2802" w:rsidRPr="00335D67">
        <w:rPr>
          <w:rFonts w:asciiTheme="minorHAnsi" w:hAnsiTheme="minorHAnsi" w:cs="Arial"/>
        </w:rPr>
        <w:t xml:space="preserve"> Spółki z o.o. z siedzibą </w:t>
      </w:r>
      <w:r w:rsidR="00A13535" w:rsidRPr="00335D67">
        <w:rPr>
          <w:rFonts w:asciiTheme="minorHAnsi" w:hAnsiTheme="minorHAnsi" w:cs="Arial"/>
        </w:rPr>
        <w:br/>
      </w:r>
      <w:r w:rsidR="00810C83" w:rsidRPr="00335D67">
        <w:rPr>
          <w:rFonts w:asciiTheme="minorHAnsi" w:hAnsiTheme="minorHAnsi" w:cs="Arial"/>
        </w:rPr>
        <w:t>w</w:t>
      </w:r>
      <w:r w:rsidR="006F7BA7" w:rsidRPr="00335D67">
        <w:rPr>
          <w:rFonts w:asciiTheme="minorHAnsi" w:hAnsiTheme="minorHAnsi" w:cs="Arial"/>
        </w:rPr>
        <w:t>e</w:t>
      </w:r>
      <w:r w:rsidR="00810C83" w:rsidRPr="00335D67">
        <w:rPr>
          <w:rFonts w:asciiTheme="minorHAnsi" w:hAnsiTheme="minorHAnsi" w:cs="Arial"/>
        </w:rPr>
        <w:t xml:space="preserve"> </w:t>
      </w:r>
      <w:r w:rsidR="00EB3B73">
        <w:rPr>
          <w:rFonts w:asciiTheme="minorHAnsi" w:hAnsiTheme="minorHAnsi" w:cs="Arial"/>
        </w:rPr>
        <w:t>XXXXXXXXX</w:t>
      </w:r>
      <w:r w:rsidR="008A2802" w:rsidRPr="00335D67">
        <w:rPr>
          <w:rFonts w:asciiTheme="minorHAnsi" w:hAnsiTheme="minorHAnsi" w:cs="Arial"/>
        </w:rPr>
        <w:t xml:space="preserve"> </w:t>
      </w:r>
      <w:r w:rsidRPr="00335D67">
        <w:rPr>
          <w:rFonts w:asciiTheme="minorHAnsi" w:hAnsiTheme="minorHAnsi" w:cs="Arial"/>
        </w:rPr>
        <w:t xml:space="preserve">wyrażone w piśmie z dnia </w:t>
      </w:r>
      <w:r w:rsidR="008A2802" w:rsidRPr="00335D67">
        <w:rPr>
          <w:rFonts w:asciiTheme="minorHAnsi" w:hAnsiTheme="minorHAnsi" w:cs="Arial"/>
        </w:rPr>
        <w:t>2</w:t>
      </w:r>
      <w:r w:rsidR="006F7BA7" w:rsidRPr="00335D67">
        <w:rPr>
          <w:rFonts w:asciiTheme="minorHAnsi" w:hAnsiTheme="minorHAnsi" w:cs="Arial"/>
        </w:rPr>
        <w:t>4</w:t>
      </w:r>
      <w:r w:rsidRPr="00335D67">
        <w:rPr>
          <w:rFonts w:asciiTheme="minorHAnsi" w:hAnsiTheme="minorHAnsi" w:cs="Arial"/>
        </w:rPr>
        <w:t xml:space="preserve"> </w:t>
      </w:r>
      <w:r w:rsidR="006F7BA7" w:rsidRPr="00335D67">
        <w:rPr>
          <w:rFonts w:asciiTheme="minorHAnsi" w:hAnsiTheme="minorHAnsi" w:cs="Arial"/>
        </w:rPr>
        <w:t>kwietnia</w:t>
      </w:r>
      <w:r w:rsidR="00850D83" w:rsidRPr="00335D67">
        <w:rPr>
          <w:rFonts w:asciiTheme="minorHAnsi" w:hAnsiTheme="minorHAnsi" w:cs="Arial"/>
        </w:rPr>
        <w:t xml:space="preserve"> 2017</w:t>
      </w:r>
      <w:r w:rsidRPr="00335D67">
        <w:rPr>
          <w:rFonts w:asciiTheme="minorHAnsi" w:hAnsiTheme="minorHAnsi" w:cs="Arial"/>
        </w:rPr>
        <w:t xml:space="preserve"> r. </w:t>
      </w:r>
      <w:r w:rsidR="008A2802" w:rsidRPr="00335D67">
        <w:rPr>
          <w:rFonts w:asciiTheme="minorHAnsi" w:hAnsiTheme="minorHAnsi" w:cs="Arial"/>
        </w:rPr>
        <w:t xml:space="preserve">oraz jego uzupełnieniu </w:t>
      </w:r>
      <w:r w:rsidR="002B2186" w:rsidRPr="00335D67">
        <w:rPr>
          <w:rFonts w:asciiTheme="minorHAnsi" w:hAnsiTheme="minorHAnsi" w:cs="Arial"/>
        </w:rPr>
        <w:t>w</w:t>
      </w:r>
      <w:r w:rsidR="008A2802" w:rsidRPr="00335D67">
        <w:rPr>
          <w:rFonts w:asciiTheme="minorHAnsi" w:hAnsiTheme="minorHAnsi" w:cs="Arial"/>
        </w:rPr>
        <w:t xml:space="preserve"> dni</w:t>
      </w:r>
      <w:r w:rsidR="002B2186" w:rsidRPr="00335D67">
        <w:rPr>
          <w:rFonts w:asciiTheme="minorHAnsi" w:hAnsiTheme="minorHAnsi" w:cs="Arial"/>
        </w:rPr>
        <w:t>u</w:t>
      </w:r>
      <w:r w:rsidR="008A2802" w:rsidRPr="00335D67">
        <w:rPr>
          <w:rFonts w:asciiTheme="minorHAnsi" w:hAnsiTheme="minorHAnsi" w:cs="Arial"/>
        </w:rPr>
        <w:t xml:space="preserve"> </w:t>
      </w:r>
      <w:r w:rsidR="00A13535" w:rsidRPr="00335D67">
        <w:rPr>
          <w:rFonts w:asciiTheme="minorHAnsi" w:hAnsiTheme="minorHAnsi" w:cs="Arial"/>
        </w:rPr>
        <w:br/>
      </w:r>
      <w:r w:rsidR="006F7BA7" w:rsidRPr="00335D67">
        <w:rPr>
          <w:rFonts w:asciiTheme="minorHAnsi" w:hAnsiTheme="minorHAnsi" w:cs="Arial"/>
        </w:rPr>
        <w:t>10</w:t>
      </w:r>
      <w:r w:rsidR="008A2802" w:rsidRPr="00335D67">
        <w:rPr>
          <w:rFonts w:asciiTheme="minorHAnsi" w:hAnsiTheme="minorHAnsi" w:cs="Arial"/>
        </w:rPr>
        <w:t xml:space="preserve"> ma</w:t>
      </w:r>
      <w:r w:rsidR="006F7BA7" w:rsidRPr="00335D67">
        <w:rPr>
          <w:rFonts w:asciiTheme="minorHAnsi" w:hAnsiTheme="minorHAnsi" w:cs="Arial"/>
        </w:rPr>
        <w:t>ja</w:t>
      </w:r>
      <w:r w:rsidR="008A2802" w:rsidRPr="00335D67">
        <w:rPr>
          <w:rFonts w:asciiTheme="minorHAnsi" w:hAnsiTheme="minorHAnsi" w:cs="Arial"/>
        </w:rPr>
        <w:t xml:space="preserve"> 2017 r.</w:t>
      </w:r>
      <w:r w:rsidR="006F7BA7" w:rsidRPr="00335D67">
        <w:rPr>
          <w:rFonts w:asciiTheme="minorHAnsi" w:hAnsiTheme="minorHAnsi" w:cs="Arial"/>
        </w:rPr>
        <w:t xml:space="preserve"> i</w:t>
      </w:r>
      <w:r w:rsidR="002B2186" w:rsidRPr="00335D67">
        <w:rPr>
          <w:rFonts w:asciiTheme="minorHAnsi" w:hAnsiTheme="minorHAnsi" w:cs="Arial"/>
        </w:rPr>
        <w:t xml:space="preserve"> dniu</w:t>
      </w:r>
      <w:r w:rsidR="006F7BA7" w:rsidRPr="00335D67">
        <w:rPr>
          <w:rFonts w:asciiTheme="minorHAnsi" w:hAnsiTheme="minorHAnsi" w:cs="Arial"/>
        </w:rPr>
        <w:t xml:space="preserve"> 22 maja 2017r.</w:t>
      </w:r>
      <w:r w:rsidR="008A2802" w:rsidRPr="00335D67">
        <w:rPr>
          <w:rFonts w:asciiTheme="minorHAnsi" w:hAnsiTheme="minorHAnsi" w:cs="Arial"/>
        </w:rPr>
        <w:t xml:space="preserve">, </w:t>
      </w:r>
      <w:r w:rsidRPr="00335D67">
        <w:rPr>
          <w:rFonts w:asciiTheme="minorHAnsi" w:hAnsiTheme="minorHAnsi" w:cs="Arial"/>
        </w:rPr>
        <w:t xml:space="preserve">w sprawie pisemnej interpretacji </w:t>
      </w:r>
      <w:r w:rsidR="00785B3D" w:rsidRPr="00335D67">
        <w:rPr>
          <w:rFonts w:asciiTheme="minorHAnsi" w:hAnsiTheme="minorHAnsi" w:cs="Arial"/>
        </w:rPr>
        <w:t xml:space="preserve">co do zakresu </w:t>
      </w:r>
      <w:r w:rsidR="000B5E2B" w:rsidRPr="00335D67">
        <w:rPr>
          <w:rFonts w:asciiTheme="minorHAnsi" w:hAnsiTheme="minorHAnsi" w:cs="Arial"/>
        </w:rPr>
        <w:br/>
      </w:r>
      <w:r w:rsidR="00785B3D" w:rsidRPr="00335D67">
        <w:rPr>
          <w:rFonts w:asciiTheme="minorHAnsi" w:hAnsiTheme="minorHAnsi" w:cs="Arial"/>
        </w:rPr>
        <w:t xml:space="preserve">i sposobu zastosowania </w:t>
      </w:r>
      <w:r w:rsidRPr="00335D67">
        <w:rPr>
          <w:rFonts w:asciiTheme="minorHAnsi" w:hAnsiTheme="minorHAnsi" w:cs="Arial"/>
        </w:rPr>
        <w:t>przepisów art.</w:t>
      </w:r>
      <w:r w:rsidR="00850D83" w:rsidRPr="00335D67">
        <w:rPr>
          <w:rFonts w:asciiTheme="minorHAnsi" w:hAnsiTheme="minorHAnsi" w:cs="Arial"/>
        </w:rPr>
        <w:t xml:space="preserve"> </w:t>
      </w:r>
      <w:r w:rsidRPr="00335D67">
        <w:rPr>
          <w:rFonts w:asciiTheme="minorHAnsi" w:hAnsiTheme="minorHAnsi" w:cs="Arial"/>
        </w:rPr>
        <w:t>22</w:t>
      </w:r>
      <w:r w:rsidR="006276CC" w:rsidRPr="00335D67">
        <w:rPr>
          <w:rFonts w:asciiTheme="minorHAnsi" w:hAnsiTheme="minorHAnsi" w:cs="Arial"/>
        </w:rPr>
        <w:t xml:space="preserve"> ust. 2</w:t>
      </w:r>
      <w:r w:rsidRPr="00335D67">
        <w:rPr>
          <w:rFonts w:asciiTheme="minorHAnsi" w:hAnsiTheme="minorHAnsi" w:cs="Arial"/>
        </w:rPr>
        <w:t xml:space="preserve"> ustawy o rehabilitacji – </w:t>
      </w:r>
      <w:r w:rsidRPr="00335D67">
        <w:rPr>
          <w:rFonts w:asciiTheme="minorHAnsi" w:hAnsiTheme="minorHAnsi" w:cs="Arial"/>
          <w:b/>
        </w:rPr>
        <w:t>jest prawidłowe</w:t>
      </w:r>
      <w:r w:rsidRPr="00335D67">
        <w:rPr>
          <w:rFonts w:asciiTheme="minorHAnsi" w:hAnsiTheme="minorHAnsi" w:cs="Arial"/>
        </w:rPr>
        <w:t>.</w:t>
      </w:r>
    </w:p>
    <w:p w:rsidR="00F8478F" w:rsidRPr="00335D67" w:rsidRDefault="00F8478F" w:rsidP="006276CC">
      <w:pPr>
        <w:spacing w:after="0" w:line="360" w:lineRule="auto"/>
        <w:jc w:val="both"/>
        <w:rPr>
          <w:rFonts w:cs="Arial"/>
          <w:sz w:val="24"/>
          <w:szCs w:val="24"/>
        </w:rPr>
      </w:pPr>
      <w:r w:rsidRPr="00335D67">
        <w:rPr>
          <w:rFonts w:cs="Arial"/>
          <w:sz w:val="24"/>
          <w:szCs w:val="24"/>
        </w:rPr>
        <w:t>W związku z powyższym</w:t>
      </w:r>
      <w:r w:rsidR="003B2722" w:rsidRPr="00335D67">
        <w:rPr>
          <w:rFonts w:cs="Arial"/>
          <w:sz w:val="24"/>
          <w:szCs w:val="24"/>
        </w:rPr>
        <w:t>,</w:t>
      </w:r>
      <w:r w:rsidRPr="00335D67">
        <w:rPr>
          <w:rFonts w:cs="Arial"/>
          <w:sz w:val="24"/>
          <w:szCs w:val="24"/>
        </w:rPr>
        <w:t xml:space="preserve"> postanowiono jak w sentencji.</w:t>
      </w:r>
    </w:p>
    <w:p w:rsidR="006276CC" w:rsidRPr="00335D67" w:rsidRDefault="006276CC" w:rsidP="00F8478F">
      <w:pPr>
        <w:jc w:val="both"/>
        <w:rPr>
          <w:rFonts w:ascii="Calibri" w:hAnsi="Calibri" w:cs="Arial"/>
          <w:b/>
          <w:sz w:val="24"/>
          <w:szCs w:val="24"/>
        </w:rPr>
      </w:pPr>
    </w:p>
    <w:p w:rsidR="00F8478F" w:rsidRPr="00335D67" w:rsidRDefault="00F8478F" w:rsidP="00F8478F">
      <w:pPr>
        <w:jc w:val="both"/>
        <w:rPr>
          <w:rFonts w:ascii="Calibri" w:hAnsi="Calibri" w:cs="Arial"/>
          <w:b/>
          <w:sz w:val="24"/>
          <w:szCs w:val="24"/>
        </w:rPr>
      </w:pPr>
      <w:r w:rsidRPr="00335D67">
        <w:rPr>
          <w:rFonts w:ascii="Calibri" w:hAnsi="Calibri" w:cs="Arial"/>
          <w:b/>
          <w:sz w:val="24"/>
          <w:szCs w:val="24"/>
        </w:rPr>
        <w:t>Pouczenie:</w:t>
      </w:r>
    </w:p>
    <w:p w:rsidR="00521A88" w:rsidRPr="00335D67" w:rsidRDefault="00F8478F" w:rsidP="00335D67">
      <w:pPr>
        <w:pStyle w:val="NormalnyWeb"/>
        <w:spacing w:before="0" w:beforeAutospacing="0" w:after="0" w:afterAutospacing="0" w:line="360" w:lineRule="auto"/>
        <w:jc w:val="both"/>
        <w:rPr>
          <w:rFonts w:asciiTheme="minorHAnsi" w:hAnsiTheme="minorHAnsi"/>
        </w:rPr>
      </w:pPr>
      <w:r w:rsidRPr="00335D67">
        <w:rPr>
          <w:rFonts w:asciiTheme="minorHAnsi" w:hAnsiTheme="minorHAnsi" w:cs="Arial"/>
        </w:rPr>
        <w:t>Od niniejszej decyzji przysługuje Stronie, za pośrednictwem Prezesa Zarządu PFRON odwołanie do Ministra Rodziny, Pracy i Polityki Społecznej w terminie 14 dni od dnia jej doręczenia.</w:t>
      </w:r>
      <w:r w:rsidR="00521A88" w:rsidRPr="00335D67">
        <w:rPr>
          <w:rFonts w:asciiTheme="minorHAnsi" w:hAnsiTheme="minorHAnsi"/>
        </w:rPr>
        <w:t xml:space="preserve">  W trakcie biegu terminu do wniesienia odwołania Strona może zrzec się prawa do </w:t>
      </w:r>
      <w:r w:rsidR="008F4C33">
        <w:rPr>
          <w:rFonts w:asciiTheme="minorHAnsi" w:hAnsiTheme="minorHAnsi"/>
        </w:rPr>
        <w:t xml:space="preserve">jego </w:t>
      </w:r>
      <w:r w:rsidR="00521A88" w:rsidRPr="00335D67">
        <w:rPr>
          <w:rFonts w:asciiTheme="minorHAnsi" w:hAnsiTheme="minorHAnsi"/>
        </w:rPr>
        <w:t>wniesienia.</w:t>
      </w:r>
      <w:r w:rsidR="008F4C33">
        <w:rPr>
          <w:rFonts w:asciiTheme="minorHAnsi" w:hAnsiTheme="minorHAnsi"/>
        </w:rPr>
        <w:t xml:space="preserve"> </w:t>
      </w:r>
      <w:r w:rsidR="00521A88" w:rsidRPr="00335D67">
        <w:rPr>
          <w:rFonts w:asciiTheme="minorHAnsi" w:hAnsiTheme="minorHAnsi"/>
        </w:rPr>
        <w:t xml:space="preserve">Z dniem doręczenia </w:t>
      </w:r>
      <w:r w:rsidR="008F4C33">
        <w:rPr>
          <w:rFonts w:asciiTheme="minorHAnsi" w:hAnsiTheme="minorHAnsi" w:cs="Arial"/>
        </w:rPr>
        <w:t>Prezesowi</w:t>
      </w:r>
      <w:r w:rsidR="008F4C33" w:rsidRPr="00335D67">
        <w:rPr>
          <w:rFonts w:asciiTheme="minorHAnsi" w:hAnsiTheme="minorHAnsi" w:cs="Arial"/>
        </w:rPr>
        <w:t xml:space="preserve"> Zarządu PFRON</w:t>
      </w:r>
      <w:r w:rsidR="00521A88" w:rsidRPr="00335D67">
        <w:rPr>
          <w:rFonts w:asciiTheme="minorHAnsi" w:hAnsiTheme="minorHAnsi"/>
        </w:rPr>
        <w:t xml:space="preserve"> oświadczenia o zrzeczeniu się prawa do wniesienia odwołania przez ostatnią ze stron postępowania, decyzja staje się ostateczna i prawomocna.</w:t>
      </w:r>
    </w:p>
    <w:p w:rsidR="00893312" w:rsidRPr="00335D67" w:rsidRDefault="00893312" w:rsidP="00335D67">
      <w:pPr>
        <w:spacing w:after="0" w:line="360" w:lineRule="auto"/>
        <w:jc w:val="both"/>
      </w:pPr>
    </w:p>
    <w:sectPr w:rsidR="00893312" w:rsidRPr="00335D67" w:rsidSect="00ED38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3D" w:rsidRDefault="00836F3D" w:rsidP="007357CA">
      <w:pPr>
        <w:spacing w:after="0" w:line="240" w:lineRule="auto"/>
      </w:pPr>
      <w:r>
        <w:separator/>
      </w:r>
    </w:p>
  </w:endnote>
  <w:endnote w:type="continuationSeparator" w:id="0">
    <w:p w:rsidR="00836F3D" w:rsidRDefault="00836F3D" w:rsidP="0073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3E4066" w:rsidRDefault="00C0562C">
        <w:pPr>
          <w:pStyle w:val="Stopka"/>
          <w:jc w:val="center"/>
        </w:pPr>
        <w:fldSimple w:instr="PAGE   \* MERGEFORMAT">
          <w:r w:rsidR="00EB3B73">
            <w:rPr>
              <w:noProof/>
            </w:rPr>
            <w:t>6</w:t>
          </w:r>
        </w:fldSimple>
      </w:p>
    </w:sdtContent>
  </w:sdt>
  <w:p w:rsidR="003E4066" w:rsidRDefault="003E40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3D" w:rsidRDefault="00836F3D" w:rsidP="007357CA">
      <w:pPr>
        <w:spacing w:after="0" w:line="240" w:lineRule="auto"/>
      </w:pPr>
      <w:r>
        <w:separator/>
      </w:r>
    </w:p>
  </w:footnote>
  <w:footnote w:type="continuationSeparator" w:id="0">
    <w:p w:rsidR="00836F3D" w:rsidRDefault="00836F3D" w:rsidP="00735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0C"/>
    <w:multiLevelType w:val="hybridMultilevel"/>
    <w:tmpl w:val="1862DEFA"/>
    <w:lvl w:ilvl="0" w:tplc="0CCAF50A">
      <w:start w:val="1"/>
      <w:numFmt w:val="upperLetter"/>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
    <w:nsid w:val="179B3A2D"/>
    <w:multiLevelType w:val="hybridMultilevel"/>
    <w:tmpl w:val="3670B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142266"/>
    <w:multiLevelType w:val="hybridMultilevel"/>
    <w:tmpl w:val="A92C6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C92EAA"/>
    <w:multiLevelType w:val="hybridMultilevel"/>
    <w:tmpl w:val="E5883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CA162AB"/>
    <w:multiLevelType w:val="hybridMultilevel"/>
    <w:tmpl w:val="1FCC1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8B5772"/>
    <w:multiLevelType w:val="hybridMultilevel"/>
    <w:tmpl w:val="0C40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EC3F46"/>
    <w:multiLevelType w:val="hybridMultilevel"/>
    <w:tmpl w:val="55BA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2E5747"/>
    <w:multiLevelType w:val="hybridMultilevel"/>
    <w:tmpl w:val="239ED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242312"/>
    <w:multiLevelType w:val="hybridMultilevel"/>
    <w:tmpl w:val="5F721A0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
    <w:nsid w:val="7EB5345B"/>
    <w:multiLevelType w:val="hybridMultilevel"/>
    <w:tmpl w:val="9684A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5"/>
  </w:num>
  <w:num w:numId="7">
    <w:abstractNumId w:val="11"/>
  </w:num>
  <w:num w:numId="8">
    <w:abstractNumId w:val="3"/>
  </w:num>
  <w:num w:numId="9">
    <w:abstractNumId w:val="8"/>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8478F"/>
    <w:rsid w:val="00015BBF"/>
    <w:rsid w:val="000205FA"/>
    <w:rsid w:val="00025BE0"/>
    <w:rsid w:val="00044B91"/>
    <w:rsid w:val="0005480D"/>
    <w:rsid w:val="00084715"/>
    <w:rsid w:val="00095ED7"/>
    <w:rsid w:val="000B5E2B"/>
    <w:rsid w:val="0014481D"/>
    <w:rsid w:val="00146942"/>
    <w:rsid w:val="00147204"/>
    <w:rsid w:val="0015107F"/>
    <w:rsid w:val="00153F59"/>
    <w:rsid w:val="00160FDF"/>
    <w:rsid w:val="001718A3"/>
    <w:rsid w:val="001720AA"/>
    <w:rsid w:val="001A613A"/>
    <w:rsid w:val="001B3EE8"/>
    <w:rsid w:val="001C31C3"/>
    <w:rsid w:val="001E66C4"/>
    <w:rsid w:val="001F743D"/>
    <w:rsid w:val="00213911"/>
    <w:rsid w:val="00227050"/>
    <w:rsid w:val="002318D8"/>
    <w:rsid w:val="00296AD5"/>
    <w:rsid w:val="002B2186"/>
    <w:rsid w:val="002C1621"/>
    <w:rsid w:val="002D7A74"/>
    <w:rsid w:val="002E5DB1"/>
    <w:rsid w:val="003200AB"/>
    <w:rsid w:val="00335D67"/>
    <w:rsid w:val="003521F6"/>
    <w:rsid w:val="00360B95"/>
    <w:rsid w:val="0039163E"/>
    <w:rsid w:val="003B086A"/>
    <w:rsid w:val="003B2722"/>
    <w:rsid w:val="003E0044"/>
    <w:rsid w:val="003E4066"/>
    <w:rsid w:val="003F0630"/>
    <w:rsid w:val="003F372B"/>
    <w:rsid w:val="004203A8"/>
    <w:rsid w:val="00430E91"/>
    <w:rsid w:val="0046422C"/>
    <w:rsid w:val="00493753"/>
    <w:rsid w:val="004963C0"/>
    <w:rsid w:val="004B43ED"/>
    <w:rsid w:val="004C2D6C"/>
    <w:rsid w:val="004C6681"/>
    <w:rsid w:val="004D4A14"/>
    <w:rsid w:val="004E212C"/>
    <w:rsid w:val="004E5397"/>
    <w:rsid w:val="005047E3"/>
    <w:rsid w:val="005161BC"/>
    <w:rsid w:val="00517E1A"/>
    <w:rsid w:val="00521A88"/>
    <w:rsid w:val="00551541"/>
    <w:rsid w:val="0056769B"/>
    <w:rsid w:val="00576ACE"/>
    <w:rsid w:val="005A7A24"/>
    <w:rsid w:val="005B5F03"/>
    <w:rsid w:val="005D432D"/>
    <w:rsid w:val="005D697F"/>
    <w:rsid w:val="006012C7"/>
    <w:rsid w:val="006238FB"/>
    <w:rsid w:val="006276CC"/>
    <w:rsid w:val="00645D9E"/>
    <w:rsid w:val="0065520C"/>
    <w:rsid w:val="00661579"/>
    <w:rsid w:val="00661D67"/>
    <w:rsid w:val="00664D47"/>
    <w:rsid w:val="00665DB3"/>
    <w:rsid w:val="00682A24"/>
    <w:rsid w:val="006904E9"/>
    <w:rsid w:val="006B2A95"/>
    <w:rsid w:val="006B7857"/>
    <w:rsid w:val="006F5F79"/>
    <w:rsid w:val="006F7BA7"/>
    <w:rsid w:val="00723AC9"/>
    <w:rsid w:val="00727C4B"/>
    <w:rsid w:val="007337EE"/>
    <w:rsid w:val="007357CA"/>
    <w:rsid w:val="0073646A"/>
    <w:rsid w:val="007770E8"/>
    <w:rsid w:val="00785B3D"/>
    <w:rsid w:val="007A7936"/>
    <w:rsid w:val="007B7374"/>
    <w:rsid w:val="007C4851"/>
    <w:rsid w:val="007D6493"/>
    <w:rsid w:val="00810C83"/>
    <w:rsid w:val="00822052"/>
    <w:rsid w:val="00836F3D"/>
    <w:rsid w:val="0084237C"/>
    <w:rsid w:val="0084649D"/>
    <w:rsid w:val="00850D83"/>
    <w:rsid w:val="00862657"/>
    <w:rsid w:val="00862EDF"/>
    <w:rsid w:val="00867CD4"/>
    <w:rsid w:val="00887BF7"/>
    <w:rsid w:val="00893312"/>
    <w:rsid w:val="008934F0"/>
    <w:rsid w:val="008A0F48"/>
    <w:rsid w:val="008A2802"/>
    <w:rsid w:val="008B4905"/>
    <w:rsid w:val="008C5173"/>
    <w:rsid w:val="008F129C"/>
    <w:rsid w:val="008F4C33"/>
    <w:rsid w:val="009113BC"/>
    <w:rsid w:val="00941D1F"/>
    <w:rsid w:val="00962C56"/>
    <w:rsid w:val="009866E0"/>
    <w:rsid w:val="00991A86"/>
    <w:rsid w:val="00997E76"/>
    <w:rsid w:val="009A1AA0"/>
    <w:rsid w:val="009A43A4"/>
    <w:rsid w:val="009C3439"/>
    <w:rsid w:val="009E3596"/>
    <w:rsid w:val="00A13535"/>
    <w:rsid w:val="00A32101"/>
    <w:rsid w:val="00A37321"/>
    <w:rsid w:val="00A53064"/>
    <w:rsid w:val="00A635B7"/>
    <w:rsid w:val="00A84E1A"/>
    <w:rsid w:val="00A869CD"/>
    <w:rsid w:val="00A968DD"/>
    <w:rsid w:val="00AA436A"/>
    <w:rsid w:val="00AD1B1E"/>
    <w:rsid w:val="00AF093A"/>
    <w:rsid w:val="00B17262"/>
    <w:rsid w:val="00B36026"/>
    <w:rsid w:val="00B36BB4"/>
    <w:rsid w:val="00B84F9B"/>
    <w:rsid w:val="00B95034"/>
    <w:rsid w:val="00BA299C"/>
    <w:rsid w:val="00BB3730"/>
    <w:rsid w:val="00BC28C5"/>
    <w:rsid w:val="00BC3FAE"/>
    <w:rsid w:val="00BD1012"/>
    <w:rsid w:val="00BF52EC"/>
    <w:rsid w:val="00C0562C"/>
    <w:rsid w:val="00C1508A"/>
    <w:rsid w:val="00C17290"/>
    <w:rsid w:val="00C45FF0"/>
    <w:rsid w:val="00C60A68"/>
    <w:rsid w:val="00C82410"/>
    <w:rsid w:val="00C84A54"/>
    <w:rsid w:val="00C851D0"/>
    <w:rsid w:val="00C865C9"/>
    <w:rsid w:val="00C87FF6"/>
    <w:rsid w:val="00CC130B"/>
    <w:rsid w:val="00CD7087"/>
    <w:rsid w:val="00CE0933"/>
    <w:rsid w:val="00CF4DFF"/>
    <w:rsid w:val="00D005AA"/>
    <w:rsid w:val="00D33F71"/>
    <w:rsid w:val="00D45C07"/>
    <w:rsid w:val="00D6523B"/>
    <w:rsid w:val="00D71709"/>
    <w:rsid w:val="00D777E0"/>
    <w:rsid w:val="00D95EAD"/>
    <w:rsid w:val="00DD0FF8"/>
    <w:rsid w:val="00E17059"/>
    <w:rsid w:val="00E20C37"/>
    <w:rsid w:val="00E257EB"/>
    <w:rsid w:val="00E80A0F"/>
    <w:rsid w:val="00E81157"/>
    <w:rsid w:val="00E94C3F"/>
    <w:rsid w:val="00EA446D"/>
    <w:rsid w:val="00EB3B73"/>
    <w:rsid w:val="00ED3851"/>
    <w:rsid w:val="00F06BC7"/>
    <w:rsid w:val="00F20F2B"/>
    <w:rsid w:val="00F4450C"/>
    <w:rsid w:val="00F670E9"/>
    <w:rsid w:val="00F8478F"/>
    <w:rsid w:val="00F94CDB"/>
    <w:rsid w:val="00FA14EA"/>
    <w:rsid w:val="00FB3C37"/>
    <w:rsid w:val="00FC5BB2"/>
    <w:rsid w:val="00FD2CA1"/>
    <w:rsid w:val="00FD6C08"/>
    <w:rsid w:val="00FF15AC"/>
    <w:rsid w:val="00FF2D0A"/>
    <w:rsid w:val="00FF4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9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 w:type="paragraph" w:styleId="NormalnyWeb">
    <w:name w:val="Normal (Web)"/>
    <w:basedOn w:val="Normalny"/>
    <w:uiPriority w:val="99"/>
    <w:semiHidden/>
    <w:unhideWhenUsed/>
    <w:rsid w:val="00521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5515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BE43-8323-481D-874F-0EBFEBA7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6</Pages>
  <Words>1818</Words>
  <Characters>10913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r</cp:lastModifiedBy>
  <cp:revision>10</cp:revision>
  <cp:lastPrinted>2017-05-30T07:31:00Z</cp:lastPrinted>
  <dcterms:created xsi:type="dcterms:W3CDTF">2017-04-27T12:18:00Z</dcterms:created>
  <dcterms:modified xsi:type="dcterms:W3CDTF">2017-06-21T13:16:00Z</dcterms:modified>
</cp:coreProperties>
</file>