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EB" w:rsidRDefault="004371EB" w:rsidP="004371EB">
      <w:pPr>
        <w:jc w:val="both"/>
        <w:rPr>
          <w:rFonts w:ascii="Arial" w:hAnsi="Arial" w:cs="Arial"/>
        </w:rPr>
      </w:pPr>
    </w:p>
    <w:p w:rsidR="004371EB" w:rsidRDefault="004371EB" w:rsidP="004371EB">
      <w:pPr>
        <w:jc w:val="both"/>
        <w:rPr>
          <w:rFonts w:ascii="Arial" w:hAnsi="Arial" w:cs="Arial"/>
        </w:rPr>
      </w:pPr>
    </w:p>
    <w:p w:rsidR="004371EB" w:rsidRPr="00024A94" w:rsidRDefault="004371EB" w:rsidP="004371EB">
      <w:pPr>
        <w:jc w:val="both"/>
        <w:rPr>
          <w:rFonts w:ascii="Calibri" w:hAnsi="Calibri" w:cs="Arial"/>
          <w:sz w:val="24"/>
          <w:szCs w:val="24"/>
        </w:rPr>
      </w:pPr>
      <w:r w:rsidRPr="00024A94">
        <w:rPr>
          <w:rFonts w:ascii="Calibri" w:hAnsi="Calibri" w:cs="Arial"/>
          <w:sz w:val="24"/>
          <w:szCs w:val="24"/>
        </w:rPr>
        <w:t>DW.050.</w:t>
      </w:r>
      <w:r w:rsidR="00B066CB">
        <w:rPr>
          <w:rFonts w:ascii="Calibri" w:hAnsi="Calibri" w:cs="Arial"/>
          <w:sz w:val="24"/>
          <w:szCs w:val="24"/>
        </w:rPr>
        <w:t>4</w:t>
      </w:r>
      <w:r w:rsidRPr="00024A94">
        <w:rPr>
          <w:rFonts w:ascii="Calibri" w:hAnsi="Calibri" w:cs="Arial"/>
          <w:sz w:val="24"/>
          <w:szCs w:val="24"/>
        </w:rPr>
        <w:t>.201</w:t>
      </w:r>
      <w:r w:rsidR="00B066CB">
        <w:rPr>
          <w:rFonts w:ascii="Calibri" w:hAnsi="Calibri" w:cs="Arial"/>
          <w:sz w:val="24"/>
          <w:szCs w:val="24"/>
        </w:rPr>
        <w:t>8</w:t>
      </w:r>
      <w:r w:rsidRPr="00024A94">
        <w:rPr>
          <w:rFonts w:ascii="Calibri" w:hAnsi="Calibri" w:cs="Arial"/>
          <w:sz w:val="24"/>
          <w:szCs w:val="24"/>
        </w:rPr>
        <w:t>.</w:t>
      </w:r>
      <w:r w:rsidR="00B066CB">
        <w:rPr>
          <w:rFonts w:ascii="Calibri" w:hAnsi="Calibri" w:cs="Arial"/>
          <w:sz w:val="24"/>
          <w:szCs w:val="24"/>
        </w:rPr>
        <w:t>IGR</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7F5ECF">
        <w:rPr>
          <w:rFonts w:ascii="Calibri" w:hAnsi="Calibri" w:cs="Arial"/>
          <w:sz w:val="24"/>
          <w:szCs w:val="24"/>
        </w:rPr>
        <w:t>16.04.2018 r</w:t>
      </w:r>
      <w:r w:rsidRPr="00024A94">
        <w:rPr>
          <w:rFonts w:ascii="Calibri" w:hAnsi="Calibri" w:cs="Arial"/>
          <w:sz w:val="24"/>
          <w:szCs w:val="24"/>
        </w:rPr>
        <w:t>.</w:t>
      </w:r>
    </w:p>
    <w:p w:rsidR="004371EB" w:rsidRPr="00024A94" w:rsidRDefault="004371EB" w:rsidP="004371EB">
      <w:pPr>
        <w:jc w:val="both"/>
        <w:rPr>
          <w:rFonts w:ascii="Calibri" w:hAnsi="Calibri" w:cs="Arial"/>
          <w:sz w:val="24"/>
          <w:szCs w:val="24"/>
        </w:rPr>
      </w:pPr>
    </w:p>
    <w:p w:rsidR="004371EB" w:rsidRPr="006D69E9" w:rsidRDefault="001F12BD" w:rsidP="00C66B26">
      <w:pPr>
        <w:spacing w:after="0" w:line="240" w:lineRule="auto"/>
        <w:ind w:left="4248" w:firstLine="708"/>
        <w:jc w:val="both"/>
        <w:rPr>
          <w:rFonts w:ascii="Calibri" w:hAnsi="Calibri" w:cs="Arial"/>
          <w:b/>
          <w:sz w:val="24"/>
          <w:szCs w:val="24"/>
        </w:rPr>
      </w:pPr>
      <w:r>
        <w:rPr>
          <w:rFonts w:ascii="Calibri" w:hAnsi="Calibri" w:cs="Arial"/>
          <w:b/>
          <w:sz w:val="24"/>
          <w:szCs w:val="24"/>
        </w:rPr>
        <w:t>XXXXXXXXXXXXXX</w:t>
      </w:r>
      <w:r w:rsidR="004371EB" w:rsidRPr="006D69E9">
        <w:rPr>
          <w:rFonts w:ascii="Calibri" w:hAnsi="Calibri" w:cs="Arial"/>
          <w:b/>
          <w:sz w:val="24"/>
          <w:szCs w:val="24"/>
        </w:rPr>
        <w:t xml:space="preserve">  </w:t>
      </w:r>
    </w:p>
    <w:p w:rsidR="004371EB" w:rsidRPr="006D69E9" w:rsidRDefault="001F12BD" w:rsidP="00C66B26">
      <w:pPr>
        <w:spacing w:after="0" w:line="240" w:lineRule="auto"/>
        <w:ind w:left="4248" w:firstLine="708"/>
        <w:jc w:val="both"/>
        <w:rPr>
          <w:rFonts w:ascii="Calibri" w:hAnsi="Calibri" w:cs="Arial"/>
          <w:b/>
          <w:sz w:val="24"/>
          <w:szCs w:val="24"/>
        </w:rPr>
      </w:pPr>
      <w:r>
        <w:rPr>
          <w:rFonts w:ascii="Calibri" w:hAnsi="Calibri" w:cs="Arial"/>
          <w:b/>
          <w:sz w:val="24"/>
          <w:szCs w:val="24"/>
        </w:rPr>
        <w:t>XXXXXXXXXXXXXX</w:t>
      </w:r>
    </w:p>
    <w:p w:rsidR="004371EB" w:rsidRDefault="004371EB" w:rsidP="004371EB">
      <w:pPr>
        <w:spacing w:after="0" w:line="240" w:lineRule="auto"/>
        <w:ind w:right="-57"/>
        <w:jc w:val="both"/>
        <w:rPr>
          <w:rFonts w:ascii="Calibri" w:hAnsi="Calibri" w:cs="Arial"/>
          <w:b/>
          <w:sz w:val="24"/>
          <w:szCs w:val="24"/>
        </w:rPr>
      </w:pP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001F12BD">
        <w:rPr>
          <w:rFonts w:ascii="Calibri" w:hAnsi="Calibri" w:cs="Arial"/>
          <w:b/>
          <w:sz w:val="24"/>
          <w:szCs w:val="24"/>
        </w:rPr>
        <w:t>XXXXXXXXXXXXXX</w:t>
      </w:r>
    </w:p>
    <w:p w:rsidR="00C66B26" w:rsidRDefault="00C66B26" w:rsidP="00C66B26">
      <w:pPr>
        <w:spacing w:after="0" w:line="240" w:lineRule="auto"/>
        <w:ind w:right="-57"/>
        <w:jc w:val="both"/>
        <w:rPr>
          <w:rFonts w:ascii="Calibri" w:hAnsi="Calibri" w:cs="Arial"/>
          <w:b/>
          <w:sz w:val="24"/>
          <w:szCs w:val="24"/>
        </w:rPr>
      </w:pP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sidR="001F12BD">
        <w:rPr>
          <w:rFonts w:ascii="Calibri" w:hAnsi="Calibri" w:cs="Arial"/>
          <w:b/>
          <w:sz w:val="24"/>
          <w:szCs w:val="24"/>
        </w:rPr>
        <w:t>XXXXXXXXXXXXXX</w:t>
      </w:r>
    </w:p>
    <w:p w:rsidR="004371EB" w:rsidRDefault="001F12BD" w:rsidP="00C66B26">
      <w:pPr>
        <w:spacing w:after="0"/>
        <w:ind w:left="4248" w:firstLine="708"/>
        <w:jc w:val="both"/>
        <w:rPr>
          <w:rFonts w:ascii="Calibri" w:hAnsi="Calibri" w:cs="Arial"/>
          <w:b/>
          <w:sz w:val="24"/>
          <w:szCs w:val="24"/>
        </w:rPr>
      </w:pPr>
      <w:r>
        <w:rPr>
          <w:rFonts w:ascii="Calibri" w:hAnsi="Calibri" w:cs="Arial"/>
          <w:b/>
          <w:sz w:val="24"/>
          <w:szCs w:val="24"/>
        </w:rPr>
        <w:t>XXXXXXXXXXXXXX</w:t>
      </w:r>
    </w:p>
    <w:p w:rsidR="001F12BD" w:rsidRDefault="001F12BD" w:rsidP="00C66B26">
      <w:pPr>
        <w:spacing w:after="0"/>
        <w:ind w:left="4956"/>
        <w:jc w:val="both"/>
        <w:rPr>
          <w:rFonts w:ascii="Calibri" w:hAnsi="Calibri" w:cs="Arial"/>
          <w:b/>
          <w:sz w:val="24"/>
          <w:szCs w:val="24"/>
        </w:rPr>
      </w:pPr>
      <w:r>
        <w:rPr>
          <w:rFonts w:ascii="Calibri" w:hAnsi="Calibri" w:cs="Arial"/>
          <w:b/>
          <w:sz w:val="24"/>
          <w:szCs w:val="24"/>
        </w:rPr>
        <w:t>XXXXXXXXXXXXXX</w:t>
      </w:r>
    </w:p>
    <w:p w:rsidR="00C66B26" w:rsidRDefault="001F12BD" w:rsidP="00C66B26">
      <w:pPr>
        <w:spacing w:after="0"/>
        <w:ind w:left="4956"/>
        <w:jc w:val="both"/>
        <w:rPr>
          <w:rFonts w:ascii="Calibri" w:hAnsi="Calibri" w:cs="Arial"/>
          <w:b/>
          <w:sz w:val="24"/>
          <w:szCs w:val="24"/>
        </w:rPr>
      </w:pPr>
      <w:r>
        <w:rPr>
          <w:rFonts w:ascii="Calibri" w:hAnsi="Calibri" w:cs="Arial"/>
          <w:b/>
          <w:sz w:val="24"/>
          <w:szCs w:val="24"/>
        </w:rPr>
        <w:t>XXXXXXXXXXXXXX</w:t>
      </w:r>
    </w:p>
    <w:p w:rsidR="00C66B26" w:rsidRDefault="001F12BD" w:rsidP="00C66B26">
      <w:pPr>
        <w:spacing w:after="0"/>
        <w:ind w:left="4248" w:firstLine="708"/>
        <w:jc w:val="both"/>
        <w:rPr>
          <w:rFonts w:ascii="Calibri" w:hAnsi="Calibri" w:cs="Arial"/>
          <w:b/>
          <w:sz w:val="24"/>
          <w:szCs w:val="24"/>
        </w:rPr>
      </w:pPr>
      <w:r>
        <w:rPr>
          <w:rFonts w:ascii="Calibri" w:hAnsi="Calibri" w:cs="Arial"/>
          <w:b/>
          <w:sz w:val="24"/>
          <w:szCs w:val="24"/>
        </w:rPr>
        <w:t>XXXXXXXXXXXXXX</w:t>
      </w:r>
    </w:p>
    <w:p w:rsidR="00C66B26" w:rsidRDefault="001F12BD" w:rsidP="00C66B26">
      <w:pPr>
        <w:ind w:left="4248" w:firstLine="708"/>
        <w:jc w:val="both"/>
        <w:rPr>
          <w:rFonts w:ascii="Calibri" w:hAnsi="Calibri" w:cs="Arial"/>
          <w:b/>
          <w:sz w:val="24"/>
          <w:szCs w:val="24"/>
        </w:rPr>
      </w:pPr>
      <w:r>
        <w:rPr>
          <w:rFonts w:ascii="Calibri" w:hAnsi="Calibri" w:cs="Arial"/>
          <w:b/>
          <w:sz w:val="24"/>
          <w:szCs w:val="24"/>
        </w:rPr>
        <w:t>XXXXXXXXXXXXXX</w:t>
      </w:r>
    </w:p>
    <w:p w:rsidR="00C66B26" w:rsidRDefault="00C66B26" w:rsidP="004371EB">
      <w:pPr>
        <w:jc w:val="both"/>
        <w:rPr>
          <w:rFonts w:ascii="Calibri" w:hAnsi="Calibri" w:cs="Arial"/>
          <w:b/>
          <w:sz w:val="24"/>
          <w:szCs w:val="24"/>
        </w:rPr>
      </w:pP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p>
    <w:p w:rsidR="004371EB" w:rsidRPr="00024A94" w:rsidRDefault="004371EB" w:rsidP="004371EB">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4371EB" w:rsidRPr="00024A94" w:rsidRDefault="004371EB" w:rsidP="004371EB">
      <w:pPr>
        <w:spacing w:after="0" w:line="360" w:lineRule="auto"/>
        <w:jc w:val="center"/>
        <w:rPr>
          <w:rFonts w:ascii="Calibri" w:hAnsi="Calibri" w:cs="Arial"/>
          <w:sz w:val="24"/>
          <w:szCs w:val="24"/>
        </w:rPr>
      </w:pPr>
      <w:r w:rsidRPr="00024A94">
        <w:rPr>
          <w:rFonts w:ascii="Calibri" w:hAnsi="Calibri" w:cs="Arial"/>
          <w:sz w:val="24"/>
          <w:szCs w:val="24"/>
        </w:rPr>
        <w:t xml:space="preserve">art. </w:t>
      </w:r>
      <w:r>
        <w:rPr>
          <w:rFonts w:ascii="Calibri" w:hAnsi="Calibri" w:cs="Arial"/>
          <w:sz w:val="24"/>
          <w:szCs w:val="24"/>
        </w:rPr>
        <w:t>22</w:t>
      </w:r>
      <w:r w:rsidRPr="00024A94">
        <w:rPr>
          <w:rFonts w:ascii="Calibri" w:hAnsi="Calibri" w:cs="Arial"/>
          <w:sz w:val="24"/>
          <w:szCs w:val="24"/>
        </w:rPr>
        <w:t xml:space="preserve"> ustawy o rehabilitacji zawodowej i społecznej oraz zatrudnianiu osób niepełnosprawnych</w:t>
      </w:r>
    </w:p>
    <w:p w:rsidR="004371EB" w:rsidRDefault="004371EB" w:rsidP="004371EB">
      <w:pPr>
        <w:spacing w:after="0" w:line="360" w:lineRule="auto"/>
        <w:jc w:val="both"/>
        <w:rPr>
          <w:rFonts w:ascii="Calibri" w:hAnsi="Calibri" w:cs="Arial"/>
          <w:sz w:val="24"/>
          <w:szCs w:val="24"/>
        </w:rPr>
      </w:pPr>
    </w:p>
    <w:p w:rsidR="004371EB" w:rsidRPr="00F8478F" w:rsidRDefault="004371EB" w:rsidP="004371EB">
      <w:pPr>
        <w:spacing w:after="0" w:line="360" w:lineRule="auto"/>
        <w:jc w:val="both"/>
        <w:rPr>
          <w:rFonts w:ascii="Calibri" w:hAnsi="Calibri" w:cs="Arial"/>
          <w:b/>
          <w:sz w:val="24"/>
          <w:szCs w:val="24"/>
        </w:rPr>
      </w:pPr>
      <w:r w:rsidRPr="00024A94">
        <w:rPr>
          <w:rFonts w:ascii="Calibri" w:hAnsi="Calibri" w:cs="Arial"/>
          <w:sz w:val="24"/>
          <w:szCs w:val="24"/>
        </w:rPr>
        <w:t>Na podstawie art.10 i 10a  ustawy z dnia 2 lipca 2004 r. o swobodzie działalności gospodarczej (Dz.U. z 201</w:t>
      </w:r>
      <w:r w:rsidR="00B066CB">
        <w:rPr>
          <w:rFonts w:ascii="Calibri" w:hAnsi="Calibri" w:cs="Arial"/>
          <w:sz w:val="24"/>
          <w:szCs w:val="24"/>
        </w:rPr>
        <w:t>7</w:t>
      </w:r>
      <w:r w:rsidRPr="00024A94">
        <w:rPr>
          <w:rFonts w:ascii="Calibri" w:hAnsi="Calibri" w:cs="Arial"/>
          <w:sz w:val="24"/>
          <w:szCs w:val="24"/>
        </w:rPr>
        <w:t xml:space="preserve"> r</w:t>
      </w:r>
      <w:r w:rsidR="00B066CB">
        <w:rPr>
          <w:rFonts w:ascii="Calibri" w:hAnsi="Calibri" w:cs="Arial"/>
          <w:sz w:val="24"/>
          <w:szCs w:val="24"/>
        </w:rPr>
        <w:t>.</w:t>
      </w:r>
      <w:r w:rsidRPr="00024A94">
        <w:rPr>
          <w:rFonts w:ascii="Calibri" w:hAnsi="Calibri" w:cs="Arial"/>
          <w:sz w:val="24"/>
          <w:szCs w:val="24"/>
        </w:rPr>
        <w:t xml:space="preserve"> poz.</w:t>
      </w:r>
      <w:r w:rsidR="00B066CB">
        <w:rPr>
          <w:rFonts w:ascii="Calibri" w:hAnsi="Calibri" w:cs="Arial"/>
          <w:sz w:val="24"/>
          <w:szCs w:val="24"/>
        </w:rPr>
        <w:t>2168</w:t>
      </w:r>
      <w:r w:rsidRPr="00024A94">
        <w:rPr>
          <w:rFonts w:ascii="Calibri" w:hAnsi="Calibri" w:cs="Arial"/>
          <w:sz w:val="24"/>
          <w:szCs w:val="24"/>
        </w:rPr>
        <w:t xml:space="preserve"> z późn.zm.) Prezes Państwowego Funduszu Rehabilitacji Osób Niepełnosprawnych (zwanego dalej PFRON lub Fundusz) stwierdza, </w:t>
      </w:r>
      <w:r>
        <w:rPr>
          <w:rFonts w:ascii="Calibri" w:hAnsi="Calibri" w:cs="Arial"/>
          <w:sz w:val="24"/>
          <w:szCs w:val="24"/>
        </w:rPr>
        <w:br/>
      </w:r>
      <w:r w:rsidRPr="00024A94">
        <w:rPr>
          <w:rFonts w:ascii="Calibri" w:hAnsi="Calibri" w:cs="Arial"/>
          <w:sz w:val="24"/>
          <w:szCs w:val="24"/>
        </w:rPr>
        <w:t xml:space="preserve">że </w:t>
      </w:r>
      <w:r w:rsidRPr="00B64754">
        <w:rPr>
          <w:rFonts w:ascii="Calibri" w:hAnsi="Calibri" w:cs="Arial"/>
          <w:sz w:val="24"/>
          <w:szCs w:val="24"/>
        </w:rPr>
        <w:t xml:space="preserve">stanowisko </w:t>
      </w:r>
      <w:r w:rsidR="001F12BD">
        <w:rPr>
          <w:rFonts w:ascii="Calibri" w:hAnsi="Calibri" w:cs="Arial"/>
          <w:sz w:val="24"/>
          <w:szCs w:val="24"/>
        </w:rPr>
        <w:t>XXXXXXXXXXXXXXXX</w:t>
      </w:r>
      <w:r w:rsidR="00B64754">
        <w:rPr>
          <w:rFonts w:ascii="Calibri" w:hAnsi="Calibri" w:cs="Arial"/>
          <w:sz w:val="24"/>
          <w:szCs w:val="24"/>
        </w:rPr>
        <w:t xml:space="preserve"> </w:t>
      </w:r>
      <w:r w:rsidRPr="00024A94">
        <w:rPr>
          <w:rFonts w:ascii="Calibri" w:hAnsi="Calibri" w:cs="Arial"/>
          <w:sz w:val="24"/>
          <w:szCs w:val="24"/>
        </w:rPr>
        <w:t>z siedzibą w</w:t>
      </w:r>
      <w:r>
        <w:rPr>
          <w:rFonts w:ascii="Calibri" w:hAnsi="Calibri" w:cs="Arial"/>
          <w:sz w:val="24"/>
          <w:szCs w:val="24"/>
        </w:rPr>
        <w:t xml:space="preserve"> </w:t>
      </w:r>
      <w:r w:rsidR="001F12BD">
        <w:rPr>
          <w:rFonts w:ascii="Calibri" w:hAnsi="Calibri" w:cs="Arial"/>
          <w:sz w:val="24"/>
          <w:szCs w:val="24"/>
        </w:rPr>
        <w:t>XXXXXXXXXX</w:t>
      </w:r>
      <w:r w:rsidRPr="00024A94">
        <w:rPr>
          <w:rFonts w:ascii="Calibri" w:hAnsi="Calibri" w:cs="Arial"/>
          <w:sz w:val="24"/>
          <w:szCs w:val="24"/>
        </w:rPr>
        <w:t xml:space="preserve">(zwanej dalej </w:t>
      </w:r>
      <w:r>
        <w:rPr>
          <w:rFonts w:ascii="Calibri" w:hAnsi="Calibri" w:cs="Arial"/>
          <w:sz w:val="24"/>
          <w:szCs w:val="24"/>
        </w:rPr>
        <w:t>W</w:t>
      </w:r>
      <w:r w:rsidRPr="00024A94">
        <w:rPr>
          <w:rFonts w:ascii="Calibri" w:hAnsi="Calibri" w:cs="Arial"/>
          <w:sz w:val="24"/>
          <w:szCs w:val="24"/>
        </w:rPr>
        <w:t>nioskodawcą</w:t>
      </w:r>
      <w:r w:rsidR="00B066CB">
        <w:rPr>
          <w:rFonts w:ascii="Calibri" w:hAnsi="Calibri" w:cs="Arial"/>
          <w:sz w:val="24"/>
          <w:szCs w:val="24"/>
        </w:rPr>
        <w:t xml:space="preserve"> lub Spółką</w:t>
      </w:r>
      <w:r w:rsidRPr="00024A94">
        <w:rPr>
          <w:rFonts w:ascii="Calibri" w:hAnsi="Calibri" w:cs="Arial"/>
          <w:sz w:val="24"/>
          <w:szCs w:val="24"/>
        </w:rPr>
        <w:t xml:space="preserve">) zaprezentowane we wniosku z dnia </w:t>
      </w:r>
      <w:r>
        <w:rPr>
          <w:rFonts w:ascii="Calibri" w:hAnsi="Calibri" w:cs="Arial"/>
          <w:sz w:val="24"/>
          <w:szCs w:val="24"/>
        </w:rPr>
        <w:t>8 lutego 2017</w:t>
      </w:r>
      <w:r w:rsidRPr="00024A94">
        <w:rPr>
          <w:rFonts w:ascii="Calibri" w:hAnsi="Calibri" w:cs="Arial"/>
          <w:sz w:val="24"/>
          <w:szCs w:val="24"/>
        </w:rPr>
        <w:t xml:space="preserve"> r. o udzielenie pisemnej interpretacji przepisów prawa w zakresie </w:t>
      </w:r>
      <w:r>
        <w:rPr>
          <w:rFonts w:ascii="Calibri" w:hAnsi="Calibri" w:cs="Arial"/>
          <w:sz w:val="24"/>
          <w:szCs w:val="24"/>
        </w:rPr>
        <w:t xml:space="preserve">stosowania przepisów </w:t>
      </w:r>
      <w:r w:rsidRPr="00001666">
        <w:rPr>
          <w:rFonts w:ascii="Calibri" w:hAnsi="Calibri" w:cs="Arial"/>
          <w:sz w:val="24"/>
          <w:szCs w:val="24"/>
        </w:rPr>
        <w:t>art.</w:t>
      </w:r>
      <w:r>
        <w:rPr>
          <w:rFonts w:ascii="Calibri" w:hAnsi="Calibri" w:cs="Arial"/>
          <w:sz w:val="24"/>
          <w:szCs w:val="24"/>
        </w:rPr>
        <w:t xml:space="preserve"> </w:t>
      </w:r>
      <w:r w:rsidRPr="00001666">
        <w:rPr>
          <w:rFonts w:ascii="Calibri" w:hAnsi="Calibri" w:cs="Arial"/>
          <w:sz w:val="24"/>
          <w:szCs w:val="24"/>
        </w:rPr>
        <w:t xml:space="preserve">22 </w:t>
      </w:r>
      <w:r w:rsidRPr="006A5FE5">
        <w:rPr>
          <w:rFonts w:ascii="Calibri" w:hAnsi="Calibri" w:cs="Arial"/>
          <w:sz w:val="24"/>
          <w:szCs w:val="24"/>
        </w:rPr>
        <w:t xml:space="preserve">ustawy z dnia </w:t>
      </w:r>
      <w:r w:rsidR="00B066CB">
        <w:rPr>
          <w:rFonts w:ascii="Calibri" w:hAnsi="Calibri" w:cs="Arial"/>
          <w:sz w:val="24"/>
          <w:szCs w:val="24"/>
        </w:rPr>
        <w:br/>
      </w:r>
      <w:r w:rsidRPr="006A5FE5">
        <w:rPr>
          <w:rFonts w:ascii="Calibri" w:hAnsi="Calibri" w:cs="Arial"/>
          <w:sz w:val="24"/>
          <w:szCs w:val="24"/>
        </w:rPr>
        <w:t>27 sierpnia 1997 r. o rehabilitacji zawodowej i społecznej oraz zatrudnianiu osób niepełnosprawnych (Dz.U. z 201</w:t>
      </w:r>
      <w:r w:rsidR="00B066CB">
        <w:rPr>
          <w:rFonts w:ascii="Calibri" w:hAnsi="Calibri" w:cs="Arial"/>
          <w:sz w:val="24"/>
          <w:szCs w:val="24"/>
        </w:rPr>
        <w:t>8</w:t>
      </w:r>
      <w:r w:rsidRPr="006A5FE5">
        <w:rPr>
          <w:rFonts w:ascii="Calibri" w:hAnsi="Calibri" w:cs="Arial"/>
          <w:sz w:val="24"/>
          <w:szCs w:val="24"/>
        </w:rPr>
        <w:t xml:space="preserve"> r. poz.</w:t>
      </w:r>
      <w:r w:rsidR="00B066CB">
        <w:rPr>
          <w:rFonts w:ascii="Calibri" w:hAnsi="Calibri" w:cs="Arial"/>
          <w:sz w:val="24"/>
          <w:szCs w:val="24"/>
        </w:rPr>
        <w:t>511</w:t>
      </w:r>
      <w:r w:rsidRPr="006A5FE5">
        <w:rPr>
          <w:rFonts w:ascii="Calibri" w:hAnsi="Calibri" w:cs="Arial"/>
          <w:sz w:val="24"/>
          <w:szCs w:val="24"/>
        </w:rPr>
        <w:t>) zwanej dalej ustawą o re</w:t>
      </w:r>
      <w:r>
        <w:rPr>
          <w:rFonts w:ascii="Calibri" w:hAnsi="Calibri" w:cs="Arial"/>
          <w:sz w:val="24"/>
          <w:szCs w:val="24"/>
        </w:rPr>
        <w:t xml:space="preserve">habilitacji </w:t>
      </w:r>
      <w:r w:rsidRPr="006A5FE5">
        <w:rPr>
          <w:rFonts w:ascii="Calibri" w:hAnsi="Calibri" w:cs="Arial"/>
          <w:sz w:val="24"/>
          <w:szCs w:val="24"/>
        </w:rPr>
        <w:t xml:space="preserve">- </w:t>
      </w:r>
      <w:r w:rsidRPr="00F8478F">
        <w:rPr>
          <w:rFonts w:ascii="Calibri" w:hAnsi="Calibri" w:cs="Arial"/>
          <w:b/>
          <w:sz w:val="24"/>
          <w:szCs w:val="24"/>
        </w:rPr>
        <w:t>jest prawidłowe.</w:t>
      </w:r>
    </w:p>
    <w:p w:rsidR="004371EB" w:rsidRPr="00024A94" w:rsidRDefault="004371EB" w:rsidP="004371EB">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4371EB" w:rsidRDefault="004371EB" w:rsidP="004371EB">
      <w:pPr>
        <w:spacing w:after="0" w:line="360" w:lineRule="auto"/>
        <w:jc w:val="both"/>
        <w:rPr>
          <w:rFonts w:ascii="Calibri" w:hAnsi="Calibri" w:cs="Arial"/>
          <w:sz w:val="24"/>
          <w:szCs w:val="24"/>
        </w:rPr>
      </w:pPr>
      <w:r w:rsidRPr="00024A94">
        <w:rPr>
          <w:rFonts w:ascii="Calibri" w:hAnsi="Calibri" w:cs="Arial"/>
          <w:sz w:val="24"/>
          <w:szCs w:val="24"/>
        </w:rPr>
        <w:t xml:space="preserve">Pismem z dnia </w:t>
      </w:r>
      <w:r>
        <w:rPr>
          <w:rFonts w:ascii="Calibri" w:hAnsi="Calibri" w:cs="Arial"/>
          <w:sz w:val="24"/>
          <w:szCs w:val="24"/>
        </w:rPr>
        <w:t xml:space="preserve">8 lutego 2017 r. </w:t>
      </w:r>
      <w:r w:rsidRPr="00024A94">
        <w:rPr>
          <w:rFonts w:ascii="Calibri" w:hAnsi="Calibri" w:cs="Arial"/>
          <w:sz w:val="24"/>
          <w:szCs w:val="24"/>
        </w:rPr>
        <w:t xml:space="preserve">Wnioskodawca skierował do Prezesa Zarządu PFRON wniosek o udzielenie pisemnej interpretacji przepisów prawa w zakresie </w:t>
      </w:r>
      <w:r w:rsidRPr="00915ED0">
        <w:rPr>
          <w:rFonts w:ascii="Calibri" w:hAnsi="Calibri" w:cs="Arial"/>
          <w:sz w:val="24"/>
          <w:szCs w:val="24"/>
        </w:rPr>
        <w:t>stosowania przepisów art.22 ustawy o rehabilitacji</w:t>
      </w:r>
      <w:r>
        <w:rPr>
          <w:rFonts w:ascii="Calibri" w:hAnsi="Calibri" w:cs="Arial"/>
          <w:sz w:val="24"/>
          <w:szCs w:val="24"/>
        </w:rPr>
        <w:t>.</w:t>
      </w:r>
    </w:p>
    <w:p w:rsidR="00B066CB" w:rsidRPr="00EE2699" w:rsidRDefault="00B066CB" w:rsidP="00B066CB">
      <w:pPr>
        <w:spacing w:after="0" w:line="360" w:lineRule="auto"/>
        <w:jc w:val="both"/>
        <w:rPr>
          <w:rFonts w:ascii="Calibri" w:eastAsia="Calibri" w:hAnsi="Calibri" w:cs="Arial"/>
          <w:sz w:val="24"/>
          <w:szCs w:val="24"/>
          <w:lang w:eastAsia="en-US"/>
        </w:rPr>
      </w:pPr>
      <w:r w:rsidRPr="00EE2699">
        <w:rPr>
          <w:rFonts w:ascii="Calibri" w:eastAsia="Calibri" w:hAnsi="Calibri" w:cs="Arial"/>
          <w:sz w:val="24"/>
          <w:szCs w:val="24"/>
          <w:lang w:eastAsia="en-US"/>
        </w:rPr>
        <w:t xml:space="preserve">Sprawa była </w:t>
      </w:r>
      <w:r>
        <w:rPr>
          <w:rFonts w:ascii="Calibri" w:eastAsia="Calibri" w:hAnsi="Calibri" w:cs="Arial"/>
          <w:sz w:val="24"/>
          <w:szCs w:val="24"/>
          <w:lang w:eastAsia="en-US"/>
        </w:rPr>
        <w:t xml:space="preserve">już </w:t>
      </w:r>
      <w:r w:rsidRPr="00EE2699">
        <w:rPr>
          <w:rFonts w:ascii="Calibri" w:eastAsia="Calibri" w:hAnsi="Calibri" w:cs="Arial"/>
          <w:sz w:val="24"/>
          <w:szCs w:val="24"/>
          <w:lang w:eastAsia="en-US"/>
        </w:rPr>
        <w:t xml:space="preserve">rozpatrywana w administracyjnym toku instancji. Decyzją z dnia </w:t>
      </w:r>
      <w:r w:rsidRPr="00EE2699">
        <w:rPr>
          <w:rFonts w:ascii="Calibri" w:eastAsia="Calibri" w:hAnsi="Calibri" w:cs="Arial"/>
          <w:sz w:val="24"/>
          <w:szCs w:val="24"/>
          <w:lang w:eastAsia="en-US"/>
        </w:rPr>
        <w:br/>
      </w:r>
      <w:r>
        <w:rPr>
          <w:rFonts w:ascii="Calibri" w:eastAsia="Calibri" w:hAnsi="Calibri" w:cs="Arial"/>
          <w:sz w:val="24"/>
          <w:szCs w:val="24"/>
          <w:lang w:eastAsia="en-US"/>
        </w:rPr>
        <w:t xml:space="preserve">28 lutego 2017 r. </w:t>
      </w:r>
      <w:r w:rsidRPr="00EE2699">
        <w:rPr>
          <w:rFonts w:ascii="Calibri" w:eastAsia="Calibri" w:hAnsi="Calibri" w:cs="Arial"/>
          <w:sz w:val="24"/>
          <w:szCs w:val="24"/>
          <w:lang w:eastAsia="en-US"/>
        </w:rPr>
        <w:t xml:space="preserve">znak: </w:t>
      </w:r>
      <w:r>
        <w:rPr>
          <w:rFonts w:ascii="Calibri" w:eastAsia="Calibri" w:hAnsi="Calibri" w:cs="Arial"/>
          <w:sz w:val="24"/>
          <w:szCs w:val="24"/>
          <w:lang w:eastAsia="en-US"/>
        </w:rPr>
        <w:t>D</w:t>
      </w:r>
      <w:r w:rsidRPr="00EE2699">
        <w:rPr>
          <w:rFonts w:ascii="Calibri" w:eastAsia="Calibri" w:hAnsi="Calibri" w:cs="Arial"/>
          <w:sz w:val="24"/>
          <w:szCs w:val="24"/>
          <w:lang w:eastAsia="en-US"/>
        </w:rPr>
        <w:t>W.050.</w:t>
      </w:r>
      <w:r>
        <w:rPr>
          <w:rFonts w:ascii="Calibri" w:eastAsia="Calibri" w:hAnsi="Calibri" w:cs="Arial"/>
          <w:sz w:val="24"/>
          <w:szCs w:val="24"/>
          <w:lang w:eastAsia="en-US"/>
        </w:rPr>
        <w:t>3.2017.RCZ</w:t>
      </w:r>
      <w:r w:rsidRPr="00EE2699">
        <w:rPr>
          <w:rFonts w:ascii="Calibri" w:eastAsia="Calibri" w:hAnsi="Calibri" w:cs="Arial"/>
          <w:sz w:val="24"/>
          <w:szCs w:val="24"/>
          <w:lang w:eastAsia="en-US"/>
        </w:rPr>
        <w:t xml:space="preserve"> </w:t>
      </w:r>
      <w:r>
        <w:rPr>
          <w:rFonts w:ascii="Calibri" w:eastAsia="Calibri" w:hAnsi="Calibri" w:cs="Arial"/>
          <w:sz w:val="24"/>
          <w:szCs w:val="24"/>
          <w:lang w:eastAsia="en-US"/>
        </w:rPr>
        <w:t xml:space="preserve">(DW.64.2017) </w:t>
      </w:r>
      <w:r w:rsidRPr="00EE2699">
        <w:rPr>
          <w:rFonts w:ascii="Calibri" w:eastAsia="Calibri" w:hAnsi="Calibri" w:cs="Arial"/>
          <w:sz w:val="24"/>
          <w:szCs w:val="24"/>
          <w:lang w:eastAsia="en-US"/>
        </w:rPr>
        <w:t xml:space="preserve">Prezes Zarządu PFRON uznał, </w:t>
      </w:r>
      <w:r w:rsidR="004A699A">
        <w:rPr>
          <w:rFonts w:ascii="Calibri" w:eastAsia="Calibri" w:hAnsi="Calibri" w:cs="Arial"/>
          <w:sz w:val="24"/>
          <w:szCs w:val="24"/>
          <w:lang w:eastAsia="en-US"/>
        </w:rPr>
        <w:br/>
      </w:r>
      <w:r w:rsidRPr="00EE2699">
        <w:rPr>
          <w:rFonts w:ascii="Calibri" w:eastAsia="Calibri" w:hAnsi="Calibri" w:cs="Arial"/>
          <w:sz w:val="24"/>
          <w:szCs w:val="24"/>
          <w:lang w:eastAsia="en-US"/>
        </w:rPr>
        <w:lastRenderedPageBreak/>
        <w:t xml:space="preserve">iż stanowisko Wnioskodawcy jest nieprawidłowe. Strona pismem z dnia </w:t>
      </w:r>
      <w:r>
        <w:rPr>
          <w:rFonts w:ascii="Calibri" w:eastAsia="Calibri" w:hAnsi="Calibri" w:cs="Arial"/>
          <w:sz w:val="24"/>
          <w:szCs w:val="24"/>
          <w:lang w:eastAsia="en-US"/>
        </w:rPr>
        <w:t xml:space="preserve">23 marca </w:t>
      </w:r>
      <w:r w:rsidRPr="00EE2699">
        <w:rPr>
          <w:rFonts w:ascii="Calibri" w:eastAsia="Calibri" w:hAnsi="Calibri" w:cs="Arial"/>
          <w:sz w:val="24"/>
          <w:szCs w:val="24"/>
          <w:lang w:eastAsia="en-US"/>
        </w:rPr>
        <w:t>201</w:t>
      </w:r>
      <w:r>
        <w:rPr>
          <w:rFonts w:ascii="Calibri" w:eastAsia="Calibri" w:hAnsi="Calibri" w:cs="Arial"/>
          <w:sz w:val="24"/>
          <w:szCs w:val="24"/>
          <w:lang w:eastAsia="en-US"/>
        </w:rPr>
        <w:t>7</w:t>
      </w:r>
      <w:r w:rsidRPr="00EE2699">
        <w:rPr>
          <w:rFonts w:ascii="Calibri" w:eastAsia="Calibri" w:hAnsi="Calibri" w:cs="Arial"/>
          <w:sz w:val="24"/>
          <w:szCs w:val="24"/>
          <w:lang w:eastAsia="en-US"/>
        </w:rPr>
        <w:t xml:space="preserve"> r. wniosła odwołanie od ww. decyzji. Minister Rodziny, Pracy i Polityki Społecznej decyzją </w:t>
      </w:r>
      <w:r>
        <w:rPr>
          <w:rFonts w:ascii="Calibri" w:eastAsia="Calibri" w:hAnsi="Calibri" w:cs="Arial"/>
          <w:sz w:val="24"/>
          <w:szCs w:val="24"/>
          <w:lang w:eastAsia="en-US"/>
        </w:rPr>
        <w:br/>
      </w:r>
      <w:r w:rsidRPr="00EE2699">
        <w:rPr>
          <w:rFonts w:ascii="Calibri" w:eastAsia="Calibri" w:hAnsi="Calibri" w:cs="Arial"/>
          <w:sz w:val="24"/>
          <w:szCs w:val="24"/>
          <w:lang w:eastAsia="en-US"/>
        </w:rPr>
        <w:t xml:space="preserve">z dnia </w:t>
      </w:r>
      <w:r>
        <w:rPr>
          <w:rFonts w:ascii="Calibri" w:eastAsia="Calibri" w:hAnsi="Calibri" w:cs="Arial"/>
          <w:sz w:val="24"/>
          <w:szCs w:val="24"/>
          <w:lang w:eastAsia="en-US"/>
        </w:rPr>
        <w:t xml:space="preserve">13 marca </w:t>
      </w:r>
      <w:r w:rsidRPr="00EE2699">
        <w:rPr>
          <w:rFonts w:ascii="Calibri" w:eastAsia="Calibri" w:hAnsi="Calibri" w:cs="Arial"/>
          <w:sz w:val="24"/>
          <w:szCs w:val="24"/>
          <w:lang w:eastAsia="en-US"/>
        </w:rPr>
        <w:t>201</w:t>
      </w:r>
      <w:r>
        <w:rPr>
          <w:rFonts w:ascii="Calibri" w:eastAsia="Calibri" w:hAnsi="Calibri" w:cs="Arial"/>
          <w:sz w:val="24"/>
          <w:szCs w:val="24"/>
          <w:lang w:eastAsia="en-US"/>
        </w:rPr>
        <w:t>8</w:t>
      </w:r>
      <w:r w:rsidRPr="00EE2699">
        <w:rPr>
          <w:rFonts w:ascii="Calibri" w:eastAsia="Calibri" w:hAnsi="Calibri" w:cs="Arial"/>
          <w:sz w:val="24"/>
          <w:szCs w:val="24"/>
          <w:lang w:eastAsia="en-US"/>
        </w:rPr>
        <w:t xml:space="preserve"> r. znak: BON-III.5225.</w:t>
      </w:r>
      <w:r>
        <w:rPr>
          <w:rFonts w:ascii="Calibri" w:eastAsia="Calibri" w:hAnsi="Calibri" w:cs="Arial"/>
          <w:sz w:val="24"/>
          <w:szCs w:val="24"/>
          <w:lang w:eastAsia="en-US"/>
        </w:rPr>
        <w:t>10.3.2017.MH</w:t>
      </w:r>
      <w:r w:rsidRPr="00EE2699">
        <w:rPr>
          <w:rFonts w:ascii="Calibri" w:eastAsia="Calibri" w:hAnsi="Calibri" w:cs="Arial"/>
          <w:sz w:val="24"/>
          <w:szCs w:val="24"/>
          <w:lang w:eastAsia="en-US"/>
        </w:rPr>
        <w:t xml:space="preserve"> uchylił zaskarżoną decyzję </w:t>
      </w:r>
      <w:r w:rsidR="004A699A">
        <w:rPr>
          <w:rFonts w:ascii="Calibri" w:eastAsia="Calibri" w:hAnsi="Calibri" w:cs="Arial"/>
          <w:sz w:val="24"/>
          <w:szCs w:val="24"/>
          <w:lang w:eastAsia="en-US"/>
        </w:rPr>
        <w:br/>
      </w:r>
      <w:r w:rsidRPr="00EE2699">
        <w:rPr>
          <w:rFonts w:ascii="Calibri" w:eastAsia="Calibri" w:hAnsi="Calibri" w:cs="Arial"/>
          <w:sz w:val="24"/>
          <w:szCs w:val="24"/>
          <w:lang w:eastAsia="en-US"/>
        </w:rPr>
        <w:t>w całości i przekazał sprawę organowi I instancji do ponownego rozpatrzenia.</w:t>
      </w:r>
    </w:p>
    <w:p w:rsidR="00B066CB" w:rsidRDefault="00B066CB" w:rsidP="004371EB">
      <w:pPr>
        <w:spacing w:after="0" w:line="360" w:lineRule="auto"/>
        <w:jc w:val="both"/>
        <w:rPr>
          <w:rFonts w:ascii="Calibri" w:hAnsi="Calibri" w:cs="Arial"/>
          <w:sz w:val="24"/>
          <w:szCs w:val="24"/>
        </w:rPr>
      </w:pPr>
    </w:p>
    <w:p w:rsidR="004371EB" w:rsidRDefault="004371EB" w:rsidP="004371EB">
      <w:pPr>
        <w:spacing w:after="120" w:line="360" w:lineRule="auto"/>
        <w:jc w:val="both"/>
        <w:rPr>
          <w:rFonts w:ascii="Calibri" w:hAnsi="Calibri" w:cs="Arial"/>
          <w:i/>
          <w:sz w:val="24"/>
          <w:szCs w:val="24"/>
        </w:rPr>
      </w:pPr>
      <w:r w:rsidRPr="00024A94">
        <w:rPr>
          <w:rFonts w:ascii="Calibri" w:hAnsi="Calibri" w:cs="Arial"/>
          <w:sz w:val="24"/>
          <w:szCs w:val="24"/>
        </w:rPr>
        <w:t xml:space="preserve">Wniosek swój Wnioskodawca skierował na podstawie art.10 i 10a ustawy o swobodzie działalności gospodarczej. Zgodnie z art.10 ust.1 ustawy o swobodzie działalności gospodarczej </w:t>
      </w:r>
      <w:r w:rsidRPr="00024A94">
        <w:rPr>
          <w:rFonts w:ascii="Calibri" w:hAnsi="Calibri" w:cs="Arial"/>
          <w:i/>
          <w:sz w:val="24"/>
          <w:szCs w:val="24"/>
        </w:rPr>
        <w:t xml:space="preserve">przedsiębiorca może złożyć do właściwego organu administracji publicznej </w:t>
      </w:r>
      <w:r>
        <w:rPr>
          <w:rFonts w:ascii="Calibri" w:hAnsi="Calibri" w:cs="Arial"/>
          <w:i/>
          <w:sz w:val="24"/>
          <w:szCs w:val="24"/>
        </w:rPr>
        <w:br/>
      </w:r>
      <w:r w:rsidRPr="00024A94">
        <w:rPr>
          <w:rFonts w:ascii="Calibri" w:hAnsi="Calibri" w:cs="Arial"/>
          <w:i/>
          <w:sz w:val="24"/>
          <w:szCs w:val="24"/>
        </w:rPr>
        <w:t xml:space="preserve">lub państwowej jednostki organizacyjnej wniosek o wydanie pisemnej interpretacji co do zakresu i sposobu zastosowania przepisów, z których wynika obowiązek świadczenia przez przedsiębiorcę daniny publicznej oraz składek na ubezpieczenia społeczne lub zdrowotne, </w:t>
      </w:r>
      <w:r w:rsidRPr="00024A94">
        <w:rPr>
          <w:rFonts w:ascii="Calibri" w:hAnsi="Calibri" w:cs="Arial"/>
          <w:i/>
          <w:sz w:val="24"/>
          <w:szCs w:val="24"/>
        </w:rPr>
        <w:br/>
        <w:t>w jego indywidualnej sprawie.</w:t>
      </w:r>
    </w:p>
    <w:p w:rsidR="004371EB" w:rsidRPr="00024A94" w:rsidRDefault="004371EB" w:rsidP="004371EB">
      <w:pPr>
        <w:spacing w:after="0" w:line="360" w:lineRule="auto"/>
        <w:jc w:val="both"/>
        <w:rPr>
          <w:rFonts w:ascii="Calibri" w:hAnsi="Calibri" w:cs="Arial"/>
          <w:b/>
          <w:sz w:val="24"/>
          <w:szCs w:val="24"/>
        </w:rPr>
      </w:pPr>
      <w:r w:rsidRPr="00024A94">
        <w:rPr>
          <w:rFonts w:ascii="Calibri" w:hAnsi="Calibri" w:cs="Arial"/>
          <w:b/>
          <w:sz w:val="24"/>
          <w:szCs w:val="24"/>
        </w:rPr>
        <w:t>W przedmiotowym wniosku Wnioskodawca przedstawił następujący stan faktyczny:</w:t>
      </w:r>
    </w:p>
    <w:p w:rsidR="006449A3" w:rsidRDefault="001F12BD" w:rsidP="004371EB">
      <w:pPr>
        <w:spacing w:after="0" w:line="360" w:lineRule="auto"/>
        <w:jc w:val="both"/>
        <w:rPr>
          <w:rFonts w:ascii="Calibri" w:hAnsi="Calibri" w:cs="Arial"/>
          <w:sz w:val="24"/>
          <w:szCs w:val="24"/>
        </w:rPr>
      </w:pPr>
      <w:r>
        <w:rPr>
          <w:rFonts w:ascii="Calibri" w:hAnsi="Calibri" w:cs="Arial"/>
          <w:sz w:val="24"/>
          <w:szCs w:val="24"/>
        </w:rPr>
        <w:t>XXXXXXXXXXXXX</w:t>
      </w:r>
      <w:r w:rsidR="004371EB">
        <w:rPr>
          <w:rFonts w:ascii="Calibri" w:hAnsi="Calibri" w:cs="Arial"/>
          <w:sz w:val="24"/>
          <w:szCs w:val="24"/>
        </w:rPr>
        <w:t xml:space="preserve"> posiada dwa oddziały</w:t>
      </w:r>
      <w:r w:rsidR="006449A3">
        <w:rPr>
          <w:rFonts w:ascii="Calibri" w:hAnsi="Calibri" w:cs="Arial"/>
          <w:sz w:val="24"/>
          <w:szCs w:val="24"/>
        </w:rPr>
        <w:t>:</w:t>
      </w:r>
    </w:p>
    <w:p w:rsidR="006449A3" w:rsidRDefault="001F12BD" w:rsidP="006449A3">
      <w:pPr>
        <w:pStyle w:val="Akapitzlist"/>
        <w:numPr>
          <w:ilvl w:val="0"/>
          <w:numId w:val="3"/>
        </w:numPr>
        <w:spacing w:after="0" w:line="360" w:lineRule="auto"/>
        <w:jc w:val="both"/>
        <w:rPr>
          <w:rFonts w:ascii="Calibri" w:hAnsi="Calibri" w:cs="Arial"/>
          <w:sz w:val="24"/>
          <w:szCs w:val="24"/>
        </w:rPr>
      </w:pPr>
      <w:r>
        <w:rPr>
          <w:rFonts w:ascii="Calibri" w:hAnsi="Calibri" w:cs="Arial"/>
          <w:sz w:val="24"/>
          <w:szCs w:val="24"/>
        </w:rPr>
        <w:t>XXXXXXXXXXXXXX</w:t>
      </w:r>
      <w:r w:rsidR="006449A3">
        <w:rPr>
          <w:rFonts w:ascii="Calibri" w:hAnsi="Calibri" w:cs="Arial"/>
          <w:sz w:val="24"/>
          <w:szCs w:val="24"/>
        </w:rPr>
        <w:t xml:space="preserve"> Oddział w </w:t>
      </w:r>
      <w:r>
        <w:rPr>
          <w:rFonts w:ascii="Calibri" w:hAnsi="Calibri" w:cs="Arial"/>
          <w:sz w:val="24"/>
          <w:szCs w:val="24"/>
        </w:rPr>
        <w:t>XXXXXXXXX</w:t>
      </w:r>
      <w:r w:rsidR="006449A3">
        <w:rPr>
          <w:rFonts w:ascii="Calibri" w:hAnsi="Calibri" w:cs="Arial"/>
          <w:sz w:val="24"/>
          <w:szCs w:val="24"/>
        </w:rPr>
        <w:t>,</w:t>
      </w:r>
    </w:p>
    <w:p w:rsidR="006449A3" w:rsidRPr="006449A3" w:rsidRDefault="001F12BD" w:rsidP="006449A3">
      <w:pPr>
        <w:pStyle w:val="Akapitzlist"/>
        <w:numPr>
          <w:ilvl w:val="0"/>
          <w:numId w:val="3"/>
        </w:numPr>
        <w:spacing w:after="0" w:line="360" w:lineRule="auto"/>
        <w:jc w:val="both"/>
        <w:rPr>
          <w:rFonts w:ascii="Calibri" w:hAnsi="Calibri" w:cs="Arial"/>
          <w:sz w:val="24"/>
          <w:szCs w:val="24"/>
        </w:rPr>
      </w:pPr>
      <w:r>
        <w:rPr>
          <w:rFonts w:ascii="Calibri" w:hAnsi="Calibri" w:cs="Arial"/>
          <w:sz w:val="24"/>
          <w:szCs w:val="24"/>
        </w:rPr>
        <w:t>XXXXXXXXXXXXXX</w:t>
      </w:r>
      <w:r w:rsidR="006449A3">
        <w:rPr>
          <w:rFonts w:ascii="Calibri" w:hAnsi="Calibri" w:cs="Arial"/>
          <w:sz w:val="24"/>
          <w:szCs w:val="24"/>
        </w:rPr>
        <w:t xml:space="preserve"> Oddział w </w:t>
      </w:r>
      <w:r>
        <w:rPr>
          <w:rFonts w:ascii="Calibri" w:hAnsi="Calibri" w:cs="Arial"/>
          <w:sz w:val="24"/>
          <w:szCs w:val="24"/>
        </w:rPr>
        <w:t>XXXXXXXXX</w:t>
      </w:r>
      <w:r w:rsidR="006449A3">
        <w:rPr>
          <w:rFonts w:ascii="Calibri" w:hAnsi="Calibri" w:cs="Arial"/>
          <w:sz w:val="24"/>
          <w:szCs w:val="24"/>
        </w:rPr>
        <w:t>,</w:t>
      </w:r>
    </w:p>
    <w:p w:rsidR="004371EB" w:rsidRDefault="00B066CB" w:rsidP="004371EB">
      <w:pPr>
        <w:spacing w:after="0" w:line="360" w:lineRule="auto"/>
        <w:jc w:val="both"/>
        <w:rPr>
          <w:sz w:val="24"/>
          <w:szCs w:val="24"/>
        </w:rPr>
      </w:pPr>
      <w:r>
        <w:rPr>
          <w:rFonts w:ascii="Calibri" w:hAnsi="Calibri" w:cs="Arial"/>
          <w:sz w:val="24"/>
          <w:szCs w:val="24"/>
        </w:rPr>
        <w:t xml:space="preserve">które posiadają </w:t>
      </w:r>
      <w:r w:rsidR="004371EB">
        <w:rPr>
          <w:sz w:val="24"/>
          <w:szCs w:val="24"/>
        </w:rPr>
        <w:t xml:space="preserve">status odrębnego pracodawcy i zostały wyposażone w zdolność </w:t>
      </w:r>
      <w:r w:rsidR="004A699A">
        <w:rPr>
          <w:sz w:val="24"/>
          <w:szCs w:val="24"/>
        </w:rPr>
        <w:br/>
      </w:r>
      <w:r w:rsidR="004371EB">
        <w:rPr>
          <w:sz w:val="24"/>
          <w:szCs w:val="24"/>
        </w:rPr>
        <w:t xml:space="preserve">do zatrudniania pracowników począwszy od dnia </w:t>
      </w:r>
      <w:r w:rsidR="00B64754">
        <w:rPr>
          <w:sz w:val="24"/>
          <w:szCs w:val="24"/>
        </w:rPr>
        <w:t>1 listopada 2016 r</w:t>
      </w:r>
      <w:r w:rsidR="004371EB">
        <w:rPr>
          <w:sz w:val="24"/>
          <w:szCs w:val="24"/>
        </w:rPr>
        <w:t xml:space="preserve">. Z uwagi na fakt, </w:t>
      </w:r>
      <w:r w:rsidR="004A699A">
        <w:rPr>
          <w:sz w:val="24"/>
          <w:szCs w:val="24"/>
        </w:rPr>
        <w:br/>
      </w:r>
      <w:r w:rsidR="004371EB">
        <w:rPr>
          <w:sz w:val="24"/>
          <w:szCs w:val="24"/>
        </w:rPr>
        <w:t xml:space="preserve">iż oddziały stały się pracodawcami, a jednocześnie zatrudniają pracowników w liczbie przekraczającej 25 osób w przeliczeniu na pełny etat, każdy z oddziałów jest zobowiązany </w:t>
      </w:r>
      <w:r w:rsidR="004A699A">
        <w:rPr>
          <w:sz w:val="24"/>
          <w:szCs w:val="24"/>
        </w:rPr>
        <w:br/>
      </w:r>
      <w:r w:rsidR="004371EB">
        <w:rPr>
          <w:sz w:val="24"/>
          <w:szCs w:val="24"/>
        </w:rPr>
        <w:t>do wpłat na PFRON.</w:t>
      </w:r>
    </w:p>
    <w:p w:rsidR="004371EB" w:rsidRDefault="004371EB" w:rsidP="004371EB">
      <w:pPr>
        <w:spacing w:after="0" w:line="360" w:lineRule="auto"/>
        <w:jc w:val="both"/>
        <w:rPr>
          <w:sz w:val="24"/>
          <w:szCs w:val="24"/>
        </w:rPr>
      </w:pPr>
      <w:r>
        <w:rPr>
          <w:sz w:val="24"/>
          <w:szCs w:val="24"/>
        </w:rPr>
        <w:t xml:space="preserve">Ponieważ oddział nie ma zdolności do zawierania umów o zakup usług lub produkcji, umowę taką na rzecz oddziału może zawrzeć tylko Spółka. Zdaniem Wnioskodawcy nie oznacza </w:t>
      </w:r>
      <w:r w:rsidR="004A699A">
        <w:rPr>
          <w:sz w:val="24"/>
          <w:szCs w:val="24"/>
        </w:rPr>
        <w:br/>
      </w:r>
      <w:r>
        <w:rPr>
          <w:sz w:val="24"/>
          <w:szCs w:val="24"/>
        </w:rPr>
        <w:t xml:space="preserve">to jednak, że w takiej sytuacji odbiorcą usługi jest nadal Spółka. To z kolei oznacza, że zakup usług, produkcji zostanie dokonany de facto przez oddział, a jedynie z przyczyn natury organizacyjno – prawnej formalnie stroną umowy będzie Spółka. Wnioskodawca wskazuje, że z przepisów nie wynika jednak, iż zakup usług, produkcji może rozliczać tylko strona która zawarła umowę w tym zakresie. Przepis art.22 ust.2 ustawy o rehabilitacji nie daje też podstaw do wykluczenia oddziału będącego samodzielnym pracodawcą z możliwości skorzystania z prawa do obniżenia wpłat na PFRON. Warunki skorzystania z obniżenia wpłaty zostały bowiem skonstruowane w kierunku udokumentowania zakupu produkcji, usług przez </w:t>
      </w:r>
      <w:r>
        <w:rPr>
          <w:sz w:val="24"/>
          <w:szCs w:val="24"/>
        </w:rPr>
        <w:lastRenderedPageBreak/>
        <w:t xml:space="preserve">podmiot, który ma z takiego uprawnienia skorzystać. W sytuacji oddziałów dokumentowanie zakupu jest zaś możliwe w sposób transparentny i jednoznaczny. Co prawda faktura VAT może być wystawiona tylko na Spółkę, ale w samej treści faktury można wskazać jaka usługa i na czyją rzecz została wykonana. Nie ma żadnych przeszkód formalno-prawnych, aby </w:t>
      </w:r>
      <w:r w:rsidR="004A699A">
        <w:rPr>
          <w:sz w:val="24"/>
          <w:szCs w:val="24"/>
        </w:rPr>
        <w:br/>
      </w:r>
      <w:r>
        <w:rPr>
          <w:sz w:val="24"/>
          <w:szCs w:val="24"/>
        </w:rPr>
        <w:t>w treści faktury VAT określić, iż została ona wystawiona z tytułu zakupu usługi, produkcji przez oddział. W ten sposób warunek udokumentowania zakupu fakturą zostanie spełniony.</w:t>
      </w:r>
    </w:p>
    <w:p w:rsidR="004371EB" w:rsidRDefault="004371EB" w:rsidP="004371EB">
      <w:pPr>
        <w:spacing w:after="0" w:line="360" w:lineRule="auto"/>
        <w:jc w:val="both"/>
        <w:rPr>
          <w:sz w:val="24"/>
          <w:szCs w:val="24"/>
        </w:rPr>
      </w:pPr>
      <w:r>
        <w:rPr>
          <w:sz w:val="24"/>
          <w:szCs w:val="24"/>
        </w:rPr>
        <w:t>Przeszkodą w rozliczeniu zakupu usług, produkcji na rzecz oddziału nie może być także warunek w postaci uregulowania należności, ponieważ uiszczając wynagrodzenie z tytułu zakupu produkcji, usługi można wskazać w tytule przelewu, iż zapłata następuje za konkretną fakturę, która z kolei dokumentuje zakup usługi, produkcji na rzecz oddziału.</w:t>
      </w:r>
    </w:p>
    <w:p w:rsidR="004371EB" w:rsidRDefault="004371EB" w:rsidP="004371EB">
      <w:pPr>
        <w:spacing w:after="0" w:line="360" w:lineRule="auto"/>
        <w:jc w:val="both"/>
        <w:rPr>
          <w:sz w:val="24"/>
          <w:szCs w:val="24"/>
        </w:rPr>
      </w:pPr>
      <w:r>
        <w:rPr>
          <w:sz w:val="24"/>
          <w:szCs w:val="24"/>
        </w:rPr>
        <w:t xml:space="preserve">W przypadku oddziału spełnić można także ostatni warunek związany z udokumentowaniem kwoty obniżenia na podstawie informacji wystawionej przez sprzedającego. Informacje tego rodzaju są przygotowywane na urzędowych formularzach i na informacjach tych wskazuje się poza określeniem nabywcy także znak faktury, a zatem jej numer identyfikacyjny. Zgodnie </w:t>
      </w:r>
      <w:r>
        <w:rPr>
          <w:sz w:val="24"/>
          <w:szCs w:val="24"/>
        </w:rPr>
        <w:br/>
        <w:t xml:space="preserve">z objaśnieniami do formularza INF-U dane nabywcy powinny być zgodne z danymi </w:t>
      </w:r>
      <w:r w:rsidR="004A699A">
        <w:rPr>
          <w:sz w:val="24"/>
          <w:szCs w:val="24"/>
        </w:rPr>
        <w:br/>
      </w:r>
      <w:r>
        <w:rPr>
          <w:sz w:val="24"/>
          <w:szCs w:val="24"/>
        </w:rPr>
        <w:t xml:space="preserve">na fakturze, a zatem jako nabywcę należy wskazać Spółkę, ale z uwagi na fakt, iż informacja jest wystawiana do poszczególnych faktur VAT, można na podstawie faktury VAT ustalić, </w:t>
      </w:r>
      <w:r w:rsidR="004A699A">
        <w:rPr>
          <w:sz w:val="24"/>
          <w:szCs w:val="24"/>
        </w:rPr>
        <w:br/>
      </w:r>
      <w:r>
        <w:rPr>
          <w:sz w:val="24"/>
          <w:szCs w:val="24"/>
        </w:rPr>
        <w:t xml:space="preserve">czy usługa, produkcja została zakupiona przez Spółkę czy de facto przez oddział, który był odbiorcą wskazanego zakupu. </w:t>
      </w:r>
    </w:p>
    <w:p w:rsidR="004371EB" w:rsidRDefault="004371EB" w:rsidP="004371EB">
      <w:pPr>
        <w:spacing w:after="0" w:line="360" w:lineRule="auto"/>
        <w:jc w:val="both"/>
        <w:rPr>
          <w:sz w:val="24"/>
          <w:szCs w:val="24"/>
        </w:rPr>
      </w:pPr>
      <w:r>
        <w:rPr>
          <w:sz w:val="24"/>
          <w:szCs w:val="24"/>
        </w:rPr>
        <w:t xml:space="preserve">Zdaniem Wnioskodawcy przepisy nie mogą być interpretowane w taki sposób, że z prawa </w:t>
      </w:r>
      <w:r w:rsidR="004A699A">
        <w:rPr>
          <w:sz w:val="24"/>
          <w:szCs w:val="24"/>
        </w:rPr>
        <w:br/>
      </w:r>
      <w:r>
        <w:rPr>
          <w:sz w:val="24"/>
          <w:szCs w:val="24"/>
        </w:rPr>
        <w:t xml:space="preserve">do obniżenia wpłat mogą korzystać tylko podmioty, które mogą być stroną umowy czy nabywcą wskazanym na fakturze VAT. Warunki obniżenia są ściśle powiązane z kwestią dokumentowania zakupu, a w przypadku oddziału nie ma żadnych przeszkód aby </w:t>
      </w:r>
      <w:r w:rsidR="004A699A">
        <w:rPr>
          <w:sz w:val="24"/>
          <w:szCs w:val="24"/>
        </w:rPr>
        <w:br/>
      </w:r>
      <w:r>
        <w:rPr>
          <w:sz w:val="24"/>
          <w:szCs w:val="24"/>
        </w:rPr>
        <w:t xml:space="preserve">na podstawie dokumentów źródłowych ustalić kto de facto zakupił produkcję czy usługę. Umowy o świadczenie usług są co prawda zawierane z </w:t>
      </w:r>
      <w:r w:rsidR="006449A3">
        <w:rPr>
          <w:sz w:val="24"/>
          <w:szCs w:val="24"/>
        </w:rPr>
        <w:t>Wnioskodawcą</w:t>
      </w:r>
      <w:r>
        <w:rPr>
          <w:sz w:val="24"/>
          <w:szCs w:val="24"/>
        </w:rPr>
        <w:t xml:space="preserve">, ale w treści umów oddziały są wskazane jako odbiorcy tych usług. Zawieranie umowy cywilnoprawnej poprzez Spółkę wynika tylko z faktu, że oddział na gruncie prawa cywilnego nie jest podmiotem praw i obowiązków, i samodzielnie umowy zawrzeć nie może. Formalnie zatem umowa zawierana jest przez Spółkę, ale ze skutkiem dla oddziałów, ponieważ to one korzystają </w:t>
      </w:r>
      <w:r w:rsidR="004A699A">
        <w:rPr>
          <w:sz w:val="24"/>
          <w:szCs w:val="24"/>
        </w:rPr>
        <w:br/>
      </w:r>
      <w:r>
        <w:rPr>
          <w:sz w:val="24"/>
          <w:szCs w:val="24"/>
        </w:rPr>
        <w:t xml:space="preserve">ze świadczonych usług w zakresie dla nich zastrzeżonym. Co więcej także wartość wynagrodzenia nie jest skalkulowana globalnie, ale usługa dla każdego zakładu – oddziału jest skalkulowana odrębnie. Tak też odbywa się fakturowanie usług. Faktura VAT nie jest </w:t>
      </w:r>
      <w:r>
        <w:rPr>
          <w:sz w:val="24"/>
          <w:szCs w:val="24"/>
        </w:rPr>
        <w:lastRenderedPageBreak/>
        <w:t xml:space="preserve">bowiem wystawiana na pełną kwotę z umowy, ale usługi na rzecz każdego z oddziałów </w:t>
      </w:r>
      <w:r>
        <w:rPr>
          <w:sz w:val="24"/>
          <w:szCs w:val="24"/>
        </w:rPr>
        <w:br/>
        <w:t>i pozostałych zakładów są fakturowane w oddzielnych fakturach VAT.</w:t>
      </w:r>
    </w:p>
    <w:p w:rsidR="004371EB" w:rsidRDefault="006449A3" w:rsidP="004371EB">
      <w:pPr>
        <w:spacing w:after="120" w:line="360" w:lineRule="auto"/>
        <w:jc w:val="both"/>
        <w:rPr>
          <w:rFonts w:ascii="Calibri" w:hAnsi="Calibri" w:cs="Arial"/>
          <w:sz w:val="24"/>
          <w:szCs w:val="24"/>
        </w:rPr>
      </w:pPr>
      <w:r>
        <w:rPr>
          <w:rFonts w:ascii="Calibri" w:hAnsi="Calibri" w:cs="Arial"/>
          <w:sz w:val="24"/>
          <w:szCs w:val="24"/>
        </w:rPr>
        <w:t xml:space="preserve">W </w:t>
      </w:r>
      <w:r w:rsidR="004371EB">
        <w:rPr>
          <w:rFonts w:ascii="Calibri" w:hAnsi="Calibri" w:cs="Arial"/>
          <w:sz w:val="24"/>
          <w:szCs w:val="24"/>
        </w:rPr>
        <w:t xml:space="preserve">ocenie Wnioskodawcy </w:t>
      </w:r>
      <w:r>
        <w:rPr>
          <w:rFonts w:ascii="Calibri" w:hAnsi="Calibri" w:cs="Arial"/>
          <w:sz w:val="24"/>
          <w:szCs w:val="24"/>
        </w:rPr>
        <w:t>należy</w:t>
      </w:r>
      <w:r w:rsidR="004371EB">
        <w:rPr>
          <w:rFonts w:ascii="Calibri" w:hAnsi="Calibri" w:cs="Arial"/>
          <w:sz w:val="24"/>
          <w:szCs w:val="24"/>
        </w:rPr>
        <w:t xml:space="preserve"> uznać, że oddział w opisanej sytuacji ma prawo do obniżenia wpłat na PFRON, ponieważ jest w stanie udokumentować wszystkie elementy jakie są niezbędne do skorzystania z prawa do obniżenia.</w:t>
      </w:r>
    </w:p>
    <w:p w:rsidR="004371EB" w:rsidRDefault="004371EB" w:rsidP="004371EB">
      <w:pPr>
        <w:spacing w:after="0" w:line="360" w:lineRule="auto"/>
        <w:jc w:val="both"/>
        <w:rPr>
          <w:rFonts w:ascii="Calibri" w:hAnsi="Calibri" w:cs="Arial"/>
          <w:b/>
          <w:sz w:val="24"/>
          <w:szCs w:val="24"/>
        </w:rPr>
      </w:pPr>
      <w:r w:rsidRPr="00024A94">
        <w:rPr>
          <w:rFonts w:ascii="Calibri" w:hAnsi="Calibri" w:cs="Arial"/>
          <w:b/>
          <w:sz w:val="24"/>
          <w:szCs w:val="24"/>
        </w:rPr>
        <w:t xml:space="preserve">W związku z powyższym zwrócono się z wnioskiem o rozstrzygnięcie następującej kwestii: </w:t>
      </w:r>
    </w:p>
    <w:p w:rsidR="004371EB" w:rsidRDefault="004371EB" w:rsidP="004371EB">
      <w:pPr>
        <w:spacing w:after="120" w:line="360" w:lineRule="auto"/>
        <w:jc w:val="both"/>
        <w:rPr>
          <w:rFonts w:ascii="Calibri" w:hAnsi="Calibri" w:cs="Arial"/>
          <w:sz w:val="24"/>
          <w:szCs w:val="24"/>
        </w:rPr>
      </w:pPr>
      <w:r>
        <w:rPr>
          <w:rFonts w:ascii="Calibri" w:hAnsi="Calibri" w:cs="Arial"/>
          <w:sz w:val="24"/>
          <w:szCs w:val="24"/>
        </w:rPr>
        <w:t xml:space="preserve">czy oddział, który ma status samodzielnego pracodawcy może korzystać z prawa </w:t>
      </w:r>
      <w:r>
        <w:rPr>
          <w:rFonts w:ascii="Calibri" w:hAnsi="Calibri" w:cs="Arial"/>
          <w:sz w:val="24"/>
          <w:szCs w:val="24"/>
        </w:rPr>
        <w:br/>
        <w:t xml:space="preserve">do obniżenia wpłat na PFRON w sytuacji gdy umowa o świadczenie usług została co prawda podpisane ze Spółką, ale jednocześnie na podstawie postanowień umowy, faktur VAT można ustalić jaka usługa o jakiej wartości została wykonana na rzecz oddziału Spółki? </w:t>
      </w:r>
    </w:p>
    <w:p w:rsidR="004371EB" w:rsidRPr="00024A94" w:rsidRDefault="004371EB" w:rsidP="004371EB">
      <w:pPr>
        <w:spacing w:after="0" w:line="360" w:lineRule="auto"/>
        <w:jc w:val="both"/>
        <w:rPr>
          <w:rFonts w:ascii="Calibri" w:hAnsi="Calibri" w:cs="Arial"/>
          <w:b/>
          <w:sz w:val="24"/>
          <w:szCs w:val="24"/>
        </w:rPr>
      </w:pPr>
      <w:r w:rsidRPr="00024A94">
        <w:rPr>
          <w:rFonts w:ascii="Calibri" w:hAnsi="Calibri" w:cs="Arial"/>
          <w:b/>
          <w:sz w:val="24"/>
          <w:szCs w:val="24"/>
        </w:rPr>
        <w:t>Na tle przedstawionego stanu faktycznego, stwierdzam co następuje:</w:t>
      </w:r>
    </w:p>
    <w:p w:rsidR="004A699A" w:rsidRPr="00024A94" w:rsidRDefault="004A699A" w:rsidP="004A699A">
      <w:pPr>
        <w:spacing w:after="0" w:line="360" w:lineRule="auto"/>
        <w:jc w:val="both"/>
        <w:rPr>
          <w:rFonts w:ascii="Calibri" w:hAnsi="Calibri" w:cs="Arial"/>
          <w:i/>
          <w:sz w:val="24"/>
          <w:szCs w:val="24"/>
        </w:rPr>
      </w:pPr>
      <w:r w:rsidRPr="00024A94">
        <w:rPr>
          <w:rFonts w:ascii="Calibri" w:hAnsi="Calibri" w:cs="Arial"/>
          <w:sz w:val="24"/>
          <w:szCs w:val="24"/>
        </w:rPr>
        <w:t xml:space="preserve">Zgodnie z art.10 ust.1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4A699A" w:rsidRDefault="004A699A" w:rsidP="004A699A">
      <w:pPr>
        <w:pStyle w:val="Tekstpodstawowy"/>
        <w:jc w:val="both"/>
        <w:rPr>
          <w:rFonts w:asciiTheme="minorHAnsi" w:hAnsiTheme="minorHAnsi"/>
        </w:rPr>
      </w:pPr>
      <w:r w:rsidRPr="0014481D">
        <w:rPr>
          <w:rFonts w:asciiTheme="minorHAnsi" w:hAnsiTheme="minorHAnsi"/>
        </w:rPr>
        <w:t>Zgodnie z art.2</w:t>
      </w:r>
      <w:r>
        <w:rPr>
          <w:rFonts w:asciiTheme="minorHAnsi" w:hAnsiTheme="minorHAnsi"/>
        </w:rPr>
        <w:t>2</w:t>
      </w:r>
      <w:r w:rsidRPr="0014481D">
        <w:rPr>
          <w:rFonts w:asciiTheme="minorHAnsi" w:hAnsiTheme="minorHAnsi"/>
        </w:rPr>
        <w:t xml:space="preserve"> ustawy o rehabilitacji</w:t>
      </w:r>
      <w:r>
        <w:rPr>
          <w:rFonts w:asciiTheme="minorHAnsi" w:hAnsiTheme="minorHAnsi"/>
        </w:rPr>
        <w:t xml:space="preserve">, wpłaty na Fundusz, o których mowa w art.21, ulegają obniżeniu z tytułu zakupu produkcji lub usługi, z wyłączeniem handlu, odpowiednio wytworzonej lub świadczonej przez pracodawcę posiadającego określoną strukturę zatrudnienia ogółem i osób niepełnosprawnych – zwanego sprzedającym.    </w:t>
      </w:r>
      <w:r w:rsidRPr="0014481D">
        <w:rPr>
          <w:rFonts w:asciiTheme="minorHAnsi" w:hAnsiTheme="minorHAnsi"/>
        </w:rPr>
        <w:t xml:space="preserve"> </w:t>
      </w:r>
    </w:p>
    <w:p w:rsidR="004A699A" w:rsidRDefault="004A699A" w:rsidP="004A699A">
      <w:pPr>
        <w:pStyle w:val="Tekstpodstawowy"/>
        <w:jc w:val="both"/>
        <w:rPr>
          <w:rFonts w:asciiTheme="minorHAnsi" w:hAnsiTheme="minorHAnsi"/>
        </w:rPr>
      </w:pPr>
      <w:r w:rsidRPr="006238FB">
        <w:rPr>
          <w:rFonts w:asciiTheme="minorHAnsi" w:hAnsiTheme="minorHAnsi"/>
        </w:rPr>
        <w:t>Ustawa o rehabilitacji, w art.</w:t>
      </w:r>
      <w:r>
        <w:rPr>
          <w:rFonts w:asciiTheme="minorHAnsi" w:hAnsiTheme="minorHAnsi"/>
        </w:rPr>
        <w:t xml:space="preserve"> </w:t>
      </w:r>
      <w:r w:rsidRPr="006238FB">
        <w:rPr>
          <w:rFonts w:asciiTheme="minorHAnsi" w:hAnsiTheme="minorHAnsi"/>
        </w:rPr>
        <w:t>22 ust.2, wprost wskazuje jakie warunki muszą być spełnione</w:t>
      </w:r>
      <w:r>
        <w:rPr>
          <w:rFonts w:asciiTheme="minorHAnsi" w:hAnsiTheme="minorHAnsi"/>
        </w:rPr>
        <w:t xml:space="preserve"> łącznie</w:t>
      </w:r>
      <w:r w:rsidRPr="006238FB">
        <w:rPr>
          <w:rFonts w:asciiTheme="minorHAnsi" w:hAnsiTheme="minorHAnsi"/>
        </w:rPr>
        <w:t>, aby doszło do obniżenia wpłaty na PFRON. Niespełnienie któregoś z nich powoduje brak możliwości nabycia prawa do obniżenia.</w:t>
      </w:r>
      <w:r>
        <w:rPr>
          <w:rFonts w:asciiTheme="minorHAnsi" w:hAnsiTheme="minorHAnsi"/>
        </w:rPr>
        <w:t xml:space="preserve"> Natomiast samo nabycie prawa do obniżenia następuje z dniem otrzymania przez nabywcę informacji o kwocie obniżenia wpłat </w:t>
      </w:r>
      <w:r>
        <w:rPr>
          <w:rFonts w:asciiTheme="minorHAnsi" w:hAnsiTheme="minorHAnsi"/>
        </w:rPr>
        <w:br/>
        <w:t>na PFRON.</w:t>
      </w:r>
    </w:p>
    <w:p w:rsidR="004A699A" w:rsidRPr="001718A3" w:rsidRDefault="004A699A" w:rsidP="004A699A">
      <w:pPr>
        <w:pStyle w:val="Tekstpodstawowy"/>
        <w:jc w:val="both"/>
        <w:rPr>
          <w:rFonts w:asciiTheme="minorHAnsi" w:hAnsiTheme="minorHAnsi"/>
        </w:rPr>
      </w:pPr>
      <w:r w:rsidRPr="006238FB">
        <w:rPr>
          <w:rFonts w:asciiTheme="minorHAnsi" w:hAnsiTheme="minorHAnsi"/>
        </w:rPr>
        <w:t xml:space="preserve">Jednym z tych warunków jest udokumentowanie zakupu fakturą. Ogólnie sam zakup produkcji lub usługi może być potwierdzony dowolnym dokumentem: umową, rachunkiem, </w:t>
      </w:r>
      <w:r w:rsidRPr="001718A3">
        <w:rPr>
          <w:rFonts w:asciiTheme="minorHAnsi" w:hAnsiTheme="minorHAnsi"/>
        </w:rPr>
        <w:t>fakturą, oświadczeniem stron. Jednak dla celów obniżenia wpłat na PFRON możliwe jest potwierdzenie zakupu wyłącznie fakturą. Z tego względu należy sięgnąć do przepisów ustawy z dnia 11 marca 2004 r. o podatku od towarów i usług (Dz.U. z 201</w:t>
      </w:r>
      <w:r>
        <w:rPr>
          <w:rFonts w:asciiTheme="minorHAnsi" w:hAnsiTheme="minorHAnsi"/>
        </w:rPr>
        <w:t>7 r. poz.</w:t>
      </w:r>
      <w:r w:rsidRPr="001718A3">
        <w:rPr>
          <w:rFonts w:asciiTheme="minorHAnsi" w:hAnsiTheme="minorHAnsi"/>
        </w:rPr>
        <w:t>1</w:t>
      </w:r>
      <w:r>
        <w:rPr>
          <w:rFonts w:asciiTheme="minorHAnsi" w:hAnsiTheme="minorHAnsi"/>
        </w:rPr>
        <w:t>221</w:t>
      </w:r>
      <w:r w:rsidRPr="001718A3">
        <w:rPr>
          <w:rFonts w:asciiTheme="minorHAnsi" w:hAnsiTheme="minorHAnsi"/>
        </w:rPr>
        <w:t xml:space="preserve"> z późn.zm.)</w:t>
      </w:r>
      <w:r>
        <w:rPr>
          <w:rFonts w:asciiTheme="minorHAnsi" w:hAnsiTheme="minorHAnsi"/>
        </w:rPr>
        <w:t>.</w:t>
      </w:r>
      <w:r w:rsidRPr="001718A3">
        <w:rPr>
          <w:rFonts w:asciiTheme="minorHAnsi" w:hAnsiTheme="minorHAnsi"/>
        </w:rPr>
        <w:t xml:space="preserve"> </w:t>
      </w:r>
    </w:p>
    <w:p w:rsidR="004A699A" w:rsidRPr="00414DB2" w:rsidRDefault="004A699A" w:rsidP="004A699A">
      <w:pPr>
        <w:spacing w:after="0" w:line="360" w:lineRule="auto"/>
        <w:jc w:val="both"/>
        <w:rPr>
          <w:rFonts w:cs="Times New Roman"/>
          <w:sz w:val="24"/>
          <w:szCs w:val="24"/>
        </w:rPr>
      </w:pPr>
      <w:r>
        <w:rPr>
          <w:rFonts w:cs="Times New Roman"/>
          <w:sz w:val="24"/>
          <w:szCs w:val="24"/>
        </w:rPr>
        <w:lastRenderedPageBreak/>
        <w:t>O</w:t>
      </w:r>
      <w:r w:rsidRPr="00414DB2">
        <w:rPr>
          <w:rFonts w:cs="Times New Roman"/>
          <w:sz w:val="24"/>
          <w:szCs w:val="24"/>
        </w:rPr>
        <w:t>d dnia 1 maja 2004 r.</w:t>
      </w:r>
      <w:r>
        <w:rPr>
          <w:rFonts w:cs="Times New Roman"/>
          <w:sz w:val="24"/>
          <w:szCs w:val="24"/>
        </w:rPr>
        <w:t>,</w:t>
      </w:r>
      <w:r w:rsidRPr="00414DB2">
        <w:rPr>
          <w:rFonts w:cs="Times New Roman"/>
          <w:sz w:val="24"/>
          <w:szCs w:val="24"/>
        </w:rPr>
        <w:t xml:space="preserve"> na podstawie art.160 ust.3 ustawy o podatku od towarów i usług</w:t>
      </w:r>
      <w:r>
        <w:rPr>
          <w:rFonts w:cs="Times New Roman"/>
          <w:sz w:val="24"/>
          <w:szCs w:val="24"/>
        </w:rPr>
        <w:t>,</w:t>
      </w:r>
      <w:r w:rsidRPr="00414DB2">
        <w:rPr>
          <w:rFonts w:cs="Times New Roman"/>
          <w:sz w:val="24"/>
          <w:szCs w:val="24"/>
        </w:rPr>
        <w:t xml:space="preserve"> oddział jako forma organizacyjna przestał być odrębnym podatnikiem podatku VAT i jest obowiązany we wszystkich sprawach związanych z rozliczeniem tego podatku </w:t>
      </w:r>
      <w:r>
        <w:rPr>
          <w:rFonts w:cs="Times New Roman"/>
          <w:sz w:val="24"/>
          <w:szCs w:val="24"/>
        </w:rPr>
        <w:br/>
      </w:r>
      <w:r w:rsidRPr="00414DB2">
        <w:rPr>
          <w:rFonts w:cs="Times New Roman"/>
          <w:sz w:val="24"/>
          <w:szCs w:val="24"/>
        </w:rPr>
        <w:t>do posługiwania się NIP-em jednostki macierzystej.</w:t>
      </w:r>
    </w:p>
    <w:p w:rsidR="004A699A" w:rsidRPr="00414DB2" w:rsidRDefault="004A699A" w:rsidP="004A699A">
      <w:pPr>
        <w:spacing w:after="0" w:line="360" w:lineRule="auto"/>
        <w:jc w:val="both"/>
        <w:rPr>
          <w:rFonts w:cs="Times New Roman"/>
          <w:sz w:val="24"/>
          <w:szCs w:val="24"/>
        </w:rPr>
      </w:pPr>
      <w:r w:rsidRPr="00414DB2">
        <w:rPr>
          <w:rFonts w:cs="Times New Roman"/>
          <w:sz w:val="24"/>
          <w:szCs w:val="24"/>
        </w:rPr>
        <w:t xml:space="preserve">Powyższe oznacza, iż sprzedający, w przypadku zakupów produkcji lub usług dokonanych przez oddziały, jest zobowiązany wystawić fakturę VAT zawierającą dane nabywcy, odpowiadające </w:t>
      </w:r>
      <w:r>
        <w:rPr>
          <w:rFonts w:cs="Times New Roman"/>
          <w:sz w:val="24"/>
          <w:szCs w:val="24"/>
        </w:rPr>
        <w:t>j</w:t>
      </w:r>
      <w:r w:rsidRPr="00414DB2">
        <w:rPr>
          <w:rFonts w:cs="Times New Roman"/>
          <w:sz w:val="24"/>
          <w:szCs w:val="24"/>
        </w:rPr>
        <w:t xml:space="preserve">ednostce macierzystej. </w:t>
      </w:r>
    </w:p>
    <w:p w:rsidR="004A699A" w:rsidRPr="0014481D" w:rsidRDefault="004A699A" w:rsidP="004A699A">
      <w:pPr>
        <w:spacing w:after="0" w:line="360" w:lineRule="auto"/>
        <w:jc w:val="both"/>
        <w:rPr>
          <w:rFonts w:cs="Times New Roman"/>
          <w:sz w:val="24"/>
          <w:szCs w:val="24"/>
        </w:rPr>
      </w:pPr>
      <w:r w:rsidRPr="006238FB">
        <w:rPr>
          <w:rFonts w:cs="Times New Roman"/>
          <w:sz w:val="24"/>
          <w:szCs w:val="24"/>
        </w:rPr>
        <w:t xml:space="preserve">Bez faktury nie jest możliwe prawidłowe obliczenie kwoty obniżenia, ocenienie terminowości zapłaty za zakup ani ustalenie, czy informacja została przekazana nabywcy we właściwym czasie. Z tego względu, udokumentowanie zakupu fakturą odnosi się wyłącznie do czynności wykonywanej przez sprzedającego, nie zaś do nabywcy. To sprzedający musi udowodnić, </w:t>
      </w:r>
      <w:r>
        <w:rPr>
          <w:rFonts w:cs="Times New Roman"/>
          <w:sz w:val="24"/>
          <w:szCs w:val="24"/>
        </w:rPr>
        <w:br/>
      </w:r>
      <w:r w:rsidRPr="006238FB">
        <w:rPr>
          <w:rFonts w:cs="Times New Roman"/>
          <w:sz w:val="24"/>
          <w:szCs w:val="24"/>
        </w:rPr>
        <w:t xml:space="preserve">że zakup produkcji lub usługi został potwierdzony fakturą.    </w:t>
      </w:r>
    </w:p>
    <w:p w:rsidR="004A699A" w:rsidRDefault="004A699A" w:rsidP="004A699A">
      <w:pPr>
        <w:spacing w:after="0" w:line="360" w:lineRule="auto"/>
        <w:jc w:val="both"/>
        <w:rPr>
          <w:rFonts w:cs="Times New Roman"/>
          <w:sz w:val="24"/>
          <w:szCs w:val="24"/>
        </w:rPr>
      </w:pPr>
      <w:r>
        <w:rPr>
          <w:rFonts w:cs="Times New Roman"/>
          <w:sz w:val="24"/>
          <w:szCs w:val="24"/>
        </w:rPr>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Dopuszczalne jest wykorzystanie zewnętrznych wobec nabywcy źródeł finansowania oraz dowolnego prawnie dopuszczalnego sposobu regulowania należności za zakup (w tym faktoringu). Należy jednak pamiętać, </w:t>
      </w:r>
      <w:r>
        <w:rPr>
          <w:rFonts w:cs="Times New Roman"/>
          <w:sz w:val="24"/>
          <w:szCs w:val="24"/>
        </w:rPr>
        <w:br/>
        <w:t xml:space="preserve">że prawa nabywcy do obniżenia wpłaty nie przechodzą na inne podmioty w związku </w:t>
      </w:r>
      <w:r>
        <w:rPr>
          <w:rFonts w:cs="Times New Roman"/>
          <w:sz w:val="24"/>
          <w:szCs w:val="24"/>
        </w:rPr>
        <w:br/>
        <w:t xml:space="preserve">z zastosowanym sposobem rozliczenia. Istotne jest, aby należność za zakup produkcji lub usługi została dokonana w pełnej wysokości oraz w terminie określonym na fakturze. </w:t>
      </w:r>
    </w:p>
    <w:p w:rsidR="004A699A" w:rsidRPr="0040341D" w:rsidRDefault="004A699A" w:rsidP="004A699A">
      <w:pPr>
        <w:spacing w:after="0" w:line="360" w:lineRule="auto"/>
        <w:jc w:val="both"/>
        <w:rPr>
          <w:rFonts w:cs="Times New Roman"/>
          <w:sz w:val="24"/>
          <w:szCs w:val="24"/>
        </w:rPr>
      </w:pPr>
      <w:r>
        <w:rPr>
          <w:rFonts w:cs="Times New Roman"/>
          <w:sz w:val="24"/>
          <w:szCs w:val="24"/>
        </w:rPr>
        <w:t>Ostatnim warunkiem</w:t>
      </w:r>
      <w:r w:rsidRPr="00FD2CA1">
        <w:t xml:space="preserve"> </w:t>
      </w:r>
      <w:r w:rsidRPr="00FD2CA1">
        <w:rPr>
          <w:rFonts w:cs="Times New Roman"/>
          <w:sz w:val="24"/>
          <w:szCs w:val="24"/>
        </w:rPr>
        <w:t xml:space="preserve">jest udokumentowanie przez nabywcę kwoty obniżenia informacją </w:t>
      </w:r>
      <w:r>
        <w:rPr>
          <w:rFonts w:cs="Times New Roman"/>
          <w:sz w:val="24"/>
          <w:szCs w:val="24"/>
        </w:rPr>
        <w:br/>
      </w:r>
      <w:r w:rsidRPr="00FD2CA1">
        <w:rPr>
          <w:rFonts w:cs="Times New Roman"/>
          <w:sz w:val="24"/>
          <w:szCs w:val="24"/>
        </w:rPr>
        <w:t xml:space="preserve">o kwocie obniżenia wystawioną przez sprzedającego w określonym terminie. </w:t>
      </w:r>
      <w:r w:rsidRPr="0040341D">
        <w:rPr>
          <w:rFonts w:cs="Times New Roman"/>
          <w:sz w:val="24"/>
          <w:szCs w:val="24"/>
        </w:rPr>
        <w:t xml:space="preserve">Zgodnie </w:t>
      </w:r>
      <w:r>
        <w:rPr>
          <w:rFonts w:cs="Times New Roman"/>
          <w:sz w:val="24"/>
          <w:szCs w:val="24"/>
        </w:rPr>
        <w:br/>
      </w:r>
      <w:r w:rsidRPr="0040341D">
        <w:rPr>
          <w:rFonts w:cs="Times New Roman"/>
          <w:sz w:val="24"/>
          <w:szCs w:val="24"/>
        </w:rPr>
        <w:t xml:space="preserve">z objaśnieniami do formularza informacji o kwocie obniżenia wpłat na PFRON (INF-U) - </w:t>
      </w:r>
      <w:r w:rsidRPr="00F37027">
        <w:rPr>
          <w:rFonts w:cs="Times New Roman"/>
          <w:sz w:val="24"/>
          <w:szCs w:val="24"/>
        </w:rPr>
        <w:t xml:space="preserve">której wzór został określony Rozporządzeniem Ministra Rodziny, Pracy i Polityki Społecznej z dnia 22 czerwca 2016 r. w sprawie informacji dotyczących kwot obniżenia wpłat na Państwowy Fundusz Rehabilitacji Osób Niepełnosprawnych oraz ewidencji wystawionych informacji </w:t>
      </w:r>
      <w:r>
        <w:rPr>
          <w:rFonts w:cs="Times New Roman"/>
          <w:sz w:val="24"/>
          <w:szCs w:val="24"/>
        </w:rPr>
        <w:br/>
      </w:r>
      <w:r w:rsidRPr="00F37027">
        <w:rPr>
          <w:rFonts w:cs="Times New Roman"/>
          <w:sz w:val="24"/>
          <w:szCs w:val="24"/>
        </w:rPr>
        <w:t>o kwocie obniżenia (Dz.U. z 2016 r. poz.928)</w:t>
      </w:r>
      <w:r>
        <w:rPr>
          <w:rFonts w:cs="Times New Roman"/>
          <w:sz w:val="24"/>
          <w:szCs w:val="24"/>
        </w:rPr>
        <w:t xml:space="preserve"> -</w:t>
      </w:r>
      <w:r w:rsidRPr="00F37027">
        <w:rPr>
          <w:rFonts w:cs="Times New Roman"/>
          <w:sz w:val="24"/>
          <w:szCs w:val="24"/>
        </w:rPr>
        <w:t xml:space="preserve"> </w:t>
      </w:r>
      <w:r w:rsidRPr="0040341D">
        <w:rPr>
          <w:rFonts w:cs="Times New Roman"/>
          <w:sz w:val="24"/>
          <w:szCs w:val="24"/>
        </w:rPr>
        <w:t xml:space="preserve">należy podać dane zgodne z danymi zamieszczonymi na fakturze dokumentującej zakup uprawniający do obniżenia wpłat </w:t>
      </w:r>
      <w:r>
        <w:rPr>
          <w:rFonts w:cs="Times New Roman"/>
          <w:sz w:val="24"/>
          <w:szCs w:val="24"/>
        </w:rPr>
        <w:br/>
      </w:r>
      <w:r w:rsidRPr="0040341D">
        <w:rPr>
          <w:rFonts w:cs="Times New Roman"/>
          <w:sz w:val="24"/>
          <w:szCs w:val="24"/>
        </w:rPr>
        <w:t>na PFRON. Dlatego, aby można było w poz.20 informacji INF-U wpisać jako nabywcę - oddział - dane tej jednostki muszą być wykazane na fakturze.</w:t>
      </w:r>
      <w:r w:rsidRPr="001718A3">
        <w:rPr>
          <w:rFonts w:cs="Times New Roman"/>
          <w:sz w:val="24"/>
          <w:szCs w:val="24"/>
        </w:rPr>
        <w:t xml:space="preserve"> </w:t>
      </w:r>
      <w:r w:rsidRPr="0040341D">
        <w:rPr>
          <w:rFonts w:cs="Times New Roman"/>
          <w:sz w:val="24"/>
          <w:szCs w:val="24"/>
        </w:rPr>
        <w:t xml:space="preserve">Jest to możliwe, ponieważ </w:t>
      </w:r>
      <w:r>
        <w:rPr>
          <w:rFonts w:cs="Times New Roman"/>
          <w:sz w:val="24"/>
          <w:szCs w:val="24"/>
        </w:rPr>
        <w:br/>
      </w:r>
      <w:r w:rsidRPr="0040341D">
        <w:rPr>
          <w:rFonts w:cs="Times New Roman"/>
          <w:sz w:val="24"/>
          <w:szCs w:val="24"/>
        </w:rPr>
        <w:t xml:space="preserve">na fakturze oprócz danych sprzedającego i nabywcy w rozumieniu przepisów ustawy </w:t>
      </w:r>
      <w:r>
        <w:rPr>
          <w:rFonts w:cs="Times New Roman"/>
          <w:sz w:val="24"/>
          <w:szCs w:val="24"/>
        </w:rPr>
        <w:br/>
      </w:r>
      <w:r w:rsidRPr="0040341D">
        <w:rPr>
          <w:rFonts w:cs="Times New Roman"/>
          <w:sz w:val="24"/>
          <w:szCs w:val="24"/>
        </w:rPr>
        <w:lastRenderedPageBreak/>
        <w:t xml:space="preserve">o podatku od towarów i usług, mogą być zawarte dodatkowe dane dotyczące jednostki wewnętrznej jako odbiorcy świadczonej usługi czy wytworzonej produkcji. Danymi identyfikującymi odbiorcę na fakturze będą jego nazwa oraz adres. Natomiast NIP odbiorcy jako płatnika podatków i składek ZUS sprzedający może uzyskać w każdy możliwy sposób.  </w:t>
      </w:r>
    </w:p>
    <w:p w:rsidR="004A699A" w:rsidRPr="0040341D" w:rsidRDefault="004A699A" w:rsidP="004A699A">
      <w:pPr>
        <w:spacing w:after="0" w:line="360" w:lineRule="auto"/>
        <w:jc w:val="both"/>
        <w:rPr>
          <w:rFonts w:cs="Times New Roman"/>
          <w:sz w:val="24"/>
          <w:szCs w:val="24"/>
        </w:rPr>
      </w:pPr>
      <w:r w:rsidRPr="0040341D">
        <w:rPr>
          <w:rFonts w:cs="Times New Roman"/>
          <w:sz w:val="24"/>
          <w:szCs w:val="24"/>
        </w:rPr>
        <w:t xml:space="preserve">Sprzedający, którzy na fakturach ujmowali również dane jednostek wewnętrznych, powinni skorygować informacje o kwocie obniżenia wpłat na PFRON wystawione wcześniej </w:t>
      </w:r>
      <w:r>
        <w:rPr>
          <w:rFonts w:cs="Times New Roman"/>
          <w:sz w:val="24"/>
          <w:szCs w:val="24"/>
        </w:rPr>
        <w:br/>
      </w:r>
      <w:r w:rsidRPr="0040341D">
        <w:rPr>
          <w:rFonts w:cs="Times New Roman"/>
          <w:sz w:val="24"/>
          <w:szCs w:val="24"/>
        </w:rPr>
        <w:t>na jednostki macierzyste. Natomiast w przypadku faktur, które nie posiadały danych jednostek będących faktycznymi odbiorcami usług czy produkcji, sprzedający powinni dokonać korekt informacji INF-U po otrzymaniu od tych jednostek not korygujących zawierających dane w tym zakresie.</w:t>
      </w:r>
    </w:p>
    <w:p w:rsidR="004A699A" w:rsidRPr="008B4905" w:rsidRDefault="004A699A" w:rsidP="004A699A">
      <w:pPr>
        <w:spacing w:after="0" w:line="360" w:lineRule="auto"/>
        <w:jc w:val="both"/>
        <w:rPr>
          <w:rFonts w:cs="Times New Roman"/>
          <w:sz w:val="24"/>
          <w:szCs w:val="24"/>
        </w:rPr>
      </w:pPr>
      <w:r>
        <w:rPr>
          <w:rFonts w:cs="Times New Roman"/>
          <w:sz w:val="24"/>
          <w:szCs w:val="24"/>
        </w:rPr>
        <w:t>Jednocześnie należy mieć na uwadze, że s</w:t>
      </w:r>
      <w:r w:rsidRPr="008B4905">
        <w:rPr>
          <w:rFonts w:cs="Times New Roman"/>
          <w:sz w:val="24"/>
          <w:szCs w:val="24"/>
        </w:rPr>
        <w:t xml:space="preserve">przedający wystawia informację o kwocie obniżenia każdemu nabywcy, którego zakup został udokumentowany fakturą, a płatność </w:t>
      </w:r>
      <w:r>
        <w:rPr>
          <w:rFonts w:cs="Times New Roman"/>
          <w:sz w:val="24"/>
          <w:szCs w:val="24"/>
        </w:rPr>
        <w:br/>
      </w:r>
      <w:r w:rsidRPr="008B4905">
        <w:rPr>
          <w:rFonts w:cs="Times New Roman"/>
          <w:sz w:val="24"/>
          <w:szCs w:val="24"/>
        </w:rPr>
        <w:t xml:space="preserve">za zakup nastąpiła w terminie określonym na fakturze. Sprzedający nie ma obowiązku ustalania czy nabywcy dotyczy obowiązek wpłat, ani czy jest on zobowiązany do ich dokonywania. Nabycie prawa do obniżenia nie zależy od statusu nabywcy. </w:t>
      </w:r>
      <w:r>
        <w:rPr>
          <w:rFonts w:cs="Times New Roman"/>
          <w:sz w:val="24"/>
          <w:szCs w:val="24"/>
        </w:rPr>
        <w:t>P</w:t>
      </w:r>
      <w:r w:rsidRPr="008B4905">
        <w:rPr>
          <w:rFonts w:cs="Times New Roman"/>
          <w:sz w:val="24"/>
          <w:szCs w:val="24"/>
        </w:rPr>
        <w:t>osiadanie przez oddział przymiot</w:t>
      </w:r>
      <w:r>
        <w:rPr>
          <w:rFonts w:cs="Times New Roman"/>
          <w:sz w:val="24"/>
          <w:szCs w:val="24"/>
        </w:rPr>
        <w:t>u</w:t>
      </w:r>
      <w:r w:rsidRPr="008B4905">
        <w:rPr>
          <w:rFonts w:cs="Times New Roman"/>
          <w:sz w:val="24"/>
          <w:szCs w:val="24"/>
        </w:rPr>
        <w:t xml:space="preserve"> pracodawcy nie ma znaczenia dla nabycia praw do obniżenia wpłat </w:t>
      </w:r>
      <w:r>
        <w:rPr>
          <w:rFonts w:cs="Times New Roman"/>
          <w:sz w:val="24"/>
          <w:szCs w:val="24"/>
        </w:rPr>
        <w:br/>
      </w:r>
      <w:r w:rsidRPr="008B4905">
        <w:rPr>
          <w:rFonts w:cs="Times New Roman"/>
          <w:sz w:val="24"/>
          <w:szCs w:val="24"/>
        </w:rPr>
        <w:t>na PFRON. Ma tylko znaczenie w momencie korzystania z takiego obniżenia. Z tego względu nie można utożsamiać nabywcy w pracodawcą zobowiązanym do wpłat na PFRON, bowiem nabywcą w rozumieniu przepisów ustawy o rehabilitacji może być również:</w:t>
      </w:r>
    </w:p>
    <w:p w:rsidR="004A699A" w:rsidRPr="008B4905" w:rsidRDefault="004A699A" w:rsidP="004A699A">
      <w:pPr>
        <w:tabs>
          <w:tab w:val="left" w:pos="284"/>
        </w:tabs>
        <w:spacing w:after="0" w:line="360" w:lineRule="auto"/>
        <w:ind w:left="284" w:hanging="284"/>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zakupu jako konsument indywidualny, który nie prowadzi działalności gospodarczej;</w:t>
      </w:r>
    </w:p>
    <w:p w:rsidR="004A699A" w:rsidRPr="008B4905" w:rsidRDefault="004A699A" w:rsidP="004A699A">
      <w:pPr>
        <w:tabs>
          <w:tab w:val="left" w:pos="284"/>
        </w:tabs>
        <w:spacing w:after="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cyklicznych zakupów jak np. abonament ochrony;</w:t>
      </w:r>
    </w:p>
    <w:p w:rsidR="004A699A" w:rsidRDefault="004A699A" w:rsidP="004A699A">
      <w:pPr>
        <w:tabs>
          <w:tab w:val="left" w:pos="284"/>
        </w:tabs>
        <w:spacing w:after="12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kontrahent zagraniczny, którego siedziba znajduje się poza granicami Polski.</w:t>
      </w:r>
    </w:p>
    <w:p w:rsidR="004371EB" w:rsidRPr="0014481D" w:rsidRDefault="004371EB" w:rsidP="004371EB">
      <w:pPr>
        <w:pStyle w:val="Tekstpodstawowy"/>
        <w:spacing w:after="120"/>
        <w:jc w:val="both"/>
        <w:rPr>
          <w:rFonts w:asciiTheme="minorHAnsi" w:hAnsiTheme="minorHAnsi"/>
        </w:rPr>
      </w:pPr>
      <w:r w:rsidRPr="0014481D">
        <w:rPr>
          <w:rFonts w:asciiTheme="minorHAnsi" w:hAnsiTheme="minorHAnsi" w:cs="Arial"/>
        </w:rPr>
        <w:t xml:space="preserve">Mając powyższe na uwadze, stanowisko </w:t>
      </w:r>
      <w:r w:rsidR="001F12BD">
        <w:rPr>
          <w:rFonts w:ascii="Calibri" w:hAnsi="Calibri" w:cs="Arial"/>
        </w:rPr>
        <w:t>XXXXXXXXXXXXXXX</w:t>
      </w:r>
      <w:r w:rsidRPr="0014481D">
        <w:rPr>
          <w:rFonts w:asciiTheme="minorHAnsi" w:hAnsiTheme="minorHAnsi" w:cs="Arial"/>
        </w:rPr>
        <w:t xml:space="preserve"> z siedzibą w </w:t>
      </w:r>
      <w:r w:rsidR="001F12BD">
        <w:rPr>
          <w:rFonts w:asciiTheme="minorHAnsi" w:hAnsiTheme="minorHAnsi" w:cs="Arial"/>
        </w:rPr>
        <w:t>XXXXXXXX</w:t>
      </w:r>
      <w:r w:rsidRPr="0014481D">
        <w:rPr>
          <w:rFonts w:asciiTheme="minorHAnsi" w:hAnsiTheme="minorHAnsi" w:cs="Arial"/>
        </w:rPr>
        <w:t xml:space="preserve"> wyrażone w piśmie z dnia 8 lutego 2017 r. w sprawie pisemnej interpretacji przepisów prawa w zakresie stosowania przepisów art. 22 ustawy o rehabilitacji – </w:t>
      </w:r>
      <w:r w:rsidRPr="0014481D">
        <w:rPr>
          <w:rFonts w:asciiTheme="minorHAnsi" w:hAnsiTheme="minorHAnsi" w:cs="Arial"/>
          <w:b/>
        </w:rPr>
        <w:t>jest prawidłowe</w:t>
      </w:r>
      <w:r w:rsidRPr="0014481D">
        <w:rPr>
          <w:rFonts w:asciiTheme="minorHAnsi" w:hAnsiTheme="minorHAnsi" w:cs="Arial"/>
        </w:rPr>
        <w:t>.</w:t>
      </w:r>
    </w:p>
    <w:p w:rsidR="004371EB" w:rsidRDefault="004371EB" w:rsidP="004371EB">
      <w:pPr>
        <w:spacing w:after="120" w:line="360" w:lineRule="auto"/>
        <w:jc w:val="both"/>
        <w:rPr>
          <w:rFonts w:cs="Arial"/>
          <w:sz w:val="24"/>
          <w:szCs w:val="24"/>
        </w:rPr>
      </w:pPr>
      <w:r w:rsidRPr="0014481D">
        <w:rPr>
          <w:rFonts w:cs="Arial"/>
          <w:sz w:val="24"/>
          <w:szCs w:val="24"/>
        </w:rPr>
        <w:t>W związku z powyższym postanowiono, jak w sentencji.</w:t>
      </w:r>
    </w:p>
    <w:p w:rsidR="004A699A" w:rsidRDefault="004A699A" w:rsidP="004A699A">
      <w:pPr>
        <w:spacing w:after="120" w:line="360" w:lineRule="auto"/>
        <w:jc w:val="both"/>
        <w:rPr>
          <w:rFonts w:cs="Arial"/>
          <w:sz w:val="18"/>
          <w:szCs w:val="18"/>
        </w:rPr>
      </w:pPr>
      <w:r w:rsidRPr="00FE64D4">
        <w:rPr>
          <w:rFonts w:cs="Arial"/>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w:t>
      </w:r>
      <w:r w:rsidRPr="00FE64D4">
        <w:rPr>
          <w:rFonts w:cs="Arial"/>
          <w:sz w:val="18"/>
          <w:szCs w:val="18"/>
        </w:rPr>
        <w:lastRenderedPageBreak/>
        <w:t xml:space="preserve">znaną mu z urzędu, powziąłby uzasadnione wątpliwości co do zgodności przedstawionego przez przedsiębiorcę-wnioskodawcę stanu faktycznego z obiektywną rzeczywistością (wyrok Wojewódzkiego Sądu Administracyjnego </w:t>
      </w:r>
      <w:r>
        <w:rPr>
          <w:rFonts w:cs="Arial"/>
          <w:sz w:val="18"/>
          <w:szCs w:val="18"/>
        </w:rPr>
        <w:br/>
      </w:r>
      <w:r w:rsidRPr="00FE64D4">
        <w:rPr>
          <w:rFonts w:cs="Arial"/>
          <w:sz w:val="18"/>
          <w:szCs w:val="18"/>
        </w:rPr>
        <w:t xml:space="preserve">w Gorzowie Wlkp. z dnia 16 lipca 2009 r., sygn. Akt II SAB/Go 8/09).      </w:t>
      </w:r>
    </w:p>
    <w:p w:rsidR="004A699A" w:rsidRPr="00024A94" w:rsidRDefault="004A699A" w:rsidP="004A699A">
      <w:pPr>
        <w:jc w:val="both"/>
        <w:rPr>
          <w:rFonts w:ascii="Calibri" w:hAnsi="Calibri" w:cs="Arial"/>
          <w:b/>
          <w:sz w:val="24"/>
          <w:szCs w:val="24"/>
        </w:rPr>
      </w:pPr>
      <w:r w:rsidRPr="00024A94">
        <w:rPr>
          <w:rFonts w:ascii="Calibri" w:hAnsi="Calibri" w:cs="Arial"/>
          <w:b/>
          <w:sz w:val="24"/>
          <w:szCs w:val="24"/>
        </w:rPr>
        <w:t>Pouczenie:</w:t>
      </w:r>
    </w:p>
    <w:p w:rsidR="004A699A" w:rsidRDefault="004A699A" w:rsidP="004A699A">
      <w:pPr>
        <w:pStyle w:val="NormalnyWeb"/>
        <w:spacing w:before="0" w:beforeAutospacing="0" w:after="0" w:afterAutospacing="0" w:line="360" w:lineRule="auto"/>
        <w:jc w:val="both"/>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w:t>
      </w:r>
      <w:r>
        <w:rPr>
          <w:rFonts w:asciiTheme="minorHAnsi" w:hAnsiTheme="minorHAnsi"/>
        </w:rPr>
        <w:t>Stronę</w:t>
      </w:r>
      <w:r w:rsidRPr="008E29BF">
        <w:rPr>
          <w:rFonts w:asciiTheme="minorHAnsi" w:hAnsiTheme="minorHAnsi"/>
        </w:rPr>
        <w:t>, decyzja staje się ostateczna i prawomocna.</w:t>
      </w:r>
    </w:p>
    <w:p w:rsidR="004A699A" w:rsidRPr="00FE64D4" w:rsidRDefault="004A699A" w:rsidP="004A699A">
      <w:pPr>
        <w:spacing w:after="120" w:line="360" w:lineRule="auto"/>
        <w:jc w:val="both"/>
        <w:rPr>
          <w:rFonts w:cs="Arial"/>
          <w:sz w:val="18"/>
          <w:szCs w:val="18"/>
        </w:rPr>
      </w:pPr>
    </w:p>
    <w:sectPr w:rsidR="004A699A" w:rsidRPr="00FE64D4" w:rsidSect="00ED38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DD" w:rsidRDefault="00E137DD" w:rsidP="007061E3">
      <w:pPr>
        <w:spacing w:after="0" w:line="240" w:lineRule="auto"/>
      </w:pPr>
      <w:r>
        <w:separator/>
      </w:r>
    </w:p>
  </w:endnote>
  <w:endnote w:type="continuationSeparator" w:id="0">
    <w:p w:rsidR="00E137DD" w:rsidRDefault="00E137DD" w:rsidP="0070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9113BC" w:rsidRDefault="00112A93">
        <w:pPr>
          <w:pStyle w:val="Stopka"/>
          <w:jc w:val="center"/>
        </w:pPr>
        <w:r>
          <w:fldChar w:fldCharType="begin"/>
        </w:r>
        <w:r w:rsidR="004371EB">
          <w:instrText>PAGE   \* MERGEFORMAT</w:instrText>
        </w:r>
        <w:r>
          <w:fldChar w:fldCharType="separate"/>
        </w:r>
        <w:r w:rsidR="007F5ECF">
          <w:rPr>
            <w:noProof/>
          </w:rPr>
          <w:t>1</w:t>
        </w:r>
        <w:r>
          <w:rPr>
            <w:noProof/>
          </w:rPr>
          <w:fldChar w:fldCharType="end"/>
        </w:r>
      </w:p>
    </w:sdtContent>
  </w:sdt>
  <w:p w:rsidR="009113BC" w:rsidRDefault="00E137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DD" w:rsidRDefault="00E137DD" w:rsidP="007061E3">
      <w:pPr>
        <w:spacing w:after="0" w:line="240" w:lineRule="auto"/>
      </w:pPr>
      <w:r>
        <w:separator/>
      </w:r>
    </w:p>
  </w:footnote>
  <w:footnote w:type="continuationSeparator" w:id="0">
    <w:p w:rsidR="00E137DD" w:rsidRDefault="00E137DD" w:rsidP="00706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953E18"/>
    <w:multiLevelType w:val="hybridMultilevel"/>
    <w:tmpl w:val="A8F4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371EB"/>
    <w:rsid w:val="0000400A"/>
    <w:rsid w:val="000B6172"/>
    <w:rsid w:val="00112A93"/>
    <w:rsid w:val="00187EAB"/>
    <w:rsid w:val="00197A73"/>
    <w:rsid w:val="001F12BD"/>
    <w:rsid w:val="002365DD"/>
    <w:rsid w:val="00244E89"/>
    <w:rsid w:val="0039328D"/>
    <w:rsid w:val="004371EB"/>
    <w:rsid w:val="004753C2"/>
    <w:rsid w:val="004A699A"/>
    <w:rsid w:val="00613CDD"/>
    <w:rsid w:val="006449A3"/>
    <w:rsid w:val="007061E3"/>
    <w:rsid w:val="007F5ECF"/>
    <w:rsid w:val="008F16A6"/>
    <w:rsid w:val="00B066CB"/>
    <w:rsid w:val="00B64754"/>
    <w:rsid w:val="00C66B26"/>
    <w:rsid w:val="00E137DD"/>
    <w:rsid w:val="00E65881"/>
    <w:rsid w:val="00E75A74"/>
    <w:rsid w:val="00EA4B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C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1EB"/>
    <w:pPr>
      <w:ind w:left="720"/>
      <w:contextualSpacing/>
    </w:pPr>
  </w:style>
  <w:style w:type="paragraph" w:styleId="Stopka">
    <w:name w:val="footer"/>
    <w:basedOn w:val="Normalny"/>
    <w:link w:val="StopkaZnak"/>
    <w:uiPriority w:val="99"/>
    <w:unhideWhenUsed/>
    <w:rsid w:val="00437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1EB"/>
    <w:rPr>
      <w:rFonts w:eastAsiaTheme="minorEastAsia"/>
      <w:lang w:eastAsia="pl-PL"/>
    </w:rPr>
  </w:style>
  <w:style w:type="character" w:customStyle="1" w:styleId="st">
    <w:name w:val="st"/>
    <w:basedOn w:val="Domylnaczcionkaakapitu"/>
    <w:rsid w:val="004371EB"/>
  </w:style>
  <w:style w:type="character" w:styleId="Uwydatnienie">
    <w:name w:val="Emphasis"/>
    <w:basedOn w:val="Domylnaczcionkaakapitu"/>
    <w:uiPriority w:val="20"/>
    <w:qFormat/>
    <w:rsid w:val="004371EB"/>
    <w:rPr>
      <w:i/>
      <w:iCs/>
    </w:rPr>
  </w:style>
  <w:style w:type="paragraph" w:styleId="Tekstpodstawowy">
    <w:name w:val="Body Text"/>
    <w:basedOn w:val="Normalny"/>
    <w:link w:val="TekstpodstawowyZnak"/>
    <w:uiPriority w:val="99"/>
    <w:rsid w:val="004371EB"/>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371EB"/>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4A69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B6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1EB"/>
    <w:pPr>
      <w:ind w:left="720"/>
      <w:contextualSpacing/>
    </w:pPr>
  </w:style>
  <w:style w:type="paragraph" w:styleId="Stopka">
    <w:name w:val="footer"/>
    <w:basedOn w:val="Normalny"/>
    <w:link w:val="StopkaZnak"/>
    <w:uiPriority w:val="99"/>
    <w:unhideWhenUsed/>
    <w:rsid w:val="00437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1EB"/>
    <w:rPr>
      <w:rFonts w:eastAsiaTheme="minorEastAsia"/>
      <w:lang w:eastAsia="pl-PL"/>
    </w:rPr>
  </w:style>
  <w:style w:type="character" w:customStyle="1" w:styleId="st">
    <w:name w:val="st"/>
    <w:basedOn w:val="Domylnaczcionkaakapitu"/>
    <w:rsid w:val="004371EB"/>
  </w:style>
  <w:style w:type="character" w:styleId="Uwydatnienie">
    <w:name w:val="Emphasis"/>
    <w:basedOn w:val="Domylnaczcionkaakapitu"/>
    <w:uiPriority w:val="20"/>
    <w:qFormat/>
    <w:rsid w:val="004371EB"/>
    <w:rPr>
      <w:i/>
      <w:iCs/>
    </w:rPr>
  </w:style>
  <w:style w:type="paragraph" w:styleId="Tekstpodstawowy">
    <w:name w:val="Body Text"/>
    <w:basedOn w:val="Normalny"/>
    <w:link w:val="TekstpodstawowyZnak"/>
    <w:uiPriority w:val="99"/>
    <w:rsid w:val="004371EB"/>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371EB"/>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4A699A"/>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B61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12678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3</cp:revision>
  <cp:lastPrinted>2018-04-16T09:38:00Z</cp:lastPrinted>
  <dcterms:created xsi:type="dcterms:W3CDTF">2018-06-08T08:27:00Z</dcterms:created>
  <dcterms:modified xsi:type="dcterms:W3CDTF">2018-06-08T11:54:00Z</dcterms:modified>
</cp:coreProperties>
</file>