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0D06B" w14:textId="613B8291" w:rsidR="00EA1C79" w:rsidRPr="00E00526" w:rsidRDefault="00474791" w:rsidP="00E00526">
      <w:pPr>
        <w:pStyle w:val="Nagwek1"/>
      </w:pPr>
      <w:bookmarkStart w:id="0" w:name="_Hlk83896690"/>
      <w:r w:rsidRPr="00E00526">
        <w:t xml:space="preserve">Załącznik do </w:t>
      </w:r>
      <w:r w:rsidR="00273207" w:rsidRPr="00E00526">
        <w:t>uchwały</w:t>
      </w:r>
      <w:r w:rsidRPr="00E00526">
        <w:t xml:space="preserve"> nr </w:t>
      </w:r>
      <w:r w:rsidR="0055337D" w:rsidRPr="00E00526">
        <w:t>11</w:t>
      </w:r>
      <w:r w:rsidR="002D3A4B" w:rsidRPr="00E00526">
        <w:t>/</w:t>
      </w:r>
      <w:r w:rsidRPr="00E00526">
        <w:t>20</w:t>
      </w:r>
      <w:r w:rsidR="00B30F05" w:rsidRPr="00E00526">
        <w:t>2</w:t>
      </w:r>
      <w:r w:rsidR="0055337D" w:rsidRPr="00E00526">
        <w:t>2</w:t>
      </w:r>
      <w:r w:rsidR="00943AF9" w:rsidRPr="00E00526">
        <w:t xml:space="preserve"> </w:t>
      </w:r>
      <w:r w:rsidR="00BB3128" w:rsidRPr="00E00526">
        <w:t xml:space="preserve">Rady Nadzorczej PFRON </w:t>
      </w:r>
      <w:r w:rsidRPr="00E00526">
        <w:t xml:space="preserve">z dnia </w:t>
      </w:r>
      <w:r w:rsidR="00BB3128" w:rsidRPr="00E00526">
        <w:t>21</w:t>
      </w:r>
      <w:r w:rsidR="002D3A4B" w:rsidRPr="00E00526">
        <w:t xml:space="preserve"> września</w:t>
      </w:r>
      <w:r w:rsidR="008C200C" w:rsidRPr="00E00526">
        <w:t xml:space="preserve"> </w:t>
      </w:r>
      <w:r w:rsidRPr="00E00526">
        <w:t>20</w:t>
      </w:r>
      <w:r w:rsidR="009623DA" w:rsidRPr="00E00526">
        <w:t>2</w:t>
      </w:r>
      <w:r w:rsidR="00B4149E" w:rsidRPr="00E00526">
        <w:t>2</w:t>
      </w:r>
      <w:r w:rsidRPr="00E00526">
        <w:t xml:space="preserve"> r.</w:t>
      </w:r>
      <w:r w:rsidR="00C909D4" w:rsidRPr="00E00526">
        <w:br/>
      </w:r>
      <w:r w:rsidR="00EA1C79" w:rsidRPr="00E00526">
        <w:t>Plan Działalności</w:t>
      </w:r>
      <w:r w:rsidR="00943AF9" w:rsidRPr="00E00526">
        <w:t xml:space="preserve"> </w:t>
      </w:r>
      <w:r w:rsidR="000206B0" w:rsidRPr="00E00526">
        <w:t xml:space="preserve">Państwowego Funduszu Rehabilitacji Osób Niepełnosprawnych </w:t>
      </w:r>
      <w:r w:rsidR="00EA1C79" w:rsidRPr="00E00526">
        <w:t>na rok 202</w:t>
      </w:r>
      <w:r w:rsidR="00B4149E" w:rsidRPr="00E00526">
        <w:t>3</w:t>
      </w:r>
    </w:p>
    <w:p w14:paraId="57FCC267" w14:textId="77777777" w:rsidR="00734829" w:rsidRPr="00E00526" w:rsidRDefault="00734829" w:rsidP="00734829">
      <w:pPr>
        <w:pStyle w:val="Nagwek2"/>
        <w:rPr>
          <w:rFonts w:asciiTheme="minorHAnsi" w:hAnsiTheme="minorHAnsi" w:cstheme="minorHAnsi"/>
        </w:rPr>
      </w:pPr>
      <w:r w:rsidRPr="00E00526">
        <w:rPr>
          <w:rFonts w:asciiTheme="minorHAnsi" w:hAnsiTheme="minorHAnsi" w:cstheme="minorHAnsi"/>
        </w:rPr>
        <w:t>CZĘŚĆ A: Najważniejsze cele do realizacji w roku 2023</w:t>
      </w:r>
    </w:p>
    <w:tbl>
      <w:tblPr>
        <w:tblStyle w:val="Tabela-Siatka"/>
        <w:tblW w:w="4973" w:type="pct"/>
        <w:tblLook w:val="04A0" w:firstRow="1" w:lastRow="0" w:firstColumn="1" w:lastColumn="0" w:noHBand="0" w:noVBand="1"/>
        <w:tblCaption w:val="Część A. Najważniejsze cele do realizacji w roku 2023"/>
        <w:tblDescription w:val="Tabela zawiera 5 pozycji, obejmujących 4 najważniejsze cele, które PFRON zamierza osiągnąć w 2023 roku. Cele nr 1 i 2 dotyczą działalności ustawowej PFRON w zakresie rehabilitacji zawodowej i społecznej osób z niepełnosprawnościami. Cel nr 3 wynika z przepisów ustawy o zapewnianiu dostępności. Cel nr 4 wynika ze Strategii na rzecz Osób z Niepełnosprawnościami 2021-2030, w ramach której PFRON koordynuje niektóre działania."/>
      </w:tblPr>
      <w:tblGrid>
        <w:gridCol w:w="487"/>
        <w:gridCol w:w="3477"/>
        <w:gridCol w:w="3685"/>
        <w:gridCol w:w="1984"/>
        <w:gridCol w:w="5672"/>
      </w:tblGrid>
      <w:tr w:rsidR="00734829" w:rsidRPr="00E00526" w14:paraId="367B517A" w14:textId="77777777" w:rsidTr="00734829">
        <w:trPr>
          <w:trHeight w:val="255"/>
          <w:tblHeader/>
        </w:trPr>
        <w:tc>
          <w:tcPr>
            <w:tcW w:w="159" w:type="pct"/>
            <w:shd w:val="clear" w:color="auto" w:fill="D9D9D9" w:themeFill="background1" w:themeFillShade="D9"/>
            <w:hideMark/>
          </w:tcPr>
          <w:p w14:paraId="16BACECC" w14:textId="77777777" w:rsidR="00734829" w:rsidRPr="00E00526" w:rsidRDefault="00734829" w:rsidP="00FB61F5">
            <w:pPr>
              <w:spacing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E00526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1136" w:type="pct"/>
            <w:shd w:val="clear" w:color="auto" w:fill="D9D9D9" w:themeFill="background1" w:themeFillShade="D9"/>
            <w:hideMark/>
          </w:tcPr>
          <w:p w14:paraId="179C38BC" w14:textId="77777777" w:rsidR="00734829" w:rsidRPr="00E00526" w:rsidRDefault="00734829" w:rsidP="00FB61F5">
            <w:pPr>
              <w:spacing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E00526">
              <w:rPr>
                <w:rFonts w:eastAsia="Times New Roman" w:cstheme="minorHAnsi"/>
                <w:b/>
                <w:bCs/>
                <w:lang w:eastAsia="pl-PL"/>
              </w:rPr>
              <w:t>Cel</w:t>
            </w:r>
          </w:p>
        </w:tc>
        <w:tc>
          <w:tcPr>
            <w:tcW w:w="1204" w:type="pct"/>
            <w:shd w:val="clear" w:color="auto" w:fill="D9D9D9" w:themeFill="background1" w:themeFillShade="D9"/>
            <w:hideMark/>
          </w:tcPr>
          <w:p w14:paraId="5F3948DB" w14:textId="77777777" w:rsidR="00734829" w:rsidRPr="00E00526" w:rsidRDefault="00734829" w:rsidP="00FB61F5">
            <w:pPr>
              <w:spacing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E00526">
              <w:rPr>
                <w:rFonts w:eastAsia="Times New Roman" w:cstheme="minorHAnsi"/>
                <w:b/>
                <w:bCs/>
                <w:lang w:eastAsia="pl-PL"/>
              </w:rPr>
              <w:t>Mierniki określające stopień realizacji celu - Nazwa</w:t>
            </w:r>
          </w:p>
        </w:tc>
        <w:tc>
          <w:tcPr>
            <w:tcW w:w="648" w:type="pct"/>
            <w:shd w:val="clear" w:color="auto" w:fill="D9D9D9" w:themeFill="background1" w:themeFillShade="D9"/>
            <w:hideMark/>
          </w:tcPr>
          <w:p w14:paraId="33ACDB1E" w14:textId="77777777" w:rsidR="00734829" w:rsidRPr="00E00526" w:rsidRDefault="00734829" w:rsidP="00FB61F5">
            <w:pPr>
              <w:spacing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E00526">
              <w:rPr>
                <w:rFonts w:eastAsia="Times New Roman" w:cstheme="minorHAnsi"/>
                <w:b/>
                <w:bCs/>
                <w:lang w:eastAsia="pl-PL"/>
              </w:rPr>
              <w:t>Planowana wartość do osiągnięcia na koniec roku, którego dotyczy plan</w:t>
            </w:r>
          </w:p>
        </w:tc>
        <w:tc>
          <w:tcPr>
            <w:tcW w:w="1853" w:type="pct"/>
            <w:shd w:val="clear" w:color="auto" w:fill="D9D9D9" w:themeFill="background1" w:themeFillShade="D9"/>
            <w:hideMark/>
          </w:tcPr>
          <w:p w14:paraId="095ED469" w14:textId="77777777" w:rsidR="00734829" w:rsidRPr="00E00526" w:rsidRDefault="00734829" w:rsidP="00FB61F5">
            <w:pPr>
              <w:spacing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E00526">
              <w:rPr>
                <w:rFonts w:eastAsia="Times New Roman" w:cstheme="minorHAnsi"/>
                <w:b/>
                <w:bCs/>
                <w:lang w:eastAsia="pl-PL"/>
              </w:rPr>
              <w:t>Najważniejsze zadania służące realizacji celu</w:t>
            </w:r>
          </w:p>
        </w:tc>
      </w:tr>
      <w:tr w:rsidR="00734829" w:rsidRPr="00E00526" w14:paraId="20AAF07E" w14:textId="77777777" w:rsidTr="00734829">
        <w:trPr>
          <w:trHeight w:val="3109"/>
        </w:trPr>
        <w:tc>
          <w:tcPr>
            <w:tcW w:w="159" w:type="pct"/>
          </w:tcPr>
          <w:p w14:paraId="33F195FB" w14:textId="77777777" w:rsidR="00734829" w:rsidRPr="00E00526" w:rsidRDefault="00734829" w:rsidP="00FB61F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36" w:type="pct"/>
          </w:tcPr>
          <w:p w14:paraId="56137DCC" w14:textId="77777777" w:rsidR="00734829" w:rsidRPr="00E00526" w:rsidRDefault="00734829" w:rsidP="00FB61F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</w:rPr>
              <w:t>K1. Wzrost zatrudnienia osób z niepełnosprawnościami oraz zapewnienie stabilności zatrudnienia osób aktywnych zawodowo.</w:t>
            </w:r>
          </w:p>
        </w:tc>
        <w:tc>
          <w:tcPr>
            <w:tcW w:w="1204" w:type="pct"/>
          </w:tcPr>
          <w:p w14:paraId="44CDDD1E" w14:textId="77777777" w:rsidR="00734829" w:rsidRPr="00E00526" w:rsidRDefault="00734829" w:rsidP="00FB61F5">
            <w:pPr>
              <w:spacing w:after="60" w:line="276" w:lineRule="auto"/>
              <w:rPr>
                <w:rFonts w:eastAsia="Times New Roman" w:cstheme="minorHAnsi"/>
              </w:rPr>
            </w:pPr>
            <w:r w:rsidRPr="00E00526">
              <w:rPr>
                <w:rFonts w:eastAsia="Times New Roman" w:cstheme="minorHAnsi"/>
              </w:rPr>
              <w:t>Wpływ działalności PFRON na zatrudnienie osób z niepełnosprawnościami:</w:t>
            </w:r>
          </w:p>
          <w:p w14:paraId="28A891DB" w14:textId="77777777" w:rsidR="00734829" w:rsidRPr="00E00526" w:rsidRDefault="00734829" w:rsidP="00FB61F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</w:rPr>
              <w:t>Liczba osób z niepełnosprawnościami objętych wsparciem w zakresie rehabilitacji zawodowej / Liczba pracujących osób niepełnosprawnych w wieku produkcyjnym (wg BAEL)</w:t>
            </w:r>
          </w:p>
        </w:tc>
        <w:tc>
          <w:tcPr>
            <w:tcW w:w="648" w:type="pct"/>
          </w:tcPr>
          <w:p w14:paraId="65F03CBF" w14:textId="77777777" w:rsidR="00734829" w:rsidRPr="00E00526" w:rsidRDefault="00734829" w:rsidP="00FB61F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</w:rPr>
              <w:t>od 65,7%</w:t>
            </w:r>
            <w:r w:rsidRPr="00E00526">
              <w:rPr>
                <w:rFonts w:eastAsia="Times New Roman" w:cstheme="minorHAnsi"/>
              </w:rPr>
              <w:br/>
              <w:t>do 87,5%</w:t>
            </w:r>
          </w:p>
        </w:tc>
        <w:tc>
          <w:tcPr>
            <w:tcW w:w="1853" w:type="pct"/>
            <w:hideMark/>
          </w:tcPr>
          <w:p w14:paraId="4C576273" w14:textId="77777777" w:rsidR="00734829" w:rsidRPr="00E00526" w:rsidRDefault="00734829" w:rsidP="00FB61F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Realizacja zadań o charakterze stałym w zakresie rehabilitacji zawodowej osób z niepełnosprawnościami, m.in.:</w:t>
            </w:r>
          </w:p>
          <w:p w14:paraId="4F68A14E" w14:textId="77777777" w:rsidR="00734829" w:rsidRPr="00E00526" w:rsidRDefault="00734829" w:rsidP="00C12D41">
            <w:pPr>
              <w:pStyle w:val="Akapitzlist"/>
              <w:numPr>
                <w:ilvl w:val="0"/>
                <w:numId w:val="17"/>
              </w:numPr>
              <w:spacing w:before="120" w:after="120" w:line="276" w:lineRule="auto"/>
              <w:ind w:left="425" w:hanging="249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Dofinansowania do wynagrodzeń pracowników z niepełnosprawnościami,</w:t>
            </w:r>
          </w:p>
          <w:p w14:paraId="7C010AC5" w14:textId="77777777" w:rsidR="00734829" w:rsidRPr="00E00526" w:rsidRDefault="00734829" w:rsidP="00C12D41">
            <w:pPr>
              <w:pStyle w:val="Akapitzlist"/>
              <w:numPr>
                <w:ilvl w:val="0"/>
                <w:numId w:val="17"/>
              </w:numPr>
              <w:spacing w:before="120" w:after="120" w:line="276" w:lineRule="auto"/>
              <w:ind w:left="425" w:hanging="249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Refundacja składek na ubezpieczenia społeczne osób z niepełnosprawnościami prowadzących działalność gospodarczą/rolniczą,</w:t>
            </w:r>
          </w:p>
          <w:p w14:paraId="4F0714D0" w14:textId="77777777" w:rsidR="00734829" w:rsidRPr="00E00526" w:rsidRDefault="00734829" w:rsidP="00C12D41">
            <w:pPr>
              <w:pStyle w:val="Akapitzlist"/>
              <w:keepLines/>
              <w:numPr>
                <w:ilvl w:val="0"/>
                <w:numId w:val="17"/>
              </w:numPr>
              <w:spacing w:before="120" w:after="120" w:line="276" w:lineRule="auto"/>
              <w:ind w:left="425" w:hanging="249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Zwrot kosztów budowy lub przebudowy związanej z modernizacją obiektów i pomieszczeń zakładu, transportowych i administracyjnych,</w:t>
            </w:r>
          </w:p>
          <w:p w14:paraId="5DB6431B" w14:textId="77777777" w:rsidR="00734829" w:rsidRPr="00E00526" w:rsidRDefault="00734829" w:rsidP="00C12D41">
            <w:pPr>
              <w:pStyle w:val="Akapitzlist"/>
              <w:numPr>
                <w:ilvl w:val="0"/>
                <w:numId w:val="17"/>
              </w:numPr>
              <w:spacing w:before="120" w:after="120" w:line="276" w:lineRule="auto"/>
              <w:ind w:left="425" w:hanging="249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Zadania zlecane w zakresie rehabilitacji zawodowej,</w:t>
            </w:r>
          </w:p>
          <w:p w14:paraId="343950F4" w14:textId="77777777" w:rsidR="00734829" w:rsidRPr="00E00526" w:rsidRDefault="00734829" w:rsidP="00C12D41">
            <w:pPr>
              <w:pStyle w:val="Akapitzlist"/>
              <w:numPr>
                <w:ilvl w:val="0"/>
                <w:numId w:val="17"/>
              </w:numPr>
              <w:spacing w:before="120" w:after="120" w:line="276" w:lineRule="auto"/>
              <w:ind w:left="425" w:hanging="249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Przelewy redystrybucyjne do samorządów terytorialnych na rehabilitację zawodową,</w:t>
            </w:r>
          </w:p>
          <w:p w14:paraId="15E37AEF" w14:textId="77777777" w:rsidR="00734829" w:rsidRPr="00E00526" w:rsidRDefault="00734829" w:rsidP="00C12D41">
            <w:pPr>
              <w:pStyle w:val="Akapitzlist"/>
              <w:numPr>
                <w:ilvl w:val="0"/>
                <w:numId w:val="17"/>
              </w:numPr>
              <w:spacing w:before="120" w:after="120" w:line="276" w:lineRule="auto"/>
              <w:ind w:left="425" w:hanging="249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Programy Rady Nadzorczej w zakresie rehabilitacji zawodowej,</w:t>
            </w:r>
          </w:p>
          <w:p w14:paraId="52EFD194" w14:textId="77777777" w:rsidR="00734829" w:rsidRPr="00E00526" w:rsidRDefault="00734829" w:rsidP="00C12D41">
            <w:pPr>
              <w:pStyle w:val="Akapitzlist"/>
              <w:numPr>
                <w:ilvl w:val="0"/>
                <w:numId w:val="17"/>
              </w:numPr>
              <w:spacing w:before="120" w:after="120" w:line="276" w:lineRule="auto"/>
              <w:ind w:left="425" w:hanging="249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Projekty z dofinansowaniem środkami pomocowymi UE w zakresie rehabilitacji zawodowej.</w:t>
            </w:r>
          </w:p>
        </w:tc>
      </w:tr>
      <w:tr w:rsidR="00734829" w:rsidRPr="00E00526" w14:paraId="1C32543A" w14:textId="77777777" w:rsidTr="00734829">
        <w:trPr>
          <w:trHeight w:val="1600"/>
        </w:trPr>
        <w:tc>
          <w:tcPr>
            <w:tcW w:w="159" w:type="pct"/>
          </w:tcPr>
          <w:p w14:paraId="58D8E697" w14:textId="77777777" w:rsidR="00734829" w:rsidRPr="00E00526" w:rsidRDefault="00734829" w:rsidP="00FB61F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136" w:type="pct"/>
          </w:tcPr>
          <w:p w14:paraId="14132060" w14:textId="77777777" w:rsidR="00734829" w:rsidRPr="00E00526" w:rsidRDefault="00734829" w:rsidP="00FB61F5">
            <w:pPr>
              <w:spacing w:line="276" w:lineRule="auto"/>
              <w:rPr>
                <w:rFonts w:cstheme="minorHAnsi"/>
              </w:rPr>
            </w:pPr>
            <w:r w:rsidRPr="00E00526">
              <w:rPr>
                <w:rFonts w:eastAsia="Times New Roman" w:cstheme="minorHAnsi"/>
              </w:rPr>
              <w:t>K2. Zwiększanie możliwości prowadzenia niezależnego, samodzielnego życia przez osoby z niepełnosprawnościami.</w:t>
            </w:r>
          </w:p>
        </w:tc>
        <w:tc>
          <w:tcPr>
            <w:tcW w:w="1204" w:type="pct"/>
          </w:tcPr>
          <w:p w14:paraId="3CCDBD78" w14:textId="77777777" w:rsidR="00734829" w:rsidRPr="00E00526" w:rsidRDefault="00734829" w:rsidP="00FB61F5">
            <w:pPr>
              <w:spacing w:after="60" w:line="276" w:lineRule="auto"/>
              <w:rPr>
                <w:rFonts w:eastAsia="Times New Roman" w:cstheme="minorHAnsi"/>
              </w:rPr>
            </w:pPr>
            <w:r w:rsidRPr="00E00526">
              <w:rPr>
                <w:rFonts w:eastAsia="Times New Roman" w:cstheme="minorHAnsi"/>
              </w:rPr>
              <w:t>Zasięg oddziaływania rehabilitacji społecznej na osoby uprawnione do korzystania ze wsparcia:</w:t>
            </w:r>
          </w:p>
          <w:p w14:paraId="3BEA8015" w14:textId="77777777" w:rsidR="00734829" w:rsidRPr="00E00526" w:rsidRDefault="00734829" w:rsidP="00FB61F5">
            <w:pPr>
              <w:spacing w:line="276" w:lineRule="auto"/>
              <w:rPr>
                <w:rFonts w:cstheme="minorHAnsi"/>
              </w:rPr>
            </w:pPr>
            <w:r w:rsidRPr="00E00526">
              <w:rPr>
                <w:rFonts w:eastAsia="Times New Roman" w:cstheme="minorHAnsi"/>
              </w:rPr>
              <w:t xml:space="preserve">Liczba osób z niepełnosprawnościami objętych wsparciem przez PFRON w </w:t>
            </w:r>
            <w:r w:rsidRPr="00E00526">
              <w:rPr>
                <w:rFonts w:eastAsia="Times New Roman" w:cstheme="minorHAnsi"/>
              </w:rPr>
              <w:lastRenderedPageBreak/>
              <w:t>zakresie rehabilitacji społecznej / Liczba osób z niepełnosprawnościami prawnie (wg NSP)</w:t>
            </w:r>
          </w:p>
        </w:tc>
        <w:tc>
          <w:tcPr>
            <w:tcW w:w="648" w:type="pct"/>
          </w:tcPr>
          <w:p w14:paraId="2E407727" w14:textId="77777777" w:rsidR="00734829" w:rsidRPr="00E00526" w:rsidRDefault="00734829" w:rsidP="00FB61F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cstheme="minorHAnsi"/>
              </w:rPr>
              <w:lastRenderedPageBreak/>
              <w:t xml:space="preserve">od 20,1% </w:t>
            </w:r>
            <w:r w:rsidRPr="00E00526">
              <w:rPr>
                <w:rFonts w:cstheme="minorHAnsi"/>
              </w:rPr>
              <w:br/>
              <w:t>do 28,9%</w:t>
            </w:r>
          </w:p>
        </w:tc>
        <w:tc>
          <w:tcPr>
            <w:tcW w:w="1853" w:type="pct"/>
          </w:tcPr>
          <w:p w14:paraId="7A27DE9E" w14:textId="77777777" w:rsidR="00734829" w:rsidRPr="00E00526" w:rsidRDefault="00734829" w:rsidP="00C12D41">
            <w:pPr>
              <w:pStyle w:val="Akapitzlist"/>
              <w:numPr>
                <w:ilvl w:val="0"/>
                <w:numId w:val="17"/>
              </w:numPr>
              <w:spacing w:before="120" w:after="120" w:line="276" w:lineRule="auto"/>
              <w:ind w:left="425" w:hanging="249"/>
              <w:rPr>
                <w:rFonts w:eastAsia="Times New Roman" w:cstheme="minorHAnsi"/>
                <w:lang w:eastAsia="pl-PL"/>
              </w:rPr>
            </w:pPr>
            <w:bookmarkStart w:id="1" w:name="_Hlk113263084"/>
            <w:r w:rsidRPr="00E00526">
              <w:rPr>
                <w:rFonts w:eastAsia="Times New Roman" w:cstheme="minorHAnsi"/>
                <w:lang w:eastAsia="pl-PL"/>
              </w:rPr>
              <w:t>Realizacja zadań o charakterze stałym w zakresie rehabilitacji społecznej osób z</w:t>
            </w:r>
            <w:bookmarkEnd w:id="1"/>
            <w:r w:rsidRPr="00E00526">
              <w:rPr>
                <w:rFonts w:eastAsia="Times New Roman" w:cstheme="minorHAnsi"/>
                <w:lang w:eastAsia="pl-PL"/>
              </w:rPr>
              <w:t> niepełnosprawnościami, m.in.:</w:t>
            </w:r>
          </w:p>
          <w:p w14:paraId="6694503A" w14:textId="77777777" w:rsidR="00734829" w:rsidRPr="00E00526" w:rsidRDefault="00734829" w:rsidP="00C12D41">
            <w:pPr>
              <w:pStyle w:val="Akapitzlist"/>
              <w:numPr>
                <w:ilvl w:val="0"/>
                <w:numId w:val="17"/>
              </w:numPr>
              <w:spacing w:before="120" w:after="120" w:line="276" w:lineRule="auto"/>
              <w:ind w:left="425" w:hanging="249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Przelewy redystrybucyjne do samorządów terytorialnych na rehabilitację społeczną,</w:t>
            </w:r>
          </w:p>
          <w:p w14:paraId="62D6B296" w14:textId="77777777" w:rsidR="00734829" w:rsidRPr="00E00526" w:rsidRDefault="00734829" w:rsidP="00C12D41">
            <w:pPr>
              <w:pStyle w:val="Akapitzlist"/>
              <w:numPr>
                <w:ilvl w:val="0"/>
                <w:numId w:val="17"/>
              </w:numPr>
              <w:spacing w:before="120" w:after="120" w:line="276" w:lineRule="auto"/>
              <w:ind w:left="425" w:hanging="249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lastRenderedPageBreak/>
              <w:t>Zadania zlecane w zakresie rehabilitacji społecznej,</w:t>
            </w:r>
          </w:p>
          <w:p w14:paraId="618E0573" w14:textId="77777777" w:rsidR="00734829" w:rsidRPr="00E00526" w:rsidRDefault="00734829" w:rsidP="00C12D41">
            <w:pPr>
              <w:pStyle w:val="Akapitzlist"/>
              <w:numPr>
                <w:ilvl w:val="0"/>
                <w:numId w:val="17"/>
              </w:numPr>
              <w:spacing w:before="120" w:after="120" w:line="276" w:lineRule="auto"/>
              <w:ind w:left="425" w:hanging="249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Programy Rady Nadzorczej w zakresie rehabilitacji społecznej,</w:t>
            </w:r>
          </w:p>
          <w:p w14:paraId="2073E844" w14:textId="77777777" w:rsidR="00734829" w:rsidRPr="00E00526" w:rsidRDefault="00734829" w:rsidP="00C12D41">
            <w:pPr>
              <w:pStyle w:val="Akapitzlist"/>
              <w:numPr>
                <w:ilvl w:val="0"/>
                <w:numId w:val="17"/>
              </w:numPr>
              <w:spacing w:before="120" w:after="120" w:line="276" w:lineRule="auto"/>
              <w:ind w:left="425" w:hanging="249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Wyrównywanie różnic między regionami,</w:t>
            </w:r>
          </w:p>
          <w:p w14:paraId="19A24A3A" w14:textId="77777777" w:rsidR="00734829" w:rsidRPr="00E00526" w:rsidRDefault="00734829" w:rsidP="00C12D41">
            <w:pPr>
              <w:pStyle w:val="Akapitzlist"/>
              <w:numPr>
                <w:ilvl w:val="0"/>
                <w:numId w:val="17"/>
              </w:numPr>
              <w:spacing w:before="120" w:after="120" w:line="276" w:lineRule="auto"/>
              <w:ind w:left="425" w:hanging="249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Dofinansowanie kosztów szkoleń, o których mowa w art. 18 ustawy o języku migowym,</w:t>
            </w:r>
          </w:p>
          <w:p w14:paraId="02065E87" w14:textId="77777777" w:rsidR="00734829" w:rsidRPr="00E00526" w:rsidRDefault="00734829" w:rsidP="00C12D41">
            <w:pPr>
              <w:pStyle w:val="Akapitzlist"/>
              <w:numPr>
                <w:ilvl w:val="0"/>
                <w:numId w:val="17"/>
              </w:numPr>
              <w:spacing w:before="120" w:after="120" w:line="276" w:lineRule="auto"/>
              <w:ind w:left="425" w:hanging="249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Projekty z dofinansowaniem środkami pomocowymi UE w zakresie rehabilitacji społecznej,</w:t>
            </w:r>
          </w:p>
          <w:p w14:paraId="49651126" w14:textId="77777777" w:rsidR="00734829" w:rsidRPr="00E00526" w:rsidRDefault="00734829" w:rsidP="00C12D41">
            <w:pPr>
              <w:pStyle w:val="Akapitzlist"/>
              <w:numPr>
                <w:ilvl w:val="0"/>
                <w:numId w:val="17"/>
              </w:numPr>
              <w:spacing w:before="120" w:after="120" w:line="276" w:lineRule="auto"/>
              <w:ind w:left="425" w:hanging="249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Refundacja kosztów wydawania certyfikatów przez podmioty uprawnione do szkolenia psów asystujących.</w:t>
            </w:r>
          </w:p>
        </w:tc>
      </w:tr>
      <w:tr w:rsidR="00734829" w:rsidRPr="00E00526" w14:paraId="707E9D49" w14:textId="77777777" w:rsidTr="00734829">
        <w:trPr>
          <w:trHeight w:val="2352"/>
        </w:trPr>
        <w:tc>
          <w:tcPr>
            <w:tcW w:w="159" w:type="pct"/>
          </w:tcPr>
          <w:p w14:paraId="51D5E95F" w14:textId="77777777" w:rsidR="00734829" w:rsidRPr="00E00526" w:rsidRDefault="00734829" w:rsidP="00FB61F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lastRenderedPageBreak/>
              <w:t>3</w:t>
            </w:r>
          </w:p>
        </w:tc>
        <w:tc>
          <w:tcPr>
            <w:tcW w:w="1136" w:type="pct"/>
          </w:tcPr>
          <w:p w14:paraId="1666B31D" w14:textId="77777777" w:rsidR="00734829" w:rsidRPr="00E00526" w:rsidRDefault="00734829" w:rsidP="00FB61F5">
            <w:pPr>
              <w:spacing w:line="276" w:lineRule="auto"/>
              <w:rPr>
                <w:rFonts w:cstheme="minorHAnsi"/>
              </w:rPr>
            </w:pPr>
            <w:r w:rsidRPr="00E00526">
              <w:rPr>
                <w:rFonts w:eastAsia="Times New Roman" w:cstheme="minorHAnsi"/>
              </w:rPr>
              <w:t>K3. Zapewnianie dostępności osobom ze szczególnymi potrzebami.</w:t>
            </w:r>
          </w:p>
        </w:tc>
        <w:tc>
          <w:tcPr>
            <w:tcW w:w="1204" w:type="pct"/>
          </w:tcPr>
          <w:p w14:paraId="7CF20B97" w14:textId="77777777" w:rsidR="00734829" w:rsidRPr="00E00526" w:rsidRDefault="00734829" w:rsidP="00FB61F5">
            <w:pPr>
              <w:spacing w:line="276" w:lineRule="auto"/>
              <w:rPr>
                <w:rFonts w:eastAsia="Times New Roman" w:cstheme="minorHAnsi"/>
              </w:rPr>
            </w:pPr>
            <w:r w:rsidRPr="00E00526">
              <w:rPr>
                <w:rFonts w:eastAsia="Times New Roman" w:cstheme="minorHAnsi"/>
              </w:rPr>
              <w:t>Liczba terminowo obsłużonych skarg w ogólnej liczbie skarg na brak dostępności architektonicznej, informacyjno-komunikacyjnej w danym okresie (procent)</w:t>
            </w:r>
          </w:p>
        </w:tc>
        <w:tc>
          <w:tcPr>
            <w:tcW w:w="648" w:type="pct"/>
          </w:tcPr>
          <w:p w14:paraId="6CB39890" w14:textId="77777777" w:rsidR="00734829" w:rsidRPr="00E00526" w:rsidRDefault="00734829" w:rsidP="00FB61F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</w:rPr>
              <w:t xml:space="preserve">od 95% </w:t>
            </w:r>
            <w:r w:rsidRPr="00E00526">
              <w:rPr>
                <w:rFonts w:eastAsia="Times New Roman" w:cstheme="minorHAnsi"/>
              </w:rPr>
              <w:br/>
              <w:t>do 100%</w:t>
            </w:r>
          </w:p>
        </w:tc>
        <w:tc>
          <w:tcPr>
            <w:tcW w:w="1853" w:type="pct"/>
          </w:tcPr>
          <w:p w14:paraId="40F0BE21" w14:textId="77777777" w:rsidR="00734829" w:rsidRPr="00E00526" w:rsidRDefault="00734829" w:rsidP="00C12D41">
            <w:pPr>
              <w:pStyle w:val="Akapitzlist"/>
              <w:numPr>
                <w:ilvl w:val="0"/>
                <w:numId w:val="17"/>
              </w:numPr>
              <w:spacing w:before="120" w:after="120" w:line="276" w:lineRule="auto"/>
              <w:ind w:left="425" w:hanging="249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Prowadzenie postępowań skargowych na brak dostępności oraz wydawanie decyzji administracyjnych,</w:t>
            </w:r>
          </w:p>
          <w:p w14:paraId="6EBACE87" w14:textId="77777777" w:rsidR="00734829" w:rsidRPr="00E00526" w:rsidRDefault="00734829" w:rsidP="00C12D41">
            <w:pPr>
              <w:pStyle w:val="Akapitzlist"/>
              <w:numPr>
                <w:ilvl w:val="0"/>
                <w:numId w:val="17"/>
              </w:numPr>
              <w:spacing w:before="120" w:after="120" w:line="276" w:lineRule="auto"/>
              <w:ind w:left="425" w:hanging="249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Upowszechnianie tematyki dostępności środkami masowego przekazu.</w:t>
            </w:r>
          </w:p>
        </w:tc>
      </w:tr>
      <w:tr w:rsidR="00734829" w:rsidRPr="00E00526" w14:paraId="46CBC414" w14:textId="77777777" w:rsidTr="00734829">
        <w:trPr>
          <w:trHeight w:val="2397"/>
        </w:trPr>
        <w:tc>
          <w:tcPr>
            <w:tcW w:w="159" w:type="pct"/>
          </w:tcPr>
          <w:p w14:paraId="4464EB8F" w14:textId="77777777" w:rsidR="00734829" w:rsidRPr="00E00526" w:rsidRDefault="00734829" w:rsidP="00FB61F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136" w:type="pct"/>
          </w:tcPr>
          <w:p w14:paraId="6EADB878" w14:textId="77777777" w:rsidR="00734829" w:rsidRPr="00E00526" w:rsidRDefault="00734829" w:rsidP="00FB61F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</w:rPr>
              <w:t>K3. Zapewnianie dostępności osobom ze szczególnymi potrzebami.</w:t>
            </w:r>
          </w:p>
        </w:tc>
        <w:tc>
          <w:tcPr>
            <w:tcW w:w="1204" w:type="pct"/>
          </w:tcPr>
          <w:p w14:paraId="198AC689" w14:textId="77777777" w:rsidR="00734829" w:rsidRPr="00E00526" w:rsidRDefault="00734829" w:rsidP="00FB61F5">
            <w:pPr>
              <w:spacing w:line="276" w:lineRule="auto"/>
              <w:rPr>
                <w:rFonts w:eastAsia="Times New Roman" w:cstheme="minorHAnsi"/>
              </w:rPr>
            </w:pPr>
            <w:r w:rsidRPr="00E00526">
              <w:rPr>
                <w:rFonts w:eastAsia="Times New Roman" w:cstheme="minorHAnsi"/>
              </w:rPr>
              <w:t>Procent dostępności cyfrowej poszczególnych serwisów internetowych i systemów dziedzinowych PFRON udostępnionych w Internecie oraz intranecie w zakresie adekwatnym do ostatniego pomiaru (średnia)</w:t>
            </w:r>
          </w:p>
        </w:tc>
        <w:tc>
          <w:tcPr>
            <w:tcW w:w="648" w:type="pct"/>
          </w:tcPr>
          <w:p w14:paraId="7BEF41D2" w14:textId="77777777" w:rsidR="00734829" w:rsidRPr="00E00526" w:rsidRDefault="00734829" w:rsidP="00FB61F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od 54,5%</w:t>
            </w:r>
            <w:r w:rsidRPr="00E00526">
              <w:rPr>
                <w:rFonts w:eastAsia="Times New Roman" w:cstheme="minorHAnsi"/>
                <w:lang w:eastAsia="pl-PL"/>
              </w:rPr>
              <w:br/>
              <w:t>do 92,8%</w:t>
            </w:r>
          </w:p>
        </w:tc>
        <w:tc>
          <w:tcPr>
            <w:tcW w:w="1853" w:type="pct"/>
          </w:tcPr>
          <w:p w14:paraId="24BCFD24" w14:textId="77777777" w:rsidR="00734829" w:rsidRPr="00E00526" w:rsidRDefault="00734829" w:rsidP="00C12D41">
            <w:pPr>
              <w:pStyle w:val="Akapitzlist"/>
              <w:numPr>
                <w:ilvl w:val="0"/>
                <w:numId w:val="17"/>
              </w:numPr>
              <w:spacing w:before="120" w:after="120" w:line="276" w:lineRule="auto"/>
              <w:ind w:left="425" w:hanging="249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Dostosowywanie serwisów internetowych i systemów dziedzinowych PFRON do minimalnych wymagań WCAG w oparciu o wyniki ocen zewnętrznych i wewnętrznych.</w:t>
            </w:r>
          </w:p>
        </w:tc>
      </w:tr>
      <w:tr w:rsidR="00734829" w:rsidRPr="00E00526" w14:paraId="19334F7D" w14:textId="77777777" w:rsidTr="00734829">
        <w:trPr>
          <w:trHeight w:val="3676"/>
        </w:trPr>
        <w:tc>
          <w:tcPr>
            <w:tcW w:w="159" w:type="pct"/>
          </w:tcPr>
          <w:p w14:paraId="122E18F3" w14:textId="77777777" w:rsidR="00734829" w:rsidRPr="00E00526" w:rsidRDefault="00734829" w:rsidP="00FB61F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lastRenderedPageBreak/>
              <w:t>5</w:t>
            </w:r>
          </w:p>
        </w:tc>
        <w:tc>
          <w:tcPr>
            <w:tcW w:w="1136" w:type="pct"/>
          </w:tcPr>
          <w:p w14:paraId="0D7FCD84" w14:textId="77777777" w:rsidR="00734829" w:rsidRPr="00E00526" w:rsidRDefault="00734829" w:rsidP="00FB61F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</w:rPr>
              <w:t>K4. Aktywny udział w osiąganiu celów Strategii na rzecz Osób z Niepełnosprawnościami 2021-2030 poprzez realizację zadań przypisanych PFRON jako koordynatorowi</w:t>
            </w:r>
          </w:p>
        </w:tc>
        <w:tc>
          <w:tcPr>
            <w:tcW w:w="1204" w:type="pct"/>
          </w:tcPr>
          <w:p w14:paraId="7AFBED02" w14:textId="77777777" w:rsidR="00734829" w:rsidRPr="00E00526" w:rsidRDefault="00734829" w:rsidP="00FB61F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</w:rPr>
              <w:t>Poziom realizacji działania: Procent wykonania w odniesieniu do wartości zaplanowanych do osiągnięcia w planie realizacji działania (średnia)</w:t>
            </w:r>
          </w:p>
        </w:tc>
        <w:tc>
          <w:tcPr>
            <w:tcW w:w="648" w:type="pct"/>
          </w:tcPr>
          <w:p w14:paraId="2DC05E70" w14:textId="77777777" w:rsidR="00734829" w:rsidRPr="00E00526" w:rsidRDefault="00734829" w:rsidP="00FB61F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 xml:space="preserve">od 80% </w:t>
            </w:r>
            <w:r w:rsidRPr="00E00526">
              <w:rPr>
                <w:rFonts w:eastAsia="Times New Roman" w:cstheme="minorHAnsi"/>
                <w:lang w:eastAsia="pl-PL"/>
              </w:rPr>
              <w:br/>
              <w:t xml:space="preserve">do 100% </w:t>
            </w:r>
            <w:r w:rsidRPr="00E00526">
              <w:rPr>
                <w:rFonts w:eastAsia="Times New Roman" w:cstheme="minorHAnsi"/>
                <w:lang w:eastAsia="pl-PL"/>
              </w:rPr>
              <w:br/>
              <w:t>wartości zaplanowanych na 2023 rok</w:t>
            </w:r>
          </w:p>
        </w:tc>
        <w:tc>
          <w:tcPr>
            <w:tcW w:w="1853" w:type="pct"/>
          </w:tcPr>
          <w:p w14:paraId="6C38CD8B" w14:textId="76B78686" w:rsidR="00734829" w:rsidRPr="00E00526" w:rsidRDefault="00734829" w:rsidP="00FB61F5">
            <w:pPr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Realizacja koordynowanych przez PFRON działań w ramach Strategii na rzecz Osób z Niepełnosprawnościami 2021-2030, tj.</w:t>
            </w:r>
            <w:r w:rsidR="00253470" w:rsidRPr="00E00526">
              <w:rPr>
                <w:rFonts w:eastAsia="Times New Roman" w:cstheme="minorHAnsi"/>
                <w:lang w:eastAsia="pl-PL"/>
              </w:rPr>
              <w:t xml:space="preserve"> </w:t>
            </w:r>
            <w:r w:rsidRPr="00E00526">
              <w:rPr>
                <w:rFonts w:eastAsia="Times New Roman" w:cstheme="minorHAnsi"/>
                <w:lang w:eastAsia="pl-PL"/>
              </w:rPr>
              <w:t>IV. 3.2 „Osoba z niepełnosprawnością jako pracownik administracji publicznej” oraz</w:t>
            </w:r>
            <w:r w:rsidR="00C12D41" w:rsidRPr="00E00526">
              <w:rPr>
                <w:rFonts w:eastAsia="Times New Roman" w:cstheme="minorHAnsi"/>
                <w:lang w:eastAsia="pl-PL"/>
              </w:rPr>
              <w:t xml:space="preserve"> </w:t>
            </w:r>
            <w:r w:rsidRPr="00E00526">
              <w:rPr>
                <w:rFonts w:eastAsia="Times New Roman" w:cstheme="minorHAnsi"/>
                <w:lang w:eastAsia="pl-PL"/>
              </w:rPr>
              <w:t>IV. 4.3 „Ośrodki opiniująco-doradcze” poprzez:</w:t>
            </w:r>
          </w:p>
          <w:p w14:paraId="5A323EDD" w14:textId="77777777" w:rsidR="00734829" w:rsidRPr="00E00526" w:rsidRDefault="00734829" w:rsidP="00C12D41">
            <w:pPr>
              <w:pStyle w:val="Akapitzlist"/>
              <w:numPr>
                <w:ilvl w:val="0"/>
                <w:numId w:val="17"/>
              </w:numPr>
              <w:spacing w:before="120" w:after="120" w:line="276" w:lineRule="auto"/>
              <w:ind w:left="425" w:hanging="249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Program „Stabilne Zatrudnienie”,</w:t>
            </w:r>
          </w:p>
          <w:p w14:paraId="54A27761" w14:textId="77777777" w:rsidR="00734829" w:rsidRPr="00E00526" w:rsidRDefault="00734829" w:rsidP="00C12D41">
            <w:pPr>
              <w:pStyle w:val="Akapitzlist"/>
              <w:numPr>
                <w:ilvl w:val="0"/>
                <w:numId w:val="17"/>
              </w:numPr>
              <w:spacing w:before="120" w:after="120" w:line="276" w:lineRule="auto"/>
              <w:ind w:left="425" w:hanging="249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Projekt „Dostępny Samorząd – Granty”,</w:t>
            </w:r>
          </w:p>
          <w:p w14:paraId="77CAAEEF" w14:textId="77777777" w:rsidR="00734829" w:rsidRPr="00E00526" w:rsidRDefault="00734829" w:rsidP="00C12D41">
            <w:pPr>
              <w:pStyle w:val="Akapitzlist"/>
              <w:numPr>
                <w:ilvl w:val="0"/>
                <w:numId w:val="17"/>
              </w:numPr>
              <w:spacing w:before="120" w:after="120" w:line="276" w:lineRule="auto"/>
              <w:ind w:left="425" w:hanging="249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Projekt „Ośrodek Wsparcia Architektury Dostępnej (OWDA) - kompleksowe usługi w zakresie dostępności architektonicznej dla podmiotów publicznych”;</w:t>
            </w:r>
          </w:p>
          <w:p w14:paraId="35A5F9D7" w14:textId="77777777" w:rsidR="00734829" w:rsidRPr="00E00526" w:rsidRDefault="00734829" w:rsidP="00C12D41">
            <w:pPr>
              <w:pStyle w:val="Akapitzlist"/>
              <w:numPr>
                <w:ilvl w:val="0"/>
                <w:numId w:val="17"/>
              </w:numPr>
              <w:spacing w:before="120" w:after="120" w:line="276" w:lineRule="auto"/>
              <w:ind w:left="425" w:hanging="249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Program "Centra Informacyjno-Doradcze dla Osób z Niepełnosprawnościami (CIDON)".</w:t>
            </w:r>
          </w:p>
        </w:tc>
      </w:tr>
    </w:tbl>
    <w:p w14:paraId="276E18BE" w14:textId="59B060B7" w:rsidR="00734829" w:rsidRPr="00E00526" w:rsidRDefault="00AA17F0" w:rsidP="007C759D">
      <w:pPr>
        <w:pStyle w:val="Nagwek3"/>
      </w:pPr>
      <w:r w:rsidRPr="00E00526">
        <w:t xml:space="preserve">CZĘŚĆ A: Najważniejsze cele do realizacji w roku </w:t>
      </w:r>
      <w:r w:rsidR="00B4149E" w:rsidRPr="00E00526">
        <w:t>2023</w:t>
      </w:r>
      <w:r w:rsidR="00AB3941" w:rsidRPr="00E00526">
        <w:t>:</w:t>
      </w:r>
      <w:r w:rsidR="001F0E75" w:rsidRPr="00E00526">
        <w:t xml:space="preserve"> Odniesienie do dokumentu o </w:t>
      </w:r>
      <w:r w:rsidR="001F0E75" w:rsidRPr="007C759D">
        <w:t>charakterze</w:t>
      </w:r>
      <w:r w:rsidR="001F0E75" w:rsidRPr="00E00526">
        <w:t xml:space="preserve"> strategicznym</w:t>
      </w:r>
    </w:p>
    <w:p w14:paraId="239636A9" w14:textId="6DCCDBD6" w:rsidR="00734829" w:rsidRPr="00E00526" w:rsidRDefault="00734829" w:rsidP="00734829">
      <w:pPr>
        <w:pStyle w:val="Akapitzlist"/>
        <w:numPr>
          <w:ilvl w:val="0"/>
          <w:numId w:val="17"/>
        </w:numPr>
        <w:spacing w:after="0" w:line="276" w:lineRule="auto"/>
        <w:ind w:left="256" w:hanging="256"/>
        <w:rPr>
          <w:rFonts w:eastAsia="Times New Roman" w:cstheme="minorHAnsi"/>
          <w:lang w:eastAsia="pl-PL"/>
        </w:rPr>
      </w:pPr>
      <w:r w:rsidRPr="00E00526">
        <w:rPr>
          <w:rFonts w:eastAsia="Times New Roman" w:cstheme="minorHAnsi"/>
          <w:lang w:eastAsia="pl-PL"/>
        </w:rPr>
        <w:t>Uchwała nr 27 Rady Ministrów z dnia 16 lutego 2021 r. w sprawie przyjęcia dokumentu „Strategia na rzecz Osób Niepełnosprawnościami 2021–2030”;</w:t>
      </w:r>
    </w:p>
    <w:p w14:paraId="54BBB2F5" w14:textId="10CBCB6B" w:rsidR="00734829" w:rsidRPr="00E00526" w:rsidRDefault="00734829" w:rsidP="00734829">
      <w:pPr>
        <w:pStyle w:val="Akapitzlist"/>
        <w:numPr>
          <w:ilvl w:val="0"/>
          <w:numId w:val="17"/>
        </w:numPr>
        <w:spacing w:after="0" w:line="276" w:lineRule="auto"/>
        <w:ind w:left="256" w:hanging="256"/>
        <w:rPr>
          <w:rFonts w:eastAsia="Times New Roman" w:cstheme="minorHAnsi"/>
          <w:lang w:eastAsia="pl-PL"/>
        </w:rPr>
      </w:pPr>
      <w:r w:rsidRPr="00E00526">
        <w:rPr>
          <w:rFonts w:eastAsia="Times New Roman" w:cstheme="minorHAnsi"/>
          <w:lang w:eastAsia="pl-PL"/>
        </w:rPr>
        <w:t xml:space="preserve">Uchwała nr 135 Rady Ministrów z dnia 15 czerwca 2022 r. w sprawie przyjęcia polityki publicznej pod nazwą </w:t>
      </w:r>
      <w:r w:rsidR="00A75BE3" w:rsidRPr="00E00526">
        <w:rPr>
          <w:rFonts w:eastAsia="Times New Roman" w:cstheme="minorHAnsi"/>
          <w:lang w:eastAsia="pl-PL"/>
        </w:rPr>
        <w:t>„</w:t>
      </w:r>
      <w:r w:rsidRPr="00E00526">
        <w:rPr>
          <w:rFonts w:eastAsia="Times New Roman" w:cstheme="minorHAnsi"/>
          <w:lang w:eastAsia="pl-PL"/>
        </w:rPr>
        <w:t>Strategia rozwoju usług społecznych, polityka publiczna do roku 2030 (z perspektywą do 2035 r.)</w:t>
      </w:r>
      <w:r w:rsidR="00A75BE3" w:rsidRPr="00E00526">
        <w:rPr>
          <w:rFonts w:eastAsia="Times New Roman" w:cstheme="minorHAnsi"/>
          <w:lang w:eastAsia="pl-PL"/>
        </w:rPr>
        <w:t>”</w:t>
      </w:r>
      <w:r w:rsidRPr="00E00526">
        <w:rPr>
          <w:rFonts w:eastAsia="Times New Roman" w:cstheme="minorHAnsi"/>
          <w:lang w:eastAsia="pl-PL"/>
        </w:rPr>
        <w:t>;</w:t>
      </w:r>
    </w:p>
    <w:p w14:paraId="3FCD385F" w14:textId="77777777" w:rsidR="00734829" w:rsidRPr="00E00526" w:rsidRDefault="00734829" w:rsidP="00734829">
      <w:pPr>
        <w:pStyle w:val="Akapitzlist"/>
        <w:numPr>
          <w:ilvl w:val="0"/>
          <w:numId w:val="17"/>
        </w:numPr>
        <w:spacing w:after="0" w:line="276" w:lineRule="auto"/>
        <w:ind w:left="256" w:hanging="256"/>
        <w:rPr>
          <w:rFonts w:eastAsia="Times New Roman" w:cstheme="minorHAnsi"/>
          <w:lang w:eastAsia="pl-PL"/>
        </w:rPr>
      </w:pPr>
      <w:r w:rsidRPr="00E00526">
        <w:rPr>
          <w:rFonts w:eastAsia="Times New Roman" w:cstheme="minorHAnsi"/>
          <w:lang w:eastAsia="pl-PL"/>
        </w:rPr>
        <w:t>Ustawa z dnia 27 sierpnia 1997 r. o rehabilitacji zawodowej i społecznej oraz zatrudnianiu osób niepełnosprawnych;</w:t>
      </w:r>
    </w:p>
    <w:p w14:paraId="3EF86669" w14:textId="77777777" w:rsidR="00734829" w:rsidRPr="00E00526" w:rsidRDefault="00734829" w:rsidP="00734829">
      <w:pPr>
        <w:pStyle w:val="Akapitzlist"/>
        <w:numPr>
          <w:ilvl w:val="0"/>
          <w:numId w:val="17"/>
        </w:numPr>
        <w:spacing w:after="0" w:line="276" w:lineRule="auto"/>
        <w:ind w:left="256" w:hanging="256"/>
        <w:rPr>
          <w:rFonts w:eastAsia="Times New Roman" w:cstheme="minorHAnsi"/>
          <w:lang w:eastAsia="pl-PL"/>
        </w:rPr>
      </w:pPr>
      <w:r w:rsidRPr="00E00526">
        <w:rPr>
          <w:rFonts w:eastAsia="Times New Roman" w:cstheme="minorHAnsi"/>
          <w:lang w:eastAsia="pl-PL"/>
        </w:rPr>
        <w:t>Ustawa z dnia 24 kwietnia 2003 r. o działalności pożytku publicznego i o wolontariacie;</w:t>
      </w:r>
    </w:p>
    <w:p w14:paraId="5A7D9213" w14:textId="77777777" w:rsidR="00734829" w:rsidRPr="00E00526" w:rsidRDefault="00734829" w:rsidP="00734829">
      <w:pPr>
        <w:pStyle w:val="Akapitzlist"/>
        <w:numPr>
          <w:ilvl w:val="0"/>
          <w:numId w:val="17"/>
        </w:numPr>
        <w:spacing w:after="0" w:line="276" w:lineRule="auto"/>
        <w:ind w:left="256" w:hanging="256"/>
        <w:rPr>
          <w:rFonts w:eastAsia="Times New Roman" w:cstheme="minorHAnsi"/>
          <w:lang w:eastAsia="pl-PL"/>
        </w:rPr>
      </w:pPr>
      <w:r w:rsidRPr="00E00526">
        <w:rPr>
          <w:rFonts w:eastAsia="Times New Roman" w:cstheme="minorHAnsi"/>
          <w:lang w:eastAsia="pl-PL"/>
        </w:rPr>
        <w:t>Ustawa z dnia 4 kwietnia 2019 r. o dostępności cyfrowej stron internetowych i aplikacji mobilnych podmiotów publicznych;</w:t>
      </w:r>
    </w:p>
    <w:p w14:paraId="1E59CB21" w14:textId="77777777" w:rsidR="00734829" w:rsidRPr="00E00526" w:rsidRDefault="00734829" w:rsidP="00734829">
      <w:pPr>
        <w:pStyle w:val="Akapitzlist"/>
        <w:numPr>
          <w:ilvl w:val="0"/>
          <w:numId w:val="17"/>
        </w:numPr>
        <w:spacing w:after="0" w:line="276" w:lineRule="auto"/>
        <w:ind w:left="256" w:hanging="256"/>
        <w:rPr>
          <w:rFonts w:eastAsia="Times New Roman" w:cstheme="minorHAnsi"/>
          <w:lang w:eastAsia="pl-PL"/>
        </w:rPr>
      </w:pPr>
      <w:r w:rsidRPr="00E00526">
        <w:rPr>
          <w:rFonts w:eastAsia="Times New Roman" w:cstheme="minorHAnsi"/>
          <w:lang w:eastAsia="pl-PL"/>
        </w:rPr>
        <w:t>Ustawa z dnia 19 lipca 2019 r. o zapewnianiu dostępności osobom ze szczególnymi potrzebami;</w:t>
      </w:r>
    </w:p>
    <w:p w14:paraId="75D27DDD" w14:textId="7CCC3EE3" w:rsidR="00734829" w:rsidRPr="00E00526" w:rsidRDefault="00734829" w:rsidP="00734829">
      <w:pPr>
        <w:pStyle w:val="Akapitzlist"/>
        <w:numPr>
          <w:ilvl w:val="0"/>
          <w:numId w:val="17"/>
        </w:numPr>
        <w:spacing w:after="0" w:line="276" w:lineRule="auto"/>
        <w:ind w:left="256" w:hanging="256"/>
        <w:rPr>
          <w:rFonts w:eastAsia="Times New Roman" w:cstheme="minorHAnsi"/>
          <w:lang w:eastAsia="pl-PL"/>
        </w:rPr>
      </w:pPr>
      <w:r w:rsidRPr="00E00526">
        <w:rPr>
          <w:rFonts w:eastAsia="Times New Roman" w:cstheme="minorHAnsi"/>
          <w:lang w:eastAsia="pl-PL"/>
        </w:rPr>
        <w:t xml:space="preserve">Program rządowy </w:t>
      </w:r>
      <w:r w:rsidR="00231FAE">
        <w:rPr>
          <w:rFonts w:eastAsia="Times New Roman" w:cstheme="minorHAnsi"/>
          <w:lang w:eastAsia="pl-PL"/>
        </w:rPr>
        <w:t>„</w:t>
      </w:r>
      <w:r w:rsidRPr="00E00526">
        <w:rPr>
          <w:rFonts w:eastAsia="Times New Roman" w:cstheme="minorHAnsi"/>
          <w:lang w:eastAsia="pl-PL"/>
        </w:rPr>
        <w:t>Dostępność Plus 2018-2025</w:t>
      </w:r>
      <w:r w:rsidR="00231FAE">
        <w:rPr>
          <w:rFonts w:eastAsia="Times New Roman" w:cstheme="minorHAnsi"/>
          <w:lang w:eastAsia="pl-PL"/>
        </w:rPr>
        <w:t>”</w:t>
      </w:r>
      <w:r w:rsidRPr="00E00526">
        <w:rPr>
          <w:rFonts w:eastAsia="Times New Roman" w:cstheme="minorHAnsi"/>
          <w:lang w:eastAsia="pl-PL"/>
        </w:rPr>
        <w:t>;</w:t>
      </w:r>
    </w:p>
    <w:p w14:paraId="27336F10" w14:textId="4643BF76" w:rsidR="00734829" w:rsidRPr="00E00526" w:rsidRDefault="00734829" w:rsidP="00734829">
      <w:pPr>
        <w:pStyle w:val="Akapitzlist"/>
        <w:numPr>
          <w:ilvl w:val="0"/>
          <w:numId w:val="17"/>
        </w:numPr>
        <w:spacing w:after="0" w:line="276" w:lineRule="auto"/>
        <w:ind w:left="256" w:hanging="256"/>
        <w:rPr>
          <w:rFonts w:eastAsia="Times New Roman" w:cstheme="minorHAnsi"/>
          <w:lang w:eastAsia="pl-PL"/>
        </w:rPr>
      </w:pPr>
      <w:r w:rsidRPr="00E00526">
        <w:rPr>
          <w:rFonts w:eastAsia="Times New Roman" w:cstheme="minorHAnsi"/>
          <w:lang w:eastAsia="pl-PL"/>
        </w:rPr>
        <w:t>Wieloletni Plan Finansowy Państwa na lata 202</w:t>
      </w:r>
      <w:r w:rsidR="003148D2" w:rsidRPr="00E00526">
        <w:rPr>
          <w:rFonts w:eastAsia="Times New Roman" w:cstheme="minorHAnsi"/>
          <w:lang w:eastAsia="pl-PL"/>
        </w:rPr>
        <w:t>3</w:t>
      </w:r>
      <w:r w:rsidRPr="00E00526">
        <w:rPr>
          <w:rFonts w:eastAsia="Times New Roman" w:cstheme="minorHAnsi"/>
          <w:lang w:eastAsia="pl-PL"/>
        </w:rPr>
        <w:t>–202</w:t>
      </w:r>
      <w:r w:rsidR="003148D2" w:rsidRPr="00E00526">
        <w:rPr>
          <w:rFonts w:eastAsia="Times New Roman" w:cstheme="minorHAnsi"/>
          <w:lang w:eastAsia="pl-PL"/>
        </w:rPr>
        <w:t>5</w:t>
      </w:r>
      <w:r w:rsidRPr="00E00526">
        <w:rPr>
          <w:rFonts w:eastAsia="Times New Roman" w:cstheme="minorHAnsi"/>
          <w:lang w:eastAsia="pl-PL"/>
        </w:rPr>
        <w:t>;</w:t>
      </w:r>
    </w:p>
    <w:p w14:paraId="7B388250" w14:textId="19D19595" w:rsidR="00734829" w:rsidRPr="00E00526" w:rsidRDefault="00734829" w:rsidP="00734829">
      <w:pPr>
        <w:pStyle w:val="Akapitzlist"/>
        <w:numPr>
          <w:ilvl w:val="0"/>
          <w:numId w:val="17"/>
        </w:numPr>
        <w:spacing w:after="0" w:line="276" w:lineRule="auto"/>
        <w:ind w:left="256" w:hanging="256"/>
        <w:rPr>
          <w:rFonts w:eastAsia="Times New Roman" w:cstheme="minorHAnsi"/>
          <w:lang w:eastAsia="pl-PL"/>
        </w:rPr>
      </w:pPr>
      <w:r w:rsidRPr="00E00526">
        <w:rPr>
          <w:rFonts w:eastAsia="Times New Roman" w:cstheme="minorHAnsi"/>
          <w:lang w:eastAsia="pl-PL"/>
        </w:rPr>
        <w:t>Założenia projektu budżetu państwa na rok 2023;</w:t>
      </w:r>
    </w:p>
    <w:p w14:paraId="21BDB2F6" w14:textId="78952F92" w:rsidR="006B7928" w:rsidRPr="00E00526" w:rsidRDefault="00734829" w:rsidP="006B7928">
      <w:pPr>
        <w:pStyle w:val="Akapitzlist"/>
        <w:numPr>
          <w:ilvl w:val="0"/>
          <w:numId w:val="17"/>
        </w:numPr>
        <w:spacing w:line="276" w:lineRule="auto"/>
        <w:ind w:left="256" w:hanging="256"/>
        <w:rPr>
          <w:rFonts w:eastAsia="Times New Roman" w:cstheme="minorHAnsi"/>
          <w:lang w:eastAsia="pl-PL"/>
        </w:rPr>
      </w:pPr>
      <w:r w:rsidRPr="00E00526">
        <w:rPr>
          <w:rFonts w:eastAsia="Times New Roman" w:cstheme="minorHAnsi"/>
          <w:lang w:eastAsia="pl-PL"/>
        </w:rPr>
        <w:t>Projekt ustawy budżetowej na rok 2023.</w:t>
      </w:r>
    </w:p>
    <w:p w14:paraId="0E4EED93" w14:textId="1BAA83D4" w:rsidR="006B7928" w:rsidRPr="00E00526" w:rsidRDefault="00231FAE" w:rsidP="006B7928">
      <w:pPr>
        <w:pStyle w:val="Nagwek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CZĘŚĆ </w:t>
      </w:r>
      <w:r w:rsidR="006B7928" w:rsidRPr="00E00526">
        <w:rPr>
          <w:rFonts w:asciiTheme="minorHAnsi" w:hAnsiTheme="minorHAnsi" w:cstheme="minorHAnsi"/>
        </w:rPr>
        <w:t>C: Inne cele przyjęte do realizacji w roku 2023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Część C. Inne cele przyjęte do realizacji w roku 2023"/>
        <w:tblDescription w:val="Tabela zawiera 11 pozycji, obejmujących 7 dodatkowych celów Funduszu na 2023 rok:&#10;Cele F1 i F2 dotyczą gospodarki finansowej PFRON.&#10;Cel R1 dotyczy bezpieczeństwa teleinformatycznego PFRON.&#10;Cele R2 i P1 wynikają ze zaktualizowanej Strategii Informatyzacji PFRON 2021-2025.&#10;Cel P2 dotyczy optymalizacji procesów wewnętrznych.&#10;Cel P3 wynika ze Strategii Komunikacji PFRON 2021-2023."/>
      </w:tblPr>
      <w:tblGrid>
        <w:gridCol w:w="486"/>
        <w:gridCol w:w="3478"/>
        <w:gridCol w:w="3687"/>
        <w:gridCol w:w="1985"/>
        <w:gridCol w:w="5752"/>
      </w:tblGrid>
      <w:tr w:rsidR="00C12D41" w:rsidRPr="00E00526" w14:paraId="51CC0AD9" w14:textId="77777777" w:rsidTr="00C12D41">
        <w:trPr>
          <w:trHeight w:val="255"/>
          <w:tblHeader/>
        </w:trPr>
        <w:tc>
          <w:tcPr>
            <w:tcW w:w="158" w:type="pct"/>
            <w:shd w:val="clear" w:color="auto" w:fill="D9D9D9" w:themeFill="background1" w:themeFillShade="D9"/>
            <w:hideMark/>
          </w:tcPr>
          <w:p w14:paraId="04FCEBDC" w14:textId="77777777" w:rsidR="00C12D41" w:rsidRPr="00E00526" w:rsidRDefault="00C12D41" w:rsidP="00FB61F5">
            <w:pPr>
              <w:spacing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E00526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1130" w:type="pct"/>
            <w:shd w:val="clear" w:color="auto" w:fill="D9D9D9" w:themeFill="background1" w:themeFillShade="D9"/>
            <w:hideMark/>
          </w:tcPr>
          <w:p w14:paraId="75F10706" w14:textId="77777777" w:rsidR="00C12D41" w:rsidRPr="00E00526" w:rsidRDefault="00C12D41" w:rsidP="00FB61F5">
            <w:pPr>
              <w:spacing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E00526">
              <w:rPr>
                <w:rFonts w:eastAsia="Times New Roman" w:cstheme="minorHAnsi"/>
                <w:b/>
                <w:bCs/>
                <w:lang w:eastAsia="pl-PL"/>
              </w:rPr>
              <w:t>Cel</w:t>
            </w:r>
          </w:p>
        </w:tc>
        <w:tc>
          <w:tcPr>
            <w:tcW w:w="1198" w:type="pct"/>
            <w:shd w:val="clear" w:color="auto" w:fill="D9D9D9" w:themeFill="background1" w:themeFillShade="D9"/>
            <w:hideMark/>
          </w:tcPr>
          <w:p w14:paraId="3AA7628C" w14:textId="77777777" w:rsidR="00C12D41" w:rsidRPr="00E00526" w:rsidRDefault="00C12D41" w:rsidP="00FB61F5">
            <w:pPr>
              <w:spacing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E00526">
              <w:rPr>
                <w:rFonts w:eastAsia="Times New Roman" w:cstheme="minorHAnsi"/>
                <w:b/>
                <w:bCs/>
                <w:lang w:eastAsia="pl-PL"/>
              </w:rPr>
              <w:t>Mierniki określające stopień realizacji celu - Nazwa</w:t>
            </w:r>
          </w:p>
        </w:tc>
        <w:tc>
          <w:tcPr>
            <w:tcW w:w="645" w:type="pct"/>
            <w:shd w:val="clear" w:color="auto" w:fill="D9D9D9" w:themeFill="background1" w:themeFillShade="D9"/>
            <w:hideMark/>
          </w:tcPr>
          <w:p w14:paraId="427C67F4" w14:textId="77777777" w:rsidR="00C12D41" w:rsidRPr="00E00526" w:rsidRDefault="00C12D41" w:rsidP="00FB61F5">
            <w:pPr>
              <w:spacing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E00526">
              <w:rPr>
                <w:rFonts w:eastAsia="Times New Roman" w:cstheme="minorHAnsi"/>
                <w:b/>
                <w:bCs/>
                <w:lang w:eastAsia="pl-PL"/>
              </w:rPr>
              <w:t>Planowana wartość do osiągnięcia na koniec roku, którego dotyczy plan</w:t>
            </w:r>
          </w:p>
        </w:tc>
        <w:tc>
          <w:tcPr>
            <w:tcW w:w="1869" w:type="pct"/>
            <w:shd w:val="clear" w:color="auto" w:fill="D9D9D9" w:themeFill="background1" w:themeFillShade="D9"/>
            <w:hideMark/>
          </w:tcPr>
          <w:p w14:paraId="39ACE657" w14:textId="77777777" w:rsidR="00C12D41" w:rsidRPr="00E00526" w:rsidRDefault="00C12D41" w:rsidP="00FB61F5">
            <w:pPr>
              <w:spacing w:line="276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E00526">
              <w:rPr>
                <w:rFonts w:eastAsia="Times New Roman" w:cstheme="minorHAnsi"/>
                <w:b/>
                <w:bCs/>
                <w:lang w:eastAsia="pl-PL"/>
              </w:rPr>
              <w:t>Najważniejsze zadania służące realizacji celu</w:t>
            </w:r>
          </w:p>
        </w:tc>
      </w:tr>
      <w:tr w:rsidR="00C12D41" w:rsidRPr="00E00526" w14:paraId="617F3E4F" w14:textId="77777777" w:rsidTr="00C12D41">
        <w:trPr>
          <w:trHeight w:val="1549"/>
        </w:trPr>
        <w:tc>
          <w:tcPr>
            <w:tcW w:w="158" w:type="pct"/>
          </w:tcPr>
          <w:p w14:paraId="1BC8FCA1" w14:textId="77777777" w:rsidR="00C12D41" w:rsidRPr="00E00526" w:rsidRDefault="00C12D41" w:rsidP="00FB61F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130" w:type="pct"/>
          </w:tcPr>
          <w:p w14:paraId="08905F25" w14:textId="77777777" w:rsidR="00C12D41" w:rsidRPr="00E00526" w:rsidRDefault="00C12D41" w:rsidP="00FB61F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F1. Oszczędne i efektywne gospodarowanie środkami publicznymi.</w:t>
            </w:r>
          </w:p>
        </w:tc>
        <w:tc>
          <w:tcPr>
            <w:tcW w:w="1198" w:type="pct"/>
          </w:tcPr>
          <w:p w14:paraId="259EB9D4" w14:textId="77777777" w:rsidR="00C12D41" w:rsidRPr="00E00526" w:rsidRDefault="00C12D41" w:rsidP="00FB61F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 xml:space="preserve">Koszt alokacji każdego 1000 zł przez PFRON: </w:t>
            </w:r>
            <w:r w:rsidRPr="00E00526">
              <w:rPr>
                <w:rFonts w:eastAsia="Times New Roman" w:cstheme="minorHAnsi"/>
                <w:lang w:eastAsia="pl-PL"/>
              </w:rPr>
              <w:br/>
              <w:t>Koszty działalności PFRON stanowiące wydatek bieżący / Łączna kwota wydatków ponoszonych przez PFRON w danym roku budżetowym * 1000</w:t>
            </w:r>
          </w:p>
        </w:tc>
        <w:tc>
          <w:tcPr>
            <w:tcW w:w="645" w:type="pct"/>
          </w:tcPr>
          <w:p w14:paraId="554BB402" w14:textId="77777777" w:rsidR="00C12D41" w:rsidRPr="00E00526" w:rsidRDefault="00C12D41" w:rsidP="00FB61F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</w:rPr>
              <w:t>od 22,23 zł/tys.</w:t>
            </w:r>
            <w:r w:rsidRPr="00E00526">
              <w:rPr>
                <w:rFonts w:eastAsia="Times New Roman" w:cstheme="minorHAnsi"/>
              </w:rPr>
              <w:br/>
              <w:t>do 26,41 zł/tys.</w:t>
            </w:r>
          </w:p>
        </w:tc>
        <w:tc>
          <w:tcPr>
            <w:tcW w:w="1869" w:type="pct"/>
          </w:tcPr>
          <w:p w14:paraId="5445A131" w14:textId="77777777" w:rsidR="00C12D41" w:rsidRPr="00E00526" w:rsidRDefault="00C12D41" w:rsidP="006B7928">
            <w:pPr>
              <w:pStyle w:val="Akapitzlist"/>
              <w:numPr>
                <w:ilvl w:val="0"/>
                <w:numId w:val="18"/>
              </w:numPr>
              <w:spacing w:line="276" w:lineRule="auto"/>
              <w:ind w:left="142" w:hanging="142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Zapewnienie stabilności finansowej PFRON,</w:t>
            </w:r>
          </w:p>
          <w:p w14:paraId="0E45C74B" w14:textId="77777777" w:rsidR="00C12D41" w:rsidRPr="00E00526" w:rsidRDefault="00C12D41" w:rsidP="006B7928">
            <w:pPr>
              <w:pStyle w:val="Akapitzlist"/>
              <w:numPr>
                <w:ilvl w:val="0"/>
                <w:numId w:val="18"/>
              </w:numPr>
              <w:spacing w:line="276" w:lineRule="auto"/>
              <w:ind w:left="142" w:hanging="142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Monitorowanie i kontrola wydatków,</w:t>
            </w:r>
          </w:p>
          <w:p w14:paraId="25FB50B4" w14:textId="77777777" w:rsidR="00C12D41" w:rsidRPr="00E00526" w:rsidRDefault="00C12D41" w:rsidP="006B7928">
            <w:pPr>
              <w:pStyle w:val="Akapitzlist"/>
              <w:numPr>
                <w:ilvl w:val="0"/>
                <w:numId w:val="18"/>
              </w:numPr>
              <w:spacing w:line="276" w:lineRule="auto"/>
              <w:ind w:left="142" w:hanging="142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Obsługa działalności bieżącej Funduszu,</w:t>
            </w:r>
          </w:p>
          <w:p w14:paraId="3553D5AB" w14:textId="77777777" w:rsidR="00C12D41" w:rsidRPr="00E00526" w:rsidRDefault="00C12D41" w:rsidP="006B7928">
            <w:pPr>
              <w:pStyle w:val="Akapitzlist"/>
              <w:numPr>
                <w:ilvl w:val="0"/>
                <w:numId w:val="18"/>
              </w:numPr>
              <w:spacing w:line="276" w:lineRule="auto"/>
              <w:ind w:left="142" w:hanging="142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Zapobieganie nienależnej wypłacie środków.</w:t>
            </w:r>
          </w:p>
        </w:tc>
      </w:tr>
      <w:tr w:rsidR="00C12D41" w:rsidRPr="00E00526" w14:paraId="697EE53D" w14:textId="77777777" w:rsidTr="00C12D41">
        <w:trPr>
          <w:trHeight w:val="2548"/>
        </w:trPr>
        <w:tc>
          <w:tcPr>
            <w:tcW w:w="158" w:type="pct"/>
          </w:tcPr>
          <w:p w14:paraId="69864E5D" w14:textId="77777777" w:rsidR="00C12D41" w:rsidRPr="00E00526" w:rsidRDefault="00C12D41" w:rsidP="00FB61F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2</w:t>
            </w:r>
          </w:p>
        </w:tc>
        <w:tc>
          <w:tcPr>
            <w:tcW w:w="1130" w:type="pct"/>
          </w:tcPr>
          <w:p w14:paraId="607934AD" w14:textId="77777777" w:rsidR="00C12D41" w:rsidRPr="00E00526" w:rsidRDefault="00C12D41" w:rsidP="00FB61F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F2. Efektywne i skuteczne pozyskiwanie środków finansowych.</w:t>
            </w:r>
          </w:p>
        </w:tc>
        <w:tc>
          <w:tcPr>
            <w:tcW w:w="1198" w:type="pct"/>
          </w:tcPr>
          <w:p w14:paraId="24E6CA75" w14:textId="77777777" w:rsidR="00C12D41" w:rsidRPr="00E00526" w:rsidRDefault="00C12D41" w:rsidP="00FB61F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Wskaźnik faktycznej realizacji przychodów:</w:t>
            </w:r>
            <w:r w:rsidRPr="00E00526">
              <w:rPr>
                <w:rFonts w:eastAsia="Times New Roman" w:cstheme="minorHAnsi"/>
                <w:lang w:eastAsia="pl-PL"/>
              </w:rPr>
              <w:br/>
              <w:t>Kwota wpłat dokonanych / Kwota wpłat zadeklarowanych oraz wynikających z decyzji określających, przypisujących zobowiązanie</w:t>
            </w:r>
          </w:p>
        </w:tc>
        <w:tc>
          <w:tcPr>
            <w:tcW w:w="645" w:type="pct"/>
          </w:tcPr>
          <w:p w14:paraId="44F1BCC6" w14:textId="77777777" w:rsidR="00C12D41" w:rsidRPr="00E00526" w:rsidRDefault="00C12D41" w:rsidP="00FB61F5">
            <w:pPr>
              <w:spacing w:line="276" w:lineRule="auto"/>
              <w:rPr>
                <w:rFonts w:eastAsia="Times New Roman" w:cstheme="minorHAnsi"/>
              </w:rPr>
            </w:pPr>
            <w:r w:rsidRPr="00E00526">
              <w:rPr>
                <w:rFonts w:eastAsia="Times New Roman" w:cstheme="minorHAnsi"/>
              </w:rPr>
              <w:t>od 98,05%</w:t>
            </w:r>
            <w:r w:rsidRPr="00E00526">
              <w:rPr>
                <w:rFonts w:eastAsia="Times New Roman" w:cstheme="minorHAnsi"/>
              </w:rPr>
              <w:br/>
              <w:t>do 100,79%</w:t>
            </w:r>
          </w:p>
        </w:tc>
        <w:tc>
          <w:tcPr>
            <w:tcW w:w="1869" w:type="pct"/>
          </w:tcPr>
          <w:p w14:paraId="08E3E2B5" w14:textId="77777777" w:rsidR="00C12D41" w:rsidRPr="00E00526" w:rsidRDefault="00C12D41" w:rsidP="006B7928">
            <w:pPr>
              <w:pStyle w:val="Akapitzlist"/>
              <w:numPr>
                <w:ilvl w:val="0"/>
                <w:numId w:val="18"/>
              </w:numPr>
              <w:spacing w:line="276" w:lineRule="auto"/>
              <w:ind w:left="142" w:hanging="142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 xml:space="preserve"> Ewidencja pracodawców zobowiązanych do wpłat na PFRON,</w:t>
            </w:r>
          </w:p>
          <w:p w14:paraId="297CE703" w14:textId="77777777" w:rsidR="00C12D41" w:rsidRPr="00E00526" w:rsidRDefault="00C12D41" w:rsidP="006B7928">
            <w:pPr>
              <w:pStyle w:val="Akapitzlist"/>
              <w:numPr>
                <w:ilvl w:val="0"/>
                <w:numId w:val="18"/>
              </w:numPr>
              <w:spacing w:line="276" w:lineRule="auto"/>
              <w:ind w:left="142" w:hanging="142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Monitorowanie zaległości we wpłatach,</w:t>
            </w:r>
          </w:p>
          <w:p w14:paraId="37B72CD7" w14:textId="77777777" w:rsidR="00C12D41" w:rsidRPr="00E00526" w:rsidRDefault="00C12D41" w:rsidP="006B7928">
            <w:pPr>
              <w:pStyle w:val="Akapitzlist"/>
              <w:numPr>
                <w:ilvl w:val="0"/>
                <w:numId w:val="18"/>
              </w:numPr>
              <w:spacing w:line="276" w:lineRule="auto"/>
              <w:ind w:left="142" w:hanging="142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Monitorowanie poprawności wykorzystania ulg z tytułu art. 22 ustawy o rehabilitacji;</w:t>
            </w:r>
          </w:p>
          <w:p w14:paraId="09400A47" w14:textId="77777777" w:rsidR="00C12D41" w:rsidRPr="00E00526" w:rsidRDefault="00C12D41" w:rsidP="006B7928">
            <w:pPr>
              <w:pStyle w:val="Akapitzlist"/>
              <w:numPr>
                <w:ilvl w:val="0"/>
                <w:numId w:val="18"/>
              </w:numPr>
              <w:spacing w:line="276" w:lineRule="auto"/>
              <w:ind w:left="142" w:hanging="142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Prowadzenie postępowań w sprawie określenia wysokości zobowiązań z tytułu wpłat na Fundusz.</w:t>
            </w:r>
          </w:p>
        </w:tc>
      </w:tr>
      <w:tr w:rsidR="00C12D41" w:rsidRPr="00E00526" w14:paraId="4E80B08B" w14:textId="77777777" w:rsidTr="00C12D41">
        <w:trPr>
          <w:trHeight w:val="914"/>
        </w:trPr>
        <w:tc>
          <w:tcPr>
            <w:tcW w:w="158" w:type="pct"/>
          </w:tcPr>
          <w:p w14:paraId="442D3764" w14:textId="77777777" w:rsidR="00C12D41" w:rsidRPr="00E00526" w:rsidRDefault="00C12D41" w:rsidP="00FB61F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3</w:t>
            </w:r>
          </w:p>
        </w:tc>
        <w:tc>
          <w:tcPr>
            <w:tcW w:w="1130" w:type="pct"/>
          </w:tcPr>
          <w:p w14:paraId="15B2D631" w14:textId="77777777" w:rsidR="00C12D41" w:rsidRPr="00E00526" w:rsidDel="00C10514" w:rsidRDefault="00C12D41" w:rsidP="00FB61F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F2. Efektywne i skuteczne pozyskiwanie środków finansowych.</w:t>
            </w:r>
          </w:p>
        </w:tc>
        <w:tc>
          <w:tcPr>
            <w:tcW w:w="1198" w:type="pct"/>
          </w:tcPr>
          <w:p w14:paraId="08CFC7A2" w14:textId="77777777" w:rsidR="00C12D41" w:rsidRPr="00E00526" w:rsidDel="00C10514" w:rsidRDefault="00C12D41" w:rsidP="00FB61F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Kwota kapitału odzyskana w wyniku działań windykacyjnych / Kapitał należności objętych postępowaniem windykacyjnym</w:t>
            </w:r>
          </w:p>
        </w:tc>
        <w:tc>
          <w:tcPr>
            <w:tcW w:w="645" w:type="pct"/>
          </w:tcPr>
          <w:p w14:paraId="262A3D50" w14:textId="77777777" w:rsidR="00C12D41" w:rsidRPr="00E00526" w:rsidDel="00C10514" w:rsidRDefault="00C12D41" w:rsidP="00FB61F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 xml:space="preserve">od 16,2% </w:t>
            </w:r>
            <w:r w:rsidRPr="00E00526">
              <w:rPr>
                <w:rFonts w:eastAsia="Times New Roman" w:cstheme="minorHAnsi"/>
                <w:lang w:eastAsia="pl-PL"/>
              </w:rPr>
              <w:br/>
              <w:t>do 18,1%</w:t>
            </w:r>
          </w:p>
        </w:tc>
        <w:tc>
          <w:tcPr>
            <w:tcW w:w="1869" w:type="pct"/>
          </w:tcPr>
          <w:p w14:paraId="3D7EE707" w14:textId="77777777" w:rsidR="00C12D41" w:rsidRPr="00E00526" w:rsidDel="00C10514" w:rsidRDefault="00C12D41" w:rsidP="006B7928">
            <w:pPr>
              <w:pStyle w:val="Akapitzlist"/>
              <w:numPr>
                <w:ilvl w:val="0"/>
                <w:numId w:val="18"/>
              </w:numPr>
              <w:spacing w:line="276" w:lineRule="auto"/>
              <w:ind w:left="142" w:hanging="142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Windykacja i egzekucja należności w oparciu o wdrożony system wspierający ten obszar działalności.</w:t>
            </w:r>
          </w:p>
        </w:tc>
      </w:tr>
      <w:tr w:rsidR="00C12D41" w:rsidRPr="00E00526" w14:paraId="44572FB1" w14:textId="77777777" w:rsidTr="00C12D41">
        <w:trPr>
          <w:trHeight w:val="1123"/>
        </w:trPr>
        <w:tc>
          <w:tcPr>
            <w:tcW w:w="158" w:type="pct"/>
          </w:tcPr>
          <w:p w14:paraId="3A01AFCB" w14:textId="77777777" w:rsidR="00C12D41" w:rsidRPr="00E00526" w:rsidRDefault="00C12D41" w:rsidP="00FB61F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4</w:t>
            </w:r>
          </w:p>
        </w:tc>
        <w:tc>
          <w:tcPr>
            <w:tcW w:w="1130" w:type="pct"/>
          </w:tcPr>
          <w:p w14:paraId="6DC1DCC7" w14:textId="77777777" w:rsidR="00C12D41" w:rsidRPr="00E00526" w:rsidRDefault="00C12D41" w:rsidP="00FB61F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R1. Zapewnienie bezpieczeństwa zasobów teleinformatycznych i zgodności z obowiązującymi standardami.</w:t>
            </w:r>
          </w:p>
        </w:tc>
        <w:tc>
          <w:tcPr>
            <w:tcW w:w="1198" w:type="pct"/>
          </w:tcPr>
          <w:p w14:paraId="413FBCEC" w14:textId="77777777" w:rsidR="00C12D41" w:rsidRPr="00E00526" w:rsidRDefault="00C12D41" w:rsidP="00FB61F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Procent zrealizowanych zaleceń z audytu bezpieczeństwa:</w:t>
            </w:r>
          </w:p>
        </w:tc>
        <w:tc>
          <w:tcPr>
            <w:tcW w:w="645" w:type="pct"/>
          </w:tcPr>
          <w:p w14:paraId="453F82AD" w14:textId="77777777" w:rsidR="00C12D41" w:rsidRPr="00E00526" w:rsidRDefault="00C12D41" w:rsidP="00FB61F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 xml:space="preserve">od 47,9% </w:t>
            </w:r>
            <w:r w:rsidRPr="00E00526">
              <w:rPr>
                <w:rFonts w:eastAsia="Times New Roman" w:cstheme="minorHAnsi"/>
                <w:lang w:eastAsia="pl-PL"/>
              </w:rPr>
              <w:br/>
              <w:t>do 100,0%</w:t>
            </w:r>
          </w:p>
        </w:tc>
        <w:tc>
          <w:tcPr>
            <w:tcW w:w="1869" w:type="pct"/>
          </w:tcPr>
          <w:p w14:paraId="3084F1A1" w14:textId="77777777" w:rsidR="00C12D41" w:rsidRPr="00E00526" w:rsidRDefault="00C12D41" w:rsidP="006B7928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16" w:hanging="216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Poprawa mechanizmów zapewnienia poufności danych,</w:t>
            </w:r>
          </w:p>
          <w:p w14:paraId="77366B9A" w14:textId="77777777" w:rsidR="00C12D41" w:rsidRPr="00E00526" w:rsidRDefault="00C12D41" w:rsidP="006B7928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16" w:hanging="216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Wdrożenie najlepszych praktyk zarządzania usługami IT,</w:t>
            </w:r>
          </w:p>
          <w:p w14:paraId="7DCAE309" w14:textId="77777777" w:rsidR="00C12D41" w:rsidRPr="00E00526" w:rsidRDefault="00C12D41" w:rsidP="006B7928">
            <w:pPr>
              <w:pStyle w:val="Akapitzlist"/>
              <w:numPr>
                <w:ilvl w:val="0"/>
                <w:numId w:val="18"/>
              </w:numPr>
              <w:spacing w:line="276" w:lineRule="auto"/>
              <w:ind w:left="216" w:hanging="216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Cykliczne audyty: bezpieczeństwa infrastruktury informatycznej, bezpieczeństwa fizycznego, zgodności z KRI,</w:t>
            </w:r>
          </w:p>
          <w:p w14:paraId="6B74C647" w14:textId="77777777" w:rsidR="00C12D41" w:rsidRPr="00E00526" w:rsidRDefault="00C12D41" w:rsidP="006B7928">
            <w:pPr>
              <w:pStyle w:val="Akapitzlist"/>
              <w:numPr>
                <w:ilvl w:val="0"/>
                <w:numId w:val="18"/>
              </w:numPr>
              <w:spacing w:after="120" w:line="276" w:lineRule="auto"/>
              <w:ind w:left="215" w:hanging="215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Realizacja zaleceń z audytów bezpieczeństwa.</w:t>
            </w:r>
          </w:p>
        </w:tc>
      </w:tr>
      <w:tr w:rsidR="00C12D41" w:rsidRPr="00E00526" w14:paraId="331B09A6" w14:textId="77777777" w:rsidTr="00C12D41">
        <w:trPr>
          <w:trHeight w:val="2181"/>
        </w:trPr>
        <w:tc>
          <w:tcPr>
            <w:tcW w:w="158" w:type="pct"/>
          </w:tcPr>
          <w:p w14:paraId="5FCD8439" w14:textId="77777777" w:rsidR="00C12D41" w:rsidRPr="00E00526" w:rsidRDefault="00C12D41" w:rsidP="00FB61F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lastRenderedPageBreak/>
              <w:t>5</w:t>
            </w:r>
          </w:p>
        </w:tc>
        <w:tc>
          <w:tcPr>
            <w:tcW w:w="1130" w:type="pct"/>
          </w:tcPr>
          <w:p w14:paraId="6A566043" w14:textId="77777777" w:rsidR="00C12D41" w:rsidRPr="00E00526" w:rsidRDefault="00C12D41" w:rsidP="00FB61F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R2. Ułatwienie osobom z niepełnosprawnościami i osobom ze szczególnymi potrzebami oraz podmiotom działającym na ich rzecz aplikowania o środki PFRON.</w:t>
            </w:r>
          </w:p>
        </w:tc>
        <w:tc>
          <w:tcPr>
            <w:tcW w:w="1198" w:type="pct"/>
          </w:tcPr>
          <w:p w14:paraId="0EB7D737" w14:textId="77777777" w:rsidR="00C12D41" w:rsidRPr="00E00526" w:rsidRDefault="00C12D41" w:rsidP="00FB61F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Poziom realizacji celu: Procent zadań zrealizowanych w odniesieniu do zaplanowanych do osiągnięcia wg strategii informatyzacji</w:t>
            </w:r>
          </w:p>
        </w:tc>
        <w:tc>
          <w:tcPr>
            <w:tcW w:w="645" w:type="pct"/>
          </w:tcPr>
          <w:p w14:paraId="3DC80989" w14:textId="77777777" w:rsidR="00C12D41" w:rsidRPr="00E00526" w:rsidRDefault="00C12D41" w:rsidP="00FB61F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 xml:space="preserve">od 80% </w:t>
            </w:r>
            <w:r w:rsidRPr="00E00526">
              <w:rPr>
                <w:rFonts w:eastAsia="Times New Roman" w:cstheme="minorHAnsi"/>
                <w:lang w:eastAsia="pl-PL"/>
              </w:rPr>
              <w:br/>
              <w:t>do 100%</w:t>
            </w:r>
          </w:p>
        </w:tc>
        <w:tc>
          <w:tcPr>
            <w:tcW w:w="1869" w:type="pct"/>
          </w:tcPr>
          <w:p w14:paraId="3E229B38" w14:textId="77777777" w:rsidR="00C12D41" w:rsidRPr="00E00526" w:rsidRDefault="00C12D41" w:rsidP="00FB61F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Realizacja ścieżki działań zaplanowanych na 2023 rok:</w:t>
            </w:r>
          </w:p>
          <w:p w14:paraId="50A99400" w14:textId="77777777" w:rsidR="00C12D41" w:rsidRPr="00E00526" w:rsidRDefault="00C12D41" w:rsidP="006673D0">
            <w:pPr>
              <w:pStyle w:val="Akapitzlist"/>
              <w:numPr>
                <w:ilvl w:val="0"/>
                <w:numId w:val="17"/>
              </w:numPr>
              <w:spacing w:before="120" w:after="120" w:line="276" w:lineRule="auto"/>
              <w:ind w:left="425" w:hanging="249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Podniesienie pozostałych e-usług systemu SOW do poziomu 4,</w:t>
            </w:r>
          </w:p>
          <w:p w14:paraId="149FA9FB" w14:textId="77777777" w:rsidR="00C12D41" w:rsidRPr="00E00526" w:rsidRDefault="00C12D41" w:rsidP="006673D0">
            <w:pPr>
              <w:pStyle w:val="Akapitzlist"/>
              <w:numPr>
                <w:ilvl w:val="0"/>
                <w:numId w:val="17"/>
              </w:numPr>
              <w:spacing w:before="120" w:after="120" w:line="276" w:lineRule="auto"/>
              <w:ind w:left="425" w:hanging="249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Uniwersalna platforma do projektowania i realizacji programów wsparcia osób niepełnosprawnych wraz ze zintegrowanym modułem analitycznym (system iPFRON+),</w:t>
            </w:r>
          </w:p>
          <w:p w14:paraId="4C48BDD3" w14:textId="77777777" w:rsidR="00C12D41" w:rsidRPr="00E00526" w:rsidRDefault="00C12D41" w:rsidP="006673D0">
            <w:pPr>
              <w:pStyle w:val="Akapitzlist"/>
              <w:numPr>
                <w:ilvl w:val="0"/>
                <w:numId w:val="17"/>
              </w:numPr>
              <w:spacing w:before="120" w:after="120" w:line="276" w:lineRule="auto"/>
              <w:ind w:left="425" w:hanging="249"/>
              <w:rPr>
                <w:rFonts w:cstheme="minorHAnsi"/>
              </w:rPr>
            </w:pPr>
            <w:r w:rsidRPr="00E00526">
              <w:rPr>
                <w:rFonts w:eastAsia="Times New Roman" w:cstheme="minorHAnsi"/>
                <w:lang w:eastAsia="pl-PL"/>
              </w:rPr>
              <w:t>Opracowanie kontenera usług integracji z systemami zewnętrznymi.</w:t>
            </w:r>
          </w:p>
        </w:tc>
      </w:tr>
      <w:tr w:rsidR="00C12D41" w:rsidRPr="00E00526" w14:paraId="0FF6EF5D" w14:textId="77777777" w:rsidTr="00C12D41">
        <w:trPr>
          <w:trHeight w:val="1458"/>
        </w:trPr>
        <w:tc>
          <w:tcPr>
            <w:tcW w:w="158" w:type="pct"/>
          </w:tcPr>
          <w:p w14:paraId="2F4DF601" w14:textId="77777777" w:rsidR="00C12D41" w:rsidRPr="00E00526" w:rsidRDefault="00C12D41" w:rsidP="00FB61F5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6</w:t>
            </w:r>
          </w:p>
        </w:tc>
        <w:tc>
          <w:tcPr>
            <w:tcW w:w="1130" w:type="pct"/>
          </w:tcPr>
          <w:p w14:paraId="5CE34FE4" w14:textId="77777777" w:rsidR="00C12D41" w:rsidRPr="00E00526" w:rsidRDefault="00C12D41" w:rsidP="00FB61F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R2. Ułatwienie osobom z niepełnosprawnościami i osobom ze szczególnymi potrzebami oraz podmiotom działającym na ich rzecz aplikowania o środki PFRON.</w:t>
            </w:r>
          </w:p>
        </w:tc>
        <w:tc>
          <w:tcPr>
            <w:tcW w:w="1198" w:type="pct"/>
          </w:tcPr>
          <w:p w14:paraId="177CBB44" w14:textId="77777777" w:rsidR="00C12D41" w:rsidRPr="00E00526" w:rsidRDefault="00C12D41" w:rsidP="00FB61F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Liczba wniosków złożonych w formie papierowej / Ogólna liczba złożonych wniosków</w:t>
            </w:r>
          </w:p>
        </w:tc>
        <w:tc>
          <w:tcPr>
            <w:tcW w:w="645" w:type="pct"/>
          </w:tcPr>
          <w:p w14:paraId="2728E696" w14:textId="77777777" w:rsidR="00C12D41" w:rsidRPr="00E00526" w:rsidRDefault="00C12D41" w:rsidP="00FB61F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od 9,6%</w:t>
            </w:r>
          </w:p>
          <w:p w14:paraId="6722DBE3" w14:textId="77777777" w:rsidR="00C12D41" w:rsidRPr="00E00526" w:rsidRDefault="00C12D41" w:rsidP="00FB61F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do 35,8%</w:t>
            </w:r>
          </w:p>
        </w:tc>
        <w:tc>
          <w:tcPr>
            <w:tcW w:w="1869" w:type="pct"/>
          </w:tcPr>
          <w:p w14:paraId="3F5A73AC" w14:textId="77777777" w:rsidR="00C12D41" w:rsidRPr="00E00526" w:rsidRDefault="00C12D41" w:rsidP="006673D0">
            <w:pPr>
              <w:pStyle w:val="Akapitzlist"/>
              <w:numPr>
                <w:ilvl w:val="0"/>
                <w:numId w:val="17"/>
              </w:numPr>
              <w:spacing w:before="120" w:after="120" w:line="276" w:lineRule="auto"/>
              <w:ind w:left="425" w:hanging="249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Realizacja kampanii informacyjnej promującej nowe możliwości wnioskowania o środki PFRON przez Internet,</w:t>
            </w:r>
          </w:p>
          <w:p w14:paraId="0C147005" w14:textId="77777777" w:rsidR="00C12D41" w:rsidRPr="00E00526" w:rsidRDefault="00C12D41" w:rsidP="006673D0">
            <w:pPr>
              <w:pStyle w:val="Akapitzlist"/>
              <w:numPr>
                <w:ilvl w:val="0"/>
                <w:numId w:val="17"/>
              </w:numPr>
              <w:spacing w:before="120" w:after="120" w:line="276" w:lineRule="auto"/>
              <w:ind w:left="425" w:hanging="249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Zapewnienie asysty pracownika PFRON w samoobsługowych punktach składania wniosków.</w:t>
            </w:r>
          </w:p>
        </w:tc>
      </w:tr>
      <w:tr w:rsidR="00C12D41" w:rsidRPr="00E00526" w14:paraId="275B25DC" w14:textId="77777777" w:rsidTr="00C12D41">
        <w:trPr>
          <w:trHeight w:val="1916"/>
        </w:trPr>
        <w:tc>
          <w:tcPr>
            <w:tcW w:w="158" w:type="pct"/>
          </w:tcPr>
          <w:p w14:paraId="0F496FBF" w14:textId="77777777" w:rsidR="00C12D41" w:rsidRPr="00E00526" w:rsidRDefault="00C12D41" w:rsidP="00FB61F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7</w:t>
            </w:r>
          </w:p>
        </w:tc>
        <w:tc>
          <w:tcPr>
            <w:tcW w:w="1130" w:type="pct"/>
          </w:tcPr>
          <w:p w14:paraId="0F50A544" w14:textId="77777777" w:rsidR="00C12D41" w:rsidRPr="00E00526" w:rsidRDefault="00C12D41" w:rsidP="00FB61F5">
            <w:pPr>
              <w:spacing w:after="120" w:line="276" w:lineRule="auto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P1. Wdrożenie wydajnych narzędzi do analizy danych wspierających operacyjne i zarządcze procesy PFRON.</w:t>
            </w:r>
          </w:p>
        </w:tc>
        <w:tc>
          <w:tcPr>
            <w:tcW w:w="1198" w:type="pct"/>
          </w:tcPr>
          <w:p w14:paraId="23E0E1FE" w14:textId="77777777" w:rsidR="00C12D41" w:rsidRPr="00E00526" w:rsidRDefault="00C12D41" w:rsidP="00FB61F5">
            <w:pPr>
              <w:pStyle w:val="Default"/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00526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Poziom realizacji celu: Procent zadań zrealizowanych w odniesieniu do zaplanowanych do osiągnięcia wg strategii informatyzacji</w:t>
            </w:r>
          </w:p>
        </w:tc>
        <w:tc>
          <w:tcPr>
            <w:tcW w:w="645" w:type="pct"/>
          </w:tcPr>
          <w:p w14:paraId="054AA146" w14:textId="77777777" w:rsidR="00C12D41" w:rsidRPr="00E00526" w:rsidRDefault="00C12D41" w:rsidP="00FB61F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od 80%</w:t>
            </w:r>
          </w:p>
          <w:p w14:paraId="1B199F4C" w14:textId="77777777" w:rsidR="00C12D41" w:rsidRPr="00E00526" w:rsidRDefault="00C12D41" w:rsidP="00FB61F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do 100%</w:t>
            </w:r>
          </w:p>
        </w:tc>
        <w:tc>
          <w:tcPr>
            <w:tcW w:w="1869" w:type="pct"/>
          </w:tcPr>
          <w:p w14:paraId="4100E82C" w14:textId="77777777" w:rsidR="00C12D41" w:rsidRPr="00E00526" w:rsidRDefault="00C12D41" w:rsidP="00FB61F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Realizacja ścieżki działań zaplanowanych na 2023 rok:</w:t>
            </w:r>
          </w:p>
          <w:p w14:paraId="5AD7B759" w14:textId="77777777" w:rsidR="00C12D41" w:rsidRPr="00E00526" w:rsidRDefault="00C12D41" w:rsidP="006673D0">
            <w:pPr>
              <w:pStyle w:val="Akapitzlist"/>
              <w:numPr>
                <w:ilvl w:val="0"/>
                <w:numId w:val="17"/>
              </w:numPr>
              <w:spacing w:before="120" w:after="120" w:line="276" w:lineRule="auto"/>
              <w:ind w:left="425" w:hanging="249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Wdrożenie hurtowni danych wraz z zestawem narzędzi ETL i Business Intelligence,</w:t>
            </w:r>
          </w:p>
          <w:p w14:paraId="20A1C998" w14:textId="77777777" w:rsidR="00C12D41" w:rsidRPr="00E00526" w:rsidRDefault="00C12D41" w:rsidP="006673D0">
            <w:pPr>
              <w:pStyle w:val="Akapitzlist"/>
              <w:numPr>
                <w:ilvl w:val="0"/>
                <w:numId w:val="17"/>
              </w:numPr>
              <w:spacing w:before="120" w:after="120" w:line="276" w:lineRule="auto"/>
              <w:ind w:left="425" w:hanging="249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Migracja tematycznego Datamart-u SODIR na hurtownię danych,</w:t>
            </w:r>
          </w:p>
          <w:p w14:paraId="79BF9426" w14:textId="77777777" w:rsidR="00C12D41" w:rsidRPr="00E00526" w:rsidRDefault="00C12D41" w:rsidP="006673D0">
            <w:pPr>
              <w:pStyle w:val="Akapitzlist"/>
              <w:numPr>
                <w:ilvl w:val="0"/>
                <w:numId w:val="17"/>
              </w:numPr>
              <w:spacing w:before="120" w:after="120" w:line="276" w:lineRule="auto"/>
              <w:ind w:left="425" w:hanging="249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Migracja tematycznego Datamart-u SOW na hurtownię danych.</w:t>
            </w:r>
          </w:p>
        </w:tc>
      </w:tr>
      <w:tr w:rsidR="00C12D41" w:rsidRPr="00E00526" w14:paraId="47ACF0AB" w14:textId="77777777" w:rsidTr="00C12D41">
        <w:trPr>
          <w:trHeight w:val="920"/>
        </w:trPr>
        <w:tc>
          <w:tcPr>
            <w:tcW w:w="158" w:type="pct"/>
          </w:tcPr>
          <w:p w14:paraId="6EC8314D" w14:textId="77777777" w:rsidR="00C12D41" w:rsidRPr="00E00526" w:rsidDel="002D43E3" w:rsidRDefault="00C12D41" w:rsidP="00FB61F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8</w:t>
            </w:r>
          </w:p>
        </w:tc>
        <w:tc>
          <w:tcPr>
            <w:tcW w:w="1130" w:type="pct"/>
          </w:tcPr>
          <w:p w14:paraId="111842A6" w14:textId="77777777" w:rsidR="00C12D41" w:rsidRPr="00E00526" w:rsidRDefault="00C12D41" w:rsidP="00FB61F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P2. Podnoszenie skuteczności i efektywności działania.</w:t>
            </w:r>
          </w:p>
        </w:tc>
        <w:tc>
          <w:tcPr>
            <w:tcW w:w="1198" w:type="pct"/>
          </w:tcPr>
          <w:p w14:paraId="6AC18E87" w14:textId="77777777" w:rsidR="00C12D41" w:rsidRPr="00E00526" w:rsidRDefault="00C12D41" w:rsidP="00FB61F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 xml:space="preserve">Usprawnienia uzyskane w wyniku </w:t>
            </w:r>
            <w:r w:rsidRPr="00E00526">
              <w:rPr>
                <w:rFonts w:eastAsia="Times New Roman" w:cstheme="minorHAnsi"/>
                <w:lang w:eastAsia="pl-PL"/>
              </w:rPr>
              <w:br/>
              <w:t>optymalizacji procesów: liczba procesów usprawnionych / liczba procesów ogółem</w:t>
            </w:r>
          </w:p>
        </w:tc>
        <w:tc>
          <w:tcPr>
            <w:tcW w:w="645" w:type="pct"/>
          </w:tcPr>
          <w:p w14:paraId="1E85C20A" w14:textId="77777777" w:rsidR="00C12D41" w:rsidRPr="00E00526" w:rsidRDefault="00C12D41" w:rsidP="00FB61F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od 10,0%</w:t>
            </w:r>
            <w:r w:rsidRPr="00E00526">
              <w:rPr>
                <w:rFonts w:eastAsia="Times New Roman" w:cstheme="minorHAnsi"/>
                <w:lang w:eastAsia="pl-PL"/>
              </w:rPr>
              <w:br/>
              <w:t>do 20,0%</w:t>
            </w:r>
          </w:p>
        </w:tc>
        <w:tc>
          <w:tcPr>
            <w:tcW w:w="1869" w:type="pct"/>
          </w:tcPr>
          <w:p w14:paraId="0C71A9D1" w14:textId="77777777" w:rsidR="00C12D41" w:rsidRPr="00E00526" w:rsidRDefault="00C12D41" w:rsidP="006673D0">
            <w:pPr>
              <w:pStyle w:val="Akapitzlist"/>
              <w:numPr>
                <w:ilvl w:val="0"/>
                <w:numId w:val="17"/>
              </w:numPr>
              <w:spacing w:before="120" w:after="120" w:line="276" w:lineRule="auto"/>
              <w:ind w:left="425" w:hanging="249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Optymalizacja procesów.</w:t>
            </w:r>
          </w:p>
        </w:tc>
      </w:tr>
      <w:tr w:rsidR="00C12D41" w:rsidRPr="00E00526" w14:paraId="48B0183C" w14:textId="77777777" w:rsidTr="00C12D41">
        <w:trPr>
          <w:trHeight w:val="2209"/>
        </w:trPr>
        <w:tc>
          <w:tcPr>
            <w:tcW w:w="158" w:type="pct"/>
          </w:tcPr>
          <w:p w14:paraId="5099B44D" w14:textId="77777777" w:rsidR="00C12D41" w:rsidRPr="00E00526" w:rsidRDefault="00C12D41" w:rsidP="00FB61F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lastRenderedPageBreak/>
              <w:t>9</w:t>
            </w:r>
          </w:p>
        </w:tc>
        <w:tc>
          <w:tcPr>
            <w:tcW w:w="1130" w:type="pct"/>
          </w:tcPr>
          <w:p w14:paraId="33A6C231" w14:textId="77777777" w:rsidR="00C12D41" w:rsidRPr="00E00526" w:rsidRDefault="00C12D41" w:rsidP="00FB61F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cstheme="minorHAnsi"/>
              </w:rPr>
              <w:t>P3. Ukształtowanie wizerunku PFRON, jako instytucji nowoczesnej i społecznie potrzebnej.</w:t>
            </w:r>
          </w:p>
        </w:tc>
        <w:tc>
          <w:tcPr>
            <w:tcW w:w="1198" w:type="pct"/>
          </w:tcPr>
          <w:p w14:paraId="1F74B1F0" w14:textId="77777777" w:rsidR="00C12D41" w:rsidRPr="00E00526" w:rsidRDefault="00C12D41" w:rsidP="00FB61F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Liczba obsłużonych połączeń poprzez infolinię / Liczba połączeń przychodzących (średnia dla wszystkich gałęzi)</w:t>
            </w:r>
          </w:p>
        </w:tc>
        <w:tc>
          <w:tcPr>
            <w:tcW w:w="645" w:type="pct"/>
          </w:tcPr>
          <w:p w14:paraId="5ADAF963" w14:textId="77777777" w:rsidR="00C12D41" w:rsidRPr="00E00526" w:rsidRDefault="00C12D41" w:rsidP="00FB61F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cstheme="minorHAnsi"/>
              </w:rPr>
              <w:t xml:space="preserve">od 85,8% </w:t>
            </w:r>
            <w:r w:rsidRPr="00E00526">
              <w:rPr>
                <w:rFonts w:cstheme="minorHAnsi"/>
              </w:rPr>
              <w:br/>
              <w:t>do 89,2%</w:t>
            </w:r>
          </w:p>
        </w:tc>
        <w:tc>
          <w:tcPr>
            <w:tcW w:w="1869" w:type="pct"/>
          </w:tcPr>
          <w:p w14:paraId="1D9E2375" w14:textId="77777777" w:rsidR="00C12D41" w:rsidRPr="00E00526" w:rsidRDefault="00C12D41" w:rsidP="006673D0">
            <w:pPr>
              <w:pStyle w:val="Akapitzlist"/>
              <w:numPr>
                <w:ilvl w:val="0"/>
                <w:numId w:val="17"/>
              </w:numPr>
              <w:spacing w:before="120" w:after="120" w:line="276" w:lineRule="auto"/>
              <w:ind w:left="425" w:hanging="249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Udzielanie informacji interesariuszom bezpośrednio przez infolinię lub Oddziały PFRON,</w:t>
            </w:r>
          </w:p>
          <w:p w14:paraId="56C306D6" w14:textId="44A39F5B" w:rsidR="00C12D41" w:rsidRPr="00E00526" w:rsidRDefault="00C12D41" w:rsidP="006673D0">
            <w:pPr>
              <w:pStyle w:val="Akapitzlist"/>
              <w:numPr>
                <w:ilvl w:val="0"/>
                <w:numId w:val="17"/>
              </w:numPr>
              <w:spacing w:before="120" w:after="120" w:line="276" w:lineRule="auto"/>
              <w:ind w:left="425" w:hanging="249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Organizowan</w:t>
            </w:r>
            <w:r w:rsidR="00572C14">
              <w:rPr>
                <w:rFonts w:eastAsia="Times New Roman" w:cstheme="minorHAnsi"/>
                <w:lang w:eastAsia="pl-PL"/>
              </w:rPr>
              <w:t>i</w:t>
            </w:r>
            <w:r w:rsidRPr="00E00526">
              <w:rPr>
                <w:rFonts w:eastAsia="Times New Roman" w:cstheme="minorHAnsi"/>
                <w:lang w:eastAsia="pl-PL"/>
              </w:rPr>
              <w:t>e wydarzeń, konferencji naukowych, spotkań, konkursów o tematyce niepełnosprawności,</w:t>
            </w:r>
          </w:p>
          <w:p w14:paraId="12EA1696" w14:textId="77777777" w:rsidR="00C12D41" w:rsidRPr="00E00526" w:rsidRDefault="00C12D41" w:rsidP="006673D0">
            <w:pPr>
              <w:pStyle w:val="Akapitzlist"/>
              <w:numPr>
                <w:ilvl w:val="0"/>
                <w:numId w:val="17"/>
              </w:numPr>
              <w:spacing w:before="120" w:after="120" w:line="276" w:lineRule="auto"/>
              <w:ind w:left="425" w:hanging="249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Wydawanie publikacji, informatorów, kwartalnika „Niepełnosprawność: zagadnienia, problemy, rozwiązania”.</w:t>
            </w:r>
          </w:p>
        </w:tc>
      </w:tr>
      <w:tr w:rsidR="00C12D41" w:rsidRPr="00E00526" w14:paraId="14E22411" w14:textId="77777777" w:rsidTr="00C12D41">
        <w:trPr>
          <w:trHeight w:val="3188"/>
        </w:trPr>
        <w:tc>
          <w:tcPr>
            <w:tcW w:w="158" w:type="pct"/>
          </w:tcPr>
          <w:p w14:paraId="269E9B67" w14:textId="77777777" w:rsidR="00C12D41" w:rsidRPr="00E00526" w:rsidRDefault="00C12D41" w:rsidP="00FB61F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10</w:t>
            </w:r>
          </w:p>
        </w:tc>
        <w:tc>
          <w:tcPr>
            <w:tcW w:w="1130" w:type="pct"/>
          </w:tcPr>
          <w:p w14:paraId="2DBC7D95" w14:textId="77777777" w:rsidR="00C12D41" w:rsidRPr="00E00526" w:rsidRDefault="00C12D41" w:rsidP="00FB61F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cstheme="minorHAnsi"/>
              </w:rPr>
              <w:t>P3. Ukształtowanie wizerunku PFRON, jako instytucji nowoczesnej i społecznie potrzebnej.</w:t>
            </w:r>
          </w:p>
        </w:tc>
        <w:tc>
          <w:tcPr>
            <w:tcW w:w="1198" w:type="pct"/>
          </w:tcPr>
          <w:p w14:paraId="332A9BB1" w14:textId="77777777" w:rsidR="00C12D41" w:rsidRPr="00E00526" w:rsidRDefault="00C12D41" w:rsidP="00FB61F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 xml:space="preserve">Zasięg stałego rozgłosu: </w:t>
            </w:r>
            <w:r w:rsidRPr="00E00526">
              <w:rPr>
                <w:rFonts w:eastAsia="Times New Roman" w:cstheme="minorHAnsi"/>
                <w:lang w:eastAsia="pl-PL"/>
              </w:rPr>
              <w:br/>
              <w:t>Liczba obserwujących media społecznościowe oraz witrynę internetową Funduszu (w możliwie najszerszym zakresie stron).</w:t>
            </w:r>
          </w:p>
        </w:tc>
        <w:tc>
          <w:tcPr>
            <w:tcW w:w="645" w:type="pct"/>
          </w:tcPr>
          <w:p w14:paraId="04A3919F" w14:textId="77777777" w:rsidR="00C12D41" w:rsidRPr="00E00526" w:rsidRDefault="00C12D41" w:rsidP="00FB61F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cstheme="minorHAnsi"/>
              </w:rPr>
              <w:t>Dostarczenie pierwszego pomiaru w 2023 roku</w:t>
            </w:r>
          </w:p>
        </w:tc>
        <w:tc>
          <w:tcPr>
            <w:tcW w:w="1869" w:type="pct"/>
          </w:tcPr>
          <w:p w14:paraId="12163CB5" w14:textId="77777777" w:rsidR="00C12D41" w:rsidRPr="00E00526" w:rsidRDefault="00C12D41" w:rsidP="006673D0">
            <w:pPr>
              <w:pStyle w:val="Akapitzlist"/>
              <w:numPr>
                <w:ilvl w:val="0"/>
                <w:numId w:val="17"/>
              </w:numPr>
              <w:spacing w:before="120" w:after="120" w:line="276" w:lineRule="auto"/>
              <w:ind w:left="425" w:hanging="249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Aktywność Funduszu w mediach społecznościowych,</w:t>
            </w:r>
          </w:p>
          <w:p w14:paraId="7A23AB37" w14:textId="77777777" w:rsidR="00C12D41" w:rsidRPr="00E00526" w:rsidRDefault="00C12D41" w:rsidP="006673D0">
            <w:pPr>
              <w:pStyle w:val="Akapitzlist"/>
              <w:numPr>
                <w:ilvl w:val="0"/>
                <w:numId w:val="17"/>
              </w:numPr>
              <w:spacing w:before="120" w:after="120" w:line="276" w:lineRule="auto"/>
              <w:ind w:left="425" w:hanging="249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Dbałość o aktualność treści zamieszczanych w witrynie internetowej PFRON,</w:t>
            </w:r>
          </w:p>
          <w:p w14:paraId="456C576A" w14:textId="77777777" w:rsidR="00C12D41" w:rsidRPr="00E00526" w:rsidRDefault="00C12D41" w:rsidP="006673D0">
            <w:pPr>
              <w:pStyle w:val="Akapitzlist"/>
              <w:numPr>
                <w:ilvl w:val="0"/>
                <w:numId w:val="17"/>
              </w:numPr>
              <w:spacing w:before="120" w:after="120" w:line="276" w:lineRule="auto"/>
              <w:ind w:left="425" w:hanging="249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Przygotowywanie materiałów prasowych, audiowizualnych, dopasowanych językowo do rodzajów mediów i ich odbiorców,</w:t>
            </w:r>
          </w:p>
          <w:p w14:paraId="68624FDA" w14:textId="77777777" w:rsidR="00C12D41" w:rsidRPr="00E00526" w:rsidRDefault="00C12D41" w:rsidP="006673D0">
            <w:pPr>
              <w:pStyle w:val="Akapitzlist"/>
              <w:numPr>
                <w:ilvl w:val="0"/>
                <w:numId w:val="17"/>
              </w:numPr>
              <w:spacing w:before="120" w:after="120" w:line="276" w:lineRule="auto"/>
              <w:ind w:left="425" w:hanging="249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Uczestnictwo w forach międzynarodowych poświęconych tematyce niepełnosprawności,</w:t>
            </w:r>
          </w:p>
          <w:p w14:paraId="1E9E4FF0" w14:textId="77777777" w:rsidR="00C12D41" w:rsidRPr="00E00526" w:rsidRDefault="00C12D41" w:rsidP="006673D0">
            <w:pPr>
              <w:pStyle w:val="Akapitzlist"/>
              <w:numPr>
                <w:ilvl w:val="0"/>
                <w:numId w:val="17"/>
              </w:numPr>
              <w:spacing w:before="120" w:after="120" w:line="276" w:lineRule="auto"/>
              <w:ind w:left="425" w:hanging="249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Kontakt z MRiPS i instytucjami odpowiedzialnymi za poszczególne polityki mające wpływ na sytuację osób niepełnosprawnych.</w:t>
            </w:r>
          </w:p>
        </w:tc>
      </w:tr>
      <w:tr w:rsidR="00C12D41" w:rsidRPr="00E00526" w14:paraId="280CBA7D" w14:textId="77777777" w:rsidTr="00C12D41">
        <w:trPr>
          <w:trHeight w:val="1472"/>
        </w:trPr>
        <w:tc>
          <w:tcPr>
            <w:tcW w:w="158" w:type="pct"/>
          </w:tcPr>
          <w:p w14:paraId="428E4C75" w14:textId="77777777" w:rsidR="00C12D41" w:rsidRPr="00E00526" w:rsidRDefault="00C12D41" w:rsidP="00FB61F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11</w:t>
            </w:r>
          </w:p>
        </w:tc>
        <w:tc>
          <w:tcPr>
            <w:tcW w:w="1130" w:type="pct"/>
          </w:tcPr>
          <w:p w14:paraId="68180BC1" w14:textId="77777777" w:rsidR="00C12D41" w:rsidRPr="00E00526" w:rsidRDefault="00C12D41" w:rsidP="00FB61F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cstheme="minorHAnsi"/>
              </w:rPr>
              <w:t>P3. Ukształtowanie wizerunku PFRON, jako instytucji nowoczesnej i społecznie potrzebnej.</w:t>
            </w:r>
          </w:p>
        </w:tc>
        <w:tc>
          <w:tcPr>
            <w:tcW w:w="1198" w:type="pct"/>
          </w:tcPr>
          <w:p w14:paraId="7D87D07D" w14:textId="77777777" w:rsidR="00C12D41" w:rsidRPr="00E00526" w:rsidRDefault="00C12D41" w:rsidP="00FB61F5">
            <w:pPr>
              <w:spacing w:line="276" w:lineRule="auto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Liczba zawartych umów dot. realizacji projektów badawczych badań, ekspertyz i analiz (we wszystkich modułach) / Liczba umów dot. badań lub ewaluacji zaplanowanych do realizacji w danym roku</w:t>
            </w:r>
          </w:p>
        </w:tc>
        <w:tc>
          <w:tcPr>
            <w:tcW w:w="645" w:type="pct"/>
          </w:tcPr>
          <w:p w14:paraId="5E564265" w14:textId="77777777" w:rsidR="00C12D41" w:rsidRPr="00E00526" w:rsidRDefault="00C12D41" w:rsidP="00FB61F5">
            <w:pPr>
              <w:spacing w:line="276" w:lineRule="auto"/>
              <w:rPr>
                <w:rFonts w:cstheme="minorHAnsi"/>
              </w:rPr>
            </w:pPr>
            <w:r w:rsidRPr="00E00526">
              <w:rPr>
                <w:rFonts w:cstheme="minorHAnsi"/>
              </w:rPr>
              <w:t>od 0,67 do 1,5</w:t>
            </w:r>
          </w:p>
        </w:tc>
        <w:tc>
          <w:tcPr>
            <w:tcW w:w="1869" w:type="pct"/>
          </w:tcPr>
          <w:p w14:paraId="2E3E079E" w14:textId="77777777" w:rsidR="00C12D41" w:rsidRPr="00E00526" w:rsidRDefault="00C12D41" w:rsidP="006673D0">
            <w:pPr>
              <w:pStyle w:val="Akapitzlist"/>
              <w:numPr>
                <w:ilvl w:val="0"/>
                <w:numId w:val="17"/>
              </w:numPr>
              <w:spacing w:before="120" w:after="120" w:line="276" w:lineRule="auto"/>
              <w:ind w:left="425" w:hanging="249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Planowanie badań, ekspertyz i analiz związanych z tematyką niepełnosprawności,</w:t>
            </w:r>
          </w:p>
          <w:p w14:paraId="1CB6F398" w14:textId="77777777" w:rsidR="00C12D41" w:rsidRPr="00E00526" w:rsidRDefault="00C12D41" w:rsidP="006673D0">
            <w:pPr>
              <w:pStyle w:val="Akapitzlist"/>
              <w:numPr>
                <w:ilvl w:val="0"/>
                <w:numId w:val="17"/>
              </w:numPr>
              <w:spacing w:before="120" w:after="120" w:line="276" w:lineRule="auto"/>
              <w:ind w:left="425" w:hanging="249"/>
              <w:rPr>
                <w:rFonts w:eastAsia="Times New Roman" w:cstheme="minorHAnsi"/>
                <w:lang w:eastAsia="pl-PL"/>
              </w:rPr>
            </w:pPr>
            <w:r w:rsidRPr="00E00526">
              <w:rPr>
                <w:rFonts w:eastAsia="Times New Roman" w:cstheme="minorHAnsi"/>
                <w:lang w:eastAsia="pl-PL"/>
              </w:rPr>
              <w:t>Realizacja zaplanowanych badań we współpracy z podmiotami zewnętrznymi wyspecjalizowanymi w przedmiocie badania.</w:t>
            </w:r>
          </w:p>
        </w:tc>
      </w:tr>
    </w:tbl>
    <w:p w14:paraId="159F8F32" w14:textId="03B3B326" w:rsidR="00AB3941" w:rsidRPr="00E00526" w:rsidRDefault="00AB3941" w:rsidP="007C759D">
      <w:pPr>
        <w:pStyle w:val="Nagwek3"/>
      </w:pPr>
      <w:r w:rsidRPr="00E00526">
        <w:lastRenderedPageBreak/>
        <w:t xml:space="preserve">CZĘŚĆ C: Inne cele przyjęte do realizacji w roku </w:t>
      </w:r>
      <w:r w:rsidR="00B4149E" w:rsidRPr="00E00526">
        <w:t>2023</w:t>
      </w:r>
      <w:r w:rsidRPr="00E00526">
        <w:t>: Odniesienie do dokumentu o charakterze strategicznym</w:t>
      </w:r>
    </w:p>
    <w:p w14:paraId="6D1BE4A2" w14:textId="23412213" w:rsidR="003148D2" w:rsidRPr="00E00526" w:rsidRDefault="003148D2" w:rsidP="003148D2">
      <w:pPr>
        <w:pStyle w:val="Akapitzlist"/>
        <w:numPr>
          <w:ilvl w:val="0"/>
          <w:numId w:val="17"/>
        </w:numPr>
        <w:spacing w:line="276" w:lineRule="auto"/>
        <w:ind w:left="256" w:hanging="256"/>
        <w:rPr>
          <w:rFonts w:eastAsia="Times New Roman" w:cstheme="minorHAnsi"/>
          <w:lang w:eastAsia="pl-PL"/>
        </w:rPr>
      </w:pPr>
      <w:r w:rsidRPr="00E00526">
        <w:rPr>
          <w:rFonts w:eastAsia="Times New Roman" w:cstheme="minorHAnsi"/>
          <w:lang w:eastAsia="pl-PL"/>
        </w:rPr>
        <w:t>Uchwała nr 135 Rady Ministrów z dnia 15 czerwca 2022 r. w sprawie przyjęcia polityki publicznej pod nazwą „Strategia rozwoju usług społecznych, polityka publiczna do roku 2030 (z perspektywą do 2035 r.)”;</w:t>
      </w:r>
    </w:p>
    <w:p w14:paraId="6B3E8D3F" w14:textId="77777777" w:rsidR="00C12D41" w:rsidRPr="00E00526" w:rsidRDefault="00C12D41" w:rsidP="00C12D41">
      <w:pPr>
        <w:pStyle w:val="Akapitzlist"/>
        <w:numPr>
          <w:ilvl w:val="0"/>
          <w:numId w:val="17"/>
        </w:numPr>
        <w:spacing w:after="0" w:line="276" w:lineRule="auto"/>
        <w:ind w:left="256" w:hanging="256"/>
        <w:rPr>
          <w:rFonts w:eastAsia="Times New Roman" w:cstheme="minorHAnsi"/>
          <w:lang w:eastAsia="pl-PL"/>
        </w:rPr>
      </w:pPr>
      <w:r w:rsidRPr="00E00526">
        <w:rPr>
          <w:rFonts w:eastAsia="Times New Roman" w:cstheme="minorHAnsi"/>
          <w:lang w:eastAsia="pl-PL"/>
        </w:rPr>
        <w:t>Strategia Informatyzacji (IT) PFRON na lata 2021-2025 (aktualizacja 2022);</w:t>
      </w:r>
    </w:p>
    <w:p w14:paraId="59BD87EC" w14:textId="02E0645C" w:rsidR="00C12D41" w:rsidRPr="00E00526" w:rsidRDefault="00C12D41" w:rsidP="00C12D41">
      <w:pPr>
        <w:pStyle w:val="Akapitzlist"/>
        <w:numPr>
          <w:ilvl w:val="0"/>
          <w:numId w:val="17"/>
        </w:numPr>
        <w:spacing w:after="0" w:line="276" w:lineRule="auto"/>
        <w:ind w:left="256" w:hanging="256"/>
        <w:rPr>
          <w:rFonts w:eastAsia="Times New Roman" w:cstheme="minorHAnsi"/>
          <w:lang w:eastAsia="pl-PL"/>
        </w:rPr>
      </w:pPr>
      <w:r w:rsidRPr="00E00526">
        <w:rPr>
          <w:rFonts w:eastAsia="Times New Roman" w:cstheme="minorHAnsi"/>
          <w:lang w:eastAsia="pl-PL"/>
        </w:rPr>
        <w:t>Strategia komunikacji PFRON</w:t>
      </w:r>
      <w:r w:rsidR="009B44B3" w:rsidRPr="00E00526">
        <w:rPr>
          <w:rFonts w:eastAsia="Times New Roman" w:cstheme="minorHAnsi"/>
          <w:lang w:eastAsia="pl-PL"/>
        </w:rPr>
        <w:t xml:space="preserve"> 2021-2023</w:t>
      </w:r>
      <w:r w:rsidRPr="00E00526">
        <w:rPr>
          <w:rFonts w:eastAsia="Times New Roman" w:cstheme="minorHAnsi"/>
          <w:lang w:eastAsia="pl-PL"/>
        </w:rPr>
        <w:t>;</w:t>
      </w:r>
    </w:p>
    <w:p w14:paraId="57144113" w14:textId="77777777" w:rsidR="00C12D41" w:rsidRPr="00E00526" w:rsidRDefault="00C12D41" w:rsidP="00C12D41">
      <w:pPr>
        <w:pStyle w:val="Akapitzlist"/>
        <w:numPr>
          <w:ilvl w:val="0"/>
          <w:numId w:val="17"/>
        </w:numPr>
        <w:spacing w:after="0" w:line="276" w:lineRule="auto"/>
        <w:ind w:left="256" w:hanging="256"/>
        <w:rPr>
          <w:rFonts w:eastAsia="Times New Roman" w:cstheme="minorHAnsi"/>
          <w:lang w:eastAsia="pl-PL"/>
        </w:rPr>
      </w:pPr>
      <w:r w:rsidRPr="00E00526">
        <w:rPr>
          <w:rFonts w:eastAsia="Times New Roman" w:cstheme="minorHAnsi"/>
          <w:lang w:eastAsia="pl-PL"/>
        </w:rPr>
        <w:t>Ustawa z dnia 27 sierpnia 1997 r. o rehabilitacji zawodowej i społecznej oraz zatrudnianiu osób niepełnosprawnych;</w:t>
      </w:r>
    </w:p>
    <w:p w14:paraId="3F1155A9" w14:textId="77777777" w:rsidR="00C12D41" w:rsidRPr="00E00526" w:rsidRDefault="00C12D41" w:rsidP="00C12D41">
      <w:pPr>
        <w:pStyle w:val="Akapitzlist"/>
        <w:numPr>
          <w:ilvl w:val="0"/>
          <w:numId w:val="17"/>
        </w:numPr>
        <w:spacing w:after="0" w:line="276" w:lineRule="auto"/>
        <w:ind w:left="256" w:hanging="256"/>
        <w:rPr>
          <w:rFonts w:eastAsia="Times New Roman" w:cstheme="minorHAnsi"/>
          <w:lang w:eastAsia="pl-PL"/>
        </w:rPr>
      </w:pPr>
      <w:r w:rsidRPr="00E00526">
        <w:rPr>
          <w:rFonts w:eastAsia="Times New Roman" w:cstheme="minorHAnsi"/>
          <w:lang w:eastAsia="pl-PL"/>
        </w:rPr>
        <w:t>Ustawa z dnia 24 kwietnia 2003 r. o działalności pożytku publicznego i o wolontariacie;</w:t>
      </w:r>
    </w:p>
    <w:p w14:paraId="1710137B" w14:textId="77777777" w:rsidR="00C12D41" w:rsidRPr="00E00526" w:rsidRDefault="00C12D41" w:rsidP="00C12D41">
      <w:pPr>
        <w:pStyle w:val="Akapitzlist"/>
        <w:numPr>
          <w:ilvl w:val="0"/>
          <w:numId w:val="17"/>
        </w:numPr>
        <w:spacing w:after="0" w:line="276" w:lineRule="auto"/>
        <w:ind w:left="256" w:hanging="256"/>
        <w:rPr>
          <w:rFonts w:eastAsia="Times New Roman" w:cstheme="minorHAnsi"/>
          <w:lang w:eastAsia="pl-PL"/>
        </w:rPr>
      </w:pPr>
      <w:r w:rsidRPr="00E00526">
        <w:rPr>
          <w:rFonts w:eastAsia="Times New Roman" w:cstheme="minorHAnsi"/>
          <w:lang w:eastAsia="pl-PL"/>
        </w:rPr>
        <w:t>Ustawa z dnia 4 kwietnia 2019 r. o dostępności cyfrowej stron internetowych i aplikacji mobilnych podmiotów publicznych;</w:t>
      </w:r>
    </w:p>
    <w:p w14:paraId="5EC81C6A" w14:textId="77777777" w:rsidR="00C12D41" w:rsidRPr="00E00526" w:rsidRDefault="00C12D41" w:rsidP="00C12D41">
      <w:pPr>
        <w:pStyle w:val="Akapitzlist"/>
        <w:numPr>
          <w:ilvl w:val="0"/>
          <w:numId w:val="17"/>
        </w:numPr>
        <w:spacing w:after="0" w:line="276" w:lineRule="auto"/>
        <w:ind w:left="256" w:hanging="256"/>
        <w:rPr>
          <w:rFonts w:eastAsia="Times New Roman" w:cstheme="minorHAnsi"/>
          <w:lang w:eastAsia="pl-PL"/>
        </w:rPr>
      </w:pPr>
      <w:r w:rsidRPr="00E00526">
        <w:rPr>
          <w:rFonts w:eastAsia="Times New Roman" w:cstheme="minorHAnsi"/>
          <w:lang w:eastAsia="pl-PL"/>
        </w:rPr>
        <w:t>Ustawa z dnia 19 lipca 2019 r. o zapewnianiu dostępności osobom ze szczególnymi potrzebami;</w:t>
      </w:r>
    </w:p>
    <w:p w14:paraId="3DF6FA54" w14:textId="77EE806A" w:rsidR="00C12D41" w:rsidRPr="00E00526" w:rsidRDefault="00C12D41" w:rsidP="00C12D41">
      <w:pPr>
        <w:pStyle w:val="Akapitzlist"/>
        <w:numPr>
          <w:ilvl w:val="0"/>
          <w:numId w:val="17"/>
        </w:numPr>
        <w:spacing w:after="0" w:line="276" w:lineRule="auto"/>
        <w:ind w:left="256" w:hanging="256"/>
        <w:rPr>
          <w:rFonts w:eastAsia="Times New Roman" w:cstheme="minorHAnsi"/>
          <w:lang w:eastAsia="pl-PL"/>
        </w:rPr>
      </w:pPr>
      <w:r w:rsidRPr="00E00526">
        <w:rPr>
          <w:rFonts w:eastAsia="Times New Roman" w:cstheme="minorHAnsi"/>
          <w:lang w:eastAsia="pl-PL"/>
        </w:rPr>
        <w:t xml:space="preserve">Program rządowy </w:t>
      </w:r>
      <w:r w:rsidR="003148D2" w:rsidRPr="00E00526">
        <w:rPr>
          <w:rFonts w:eastAsia="Times New Roman" w:cstheme="minorHAnsi"/>
          <w:lang w:eastAsia="pl-PL"/>
        </w:rPr>
        <w:t>„</w:t>
      </w:r>
      <w:r w:rsidRPr="00E00526">
        <w:rPr>
          <w:rFonts w:eastAsia="Times New Roman" w:cstheme="minorHAnsi"/>
          <w:lang w:eastAsia="pl-PL"/>
        </w:rPr>
        <w:t>Dostępność Plus 2018-2025</w:t>
      </w:r>
      <w:r w:rsidR="003148D2" w:rsidRPr="00E00526">
        <w:rPr>
          <w:rFonts w:eastAsia="Times New Roman" w:cstheme="minorHAnsi"/>
          <w:lang w:eastAsia="pl-PL"/>
        </w:rPr>
        <w:t>”</w:t>
      </w:r>
      <w:r w:rsidRPr="00E00526">
        <w:rPr>
          <w:rFonts w:eastAsia="Times New Roman" w:cstheme="minorHAnsi"/>
          <w:lang w:eastAsia="pl-PL"/>
        </w:rPr>
        <w:t>;</w:t>
      </w:r>
    </w:p>
    <w:p w14:paraId="46EE50F7" w14:textId="7B766323" w:rsidR="00C12D41" w:rsidRPr="00E00526" w:rsidRDefault="00C12D41" w:rsidP="00C12D41">
      <w:pPr>
        <w:pStyle w:val="Akapitzlist"/>
        <w:numPr>
          <w:ilvl w:val="0"/>
          <w:numId w:val="17"/>
        </w:numPr>
        <w:spacing w:after="0" w:line="276" w:lineRule="auto"/>
        <w:ind w:left="256" w:hanging="256"/>
        <w:rPr>
          <w:rFonts w:eastAsia="Times New Roman" w:cstheme="minorHAnsi"/>
          <w:lang w:eastAsia="pl-PL"/>
        </w:rPr>
      </w:pPr>
      <w:r w:rsidRPr="00E00526">
        <w:rPr>
          <w:rFonts w:eastAsia="Times New Roman" w:cstheme="minorHAnsi"/>
          <w:lang w:eastAsia="pl-PL"/>
        </w:rPr>
        <w:t>Wieloletni Plan Finansowy Państwa na lata 2023–202</w:t>
      </w:r>
      <w:r w:rsidR="003148D2" w:rsidRPr="00E00526">
        <w:rPr>
          <w:rFonts w:eastAsia="Times New Roman" w:cstheme="minorHAnsi"/>
          <w:lang w:eastAsia="pl-PL"/>
        </w:rPr>
        <w:t>5</w:t>
      </w:r>
      <w:r w:rsidRPr="00E00526">
        <w:rPr>
          <w:rFonts w:eastAsia="Times New Roman" w:cstheme="minorHAnsi"/>
          <w:lang w:eastAsia="pl-PL"/>
        </w:rPr>
        <w:t>;</w:t>
      </w:r>
    </w:p>
    <w:p w14:paraId="3FA4F583" w14:textId="77777777" w:rsidR="00C12D41" w:rsidRPr="00E00526" w:rsidRDefault="00C12D41" w:rsidP="00C12D41">
      <w:pPr>
        <w:pStyle w:val="Akapitzlist"/>
        <w:numPr>
          <w:ilvl w:val="0"/>
          <w:numId w:val="17"/>
        </w:numPr>
        <w:spacing w:after="0" w:line="276" w:lineRule="auto"/>
        <w:ind w:left="256" w:hanging="256"/>
        <w:rPr>
          <w:rFonts w:eastAsia="Times New Roman" w:cstheme="minorHAnsi"/>
          <w:lang w:eastAsia="pl-PL"/>
        </w:rPr>
      </w:pPr>
      <w:r w:rsidRPr="00E00526">
        <w:rPr>
          <w:rFonts w:eastAsia="Times New Roman" w:cstheme="minorHAnsi"/>
          <w:lang w:eastAsia="pl-PL"/>
        </w:rPr>
        <w:t>Założenia projektu budżetu państwa na rok 2023;</w:t>
      </w:r>
    </w:p>
    <w:p w14:paraId="13D518D3" w14:textId="6FB1EC26" w:rsidR="00C12D41" w:rsidRPr="00E00526" w:rsidRDefault="00C12D41" w:rsidP="00C12D41">
      <w:pPr>
        <w:pStyle w:val="Akapitzlist"/>
        <w:numPr>
          <w:ilvl w:val="0"/>
          <w:numId w:val="17"/>
        </w:numPr>
        <w:spacing w:line="276" w:lineRule="auto"/>
        <w:ind w:left="256" w:hanging="256"/>
        <w:rPr>
          <w:rFonts w:eastAsia="Times New Roman" w:cstheme="minorHAnsi"/>
          <w:lang w:eastAsia="pl-PL"/>
        </w:rPr>
      </w:pPr>
      <w:r w:rsidRPr="00E00526">
        <w:rPr>
          <w:rFonts w:eastAsia="Times New Roman" w:cstheme="minorHAnsi"/>
          <w:lang w:eastAsia="pl-PL"/>
        </w:rPr>
        <w:t>Projekt ustawy budżetowej na rok 2023.</w:t>
      </w:r>
    </w:p>
    <w:p w14:paraId="7B134727" w14:textId="1353BD14" w:rsidR="00BB3128" w:rsidRPr="00E00526" w:rsidRDefault="00BB3128" w:rsidP="00BB3128">
      <w:pPr>
        <w:pStyle w:val="Nagwek1"/>
        <w:rPr>
          <w:rFonts w:asciiTheme="minorHAnsi" w:hAnsiTheme="minorHAnsi" w:cstheme="minorHAnsi"/>
        </w:rPr>
      </w:pPr>
      <w:r w:rsidRPr="00E00526">
        <w:rPr>
          <w:rFonts w:asciiTheme="minorHAnsi" w:hAnsiTheme="minorHAnsi" w:cstheme="minorHAnsi"/>
        </w:rPr>
        <w:t>Lista osób, któr</w:t>
      </w:r>
      <w:r w:rsidR="004C4CAF" w:rsidRPr="00E00526">
        <w:rPr>
          <w:rFonts w:asciiTheme="minorHAnsi" w:hAnsiTheme="minorHAnsi" w:cstheme="minorHAnsi"/>
        </w:rPr>
        <w:t>ych podpisy widnieją na dokumencie</w:t>
      </w:r>
    </w:p>
    <w:p w14:paraId="2A863E5D" w14:textId="1EC06922" w:rsidR="00BB3128" w:rsidRPr="00E00526" w:rsidRDefault="00BB3128" w:rsidP="00C909D4">
      <w:pPr>
        <w:pStyle w:val="Akapitzlist"/>
        <w:numPr>
          <w:ilvl w:val="0"/>
          <w:numId w:val="10"/>
        </w:numPr>
        <w:ind w:left="426" w:hanging="426"/>
        <w:rPr>
          <w:rFonts w:cstheme="minorHAnsi"/>
        </w:rPr>
      </w:pPr>
      <w:r w:rsidRPr="00E00526">
        <w:rPr>
          <w:rFonts w:cstheme="minorHAnsi"/>
        </w:rPr>
        <w:t>Krzysztof Michałkiewicz - Prezes Zarządu PFRON</w:t>
      </w:r>
    </w:p>
    <w:p w14:paraId="568E08BA" w14:textId="2D5785A1" w:rsidR="00C909D4" w:rsidRPr="00E00526" w:rsidRDefault="00C909D4" w:rsidP="00C909D4">
      <w:pPr>
        <w:pStyle w:val="Akapitzlist"/>
        <w:numPr>
          <w:ilvl w:val="0"/>
          <w:numId w:val="10"/>
        </w:numPr>
        <w:ind w:left="426" w:hanging="426"/>
        <w:rPr>
          <w:rFonts w:cstheme="minorHAnsi"/>
        </w:rPr>
      </w:pPr>
      <w:r w:rsidRPr="00E00526">
        <w:rPr>
          <w:rFonts w:cstheme="minorHAnsi"/>
        </w:rPr>
        <w:t>Paweł Wdówik - Prezes Rady Nadzorczej PFRON</w:t>
      </w:r>
    </w:p>
    <w:p w14:paraId="2B48EDD5" w14:textId="2ACBCAEA" w:rsidR="00C909D4" w:rsidRPr="00E00526" w:rsidRDefault="00C909D4" w:rsidP="00C909D4">
      <w:pPr>
        <w:pStyle w:val="Akapitzlist"/>
        <w:numPr>
          <w:ilvl w:val="0"/>
          <w:numId w:val="10"/>
        </w:numPr>
        <w:ind w:left="426" w:hanging="426"/>
        <w:rPr>
          <w:rFonts w:cstheme="minorHAnsi"/>
        </w:rPr>
      </w:pPr>
      <w:r w:rsidRPr="00E00526">
        <w:rPr>
          <w:rFonts w:cstheme="minorHAnsi"/>
        </w:rPr>
        <w:t>Gabriela Błaż – p.o. Dyrektora Departamentu Wsparcia Zarządu</w:t>
      </w:r>
    </w:p>
    <w:p w14:paraId="3413DCB7" w14:textId="0C174CA2" w:rsidR="0082025A" w:rsidRPr="00E00526" w:rsidRDefault="0082025A" w:rsidP="00443B81">
      <w:pPr>
        <w:pStyle w:val="Nagwek1"/>
        <w:rPr>
          <w:rFonts w:asciiTheme="minorHAnsi" w:hAnsiTheme="minorHAnsi" w:cstheme="minorHAnsi"/>
        </w:rPr>
      </w:pPr>
      <w:r w:rsidRPr="00E00526">
        <w:rPr>
          <w:rFonts w:asciiTheme="minorHAnsi" w:hAnsiTheme="minorHAnsi" w:cstheme="minorHAnsi"/>
        </w:rPr>
        <w:t>Nota informacyjna</w:t>
      </w:r>
    </w:p>
    <w:p w14:paraId="5AF7A6B3" w14:textId="365916EC" w:rsidR="004D00E1" w:rsidRPr="00E00526" w:rsidRDefault="004D00E1" w:rsidP="0082025A">
      <w:pPr>
        <w:rPr>
          <w:rFonts w:cstheme="minorHAnsi"/>
        </w:rPr>
      </w:pPr>
      <w:r w:rsidRPr="00E00526">
        <w:rPr>
          <w:rFonts w:cstheme="minorHAnsi"/>
        </w:rPr>
        <w:t>W oryginale d</w:t>
      </w:r>
      <w:r w:rsidR="00943AF9" w:rsidRPr="00E00526">
        <w:rPr>
          <w:rFonts w:cstheme="minorHAnsi"/>
        </w:rPr>
        <w:t>okument sporządzono wg Załącznika nr 1 do rozporządzenia Ministra Finansów z dnia 29 września 2010 r. w sprawie planu działalności i sprawozdania z jego wykonania (Dz. U. Nr 187 poz. 1254)</w:t>
      </w:r>
      <w:r w:rsidR="00443B81" w:rsidRPr="00E00526">
        <w:rPr>
          <w:rFonts w:cstheme="minorHAnsi"/>
        </w:rPr>
        <w:t xml:space="preserve">. </w:t>
      </w:r>
      <w:r w:rsidRPr="00E00526">
        <w:rPr>
          <w:rFonts w:cstheme="minorHAnsi"/>
        </w:rPr>
        <w:t xml:space="preserve">W wersji dostępnej wprowadzono modyfikacje </w:t>
      </w:r>
      <w:r w:rsidR="00BA21D8" w:rsidRPr="00E00526">
        <w:rPr>
          <w:rFonts w:cstheme="minorHAnsi"/>
        </w:rPr>
        <w:t>wymagane dla</w:t>
      </w:r>
      <w:r w:rsidRPr="00E00526">
        <w:rPr>
          <w:rFonts w:cstheme="minorHAnsi"/>
        </w:rPr>
        <w:t xml:space="preserve"> odczytania </w:t>
      </w:r>
      <w:r w:rsidR="00BA21D8" w:rsidRPr="00E00526">
        <w:rPr>
          <w:rFonts w:cstheme="minorHAnsi"/>
        </w:rPr>
        <w:t xml:space="preserve">i zrozumienia </w:t>
      </w:r>
      <w:r w:rsidRPr="00E00526">
        <w:rPr>
          <w:rFonts w:cstheme="minorHAnsi"/>
        </w:rPr>
        <w:t>dokument</w:t>
      </w:r>
      <w:r w:rsidR="00BA21D8" w:rsidRPr="00E00526">
        <w:rPr>
          <w:rFonts w:cstheme="minorHAnsi"/>
        </w:rPr>
        <w:t>u</w:t>
      </w:r>
      <w:r w:rsidRPr="00E00526">
        <w:rPr>
          <w:rFonts w:cstheme="minorHAnsi"/>
        </w:rPr>
        <w:t xml:space="preserve"> przez osoby </w:t>
      </w:r>
      <w:r w:rsidR="00C909D4" w:rsidRPr="00E00526">
        <w:rPr>
          <w:rFonts w:cstheme="minorHAnsi"/>
        </w:rPr>
        <w:t xml:space="preserve">z </w:t>
      </w:r>
      <w:r w:rsidRPr="00E00526">
        <w:rPr>
          <w:rFonts w:cstheme="minorHAnsi"/>
        </w:rPr>
        <w:t>niepełnosprawn</w:t>
      </w:r>
      <w:bookmarkEnd w:id="0"/>
      <w:r w:rsidR="00C909D4" w:rsidRPr="00E00526">
        <w:rPr>
          <w:rFonts w:cstheme="minorHAnsi"/>
        </w:rPr>
        <w:t>ościami.</w:t>
      </w:r>
    </w:p>
    <w:sectPr w:rsidR="004D00E1" w:rsidRPr="00E00526" w:rsidSect="00E859D3">
      <w:footerReference w:type="default" r:id="rId8"/>
      <w:pgSz w:w="16838" w:h="11906" w:orient="landscape"/>
      <w:pgMar w:top="426" w:right="720" w:bottom="567" w:left="720" w:header="56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62231" w14:textId="77777777" w:rsidR="006B3334" w:rsidRDefault="006B3334" w:rsidP="00B341F5">
      <w:pPr>
        <w:spacing w:after="0" w:line="240" w:lineRule="auto"/>
      </w:pPr>
      <w:r>
        <w:separator/>
      </w:r>
    </w:p>
  </w:endnote>
  <w:endnote w:type="continuationSeparator" w:id="0">
    <w:p w14:paraId="3216C63F" w14:textId="77777777" w:rsidR="006B3334" w:rsidRDefault="006B3334" w:rsidP="00B341F5">
      <w:pPr>
        <w:spacing w:after="0" w:line="240" w:lineRule="auto"/>
      </w:pPr>
      <w:r>
        <w:continuationSeparator/>
      </w:r>
    </w:p>
  </w:endnote>
  <w:endnote w:type="continuationNotice" w:id="1">
    <w:p w14:paraId="532CBB89" w14:textId="77777777" w:rsidR="002A7FCA" w:rsidRDefault="002A7F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DC246" w14:textId="37B3F466" w:rsidR="008C200C" w:rsidRDefault="00C65950">
    <w:pPr>
      <w:pStyle w:val="Stopka"/>
      <w:jc w:val="right"/>
    </w:pPr>
    <w:sdt>
      <w:sdtPr>
        <w:id w:val="-646519483"/>
        <w:docPartObj>
          <w:docPartGallery w:val="Page Numbers (Bottom of Page)"/>
          <w:docPartUnique/>
        </w:docPartObj>
      </w:sdtPr>
      <w:sdtEndPr/>
      <w:sdtContent>
        <w:r w:rsidR="00443B81">
          <w:t xml:space="preserve">Strona </w:t>
        </w:r>
        <w:r w:rsidR="008C200C">
          <w:fldChar w:fldCharType="begin"/>
        </w:r>
        <w:r w:rsidR="008C200C">
          <w:instrText>PAGE   \* MERGEFORMAT</w:instrText>
        </w:r>
        <w:r w:rsidR="008C200C">
          <w:fldChar w:fldCharType="separate"/>
        </w:r>
        <w:r w:rsidR="008C200C">
          <w:t>2</w:t>
        </w:r>
        <w:r w:rsidR="008C200C">
          <w:fldChar w:fldCharType="end"/>
        </w:r>
        <w:r w:rsidR="00443B81">
          <w:t xml:space="preserve"> z </w:t>
        </w:r>
      </w:sdtContent>
    </w:sdt>
    <w:r w:rsidR="005327CE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18CBF" w14:textId="77777777" w:rsidR="006B3334" w:rsidRDefault="006B3334" w:rsidP="00B341F5">
      <w:pPr>
        <w:spacing w:after="0" w:line="240" w:lineRule="auto"/>
      </w:pPr>
      <w:r>
        <w:separator/>
      </w:r>
    </w:p>
  </w:footnote>
  <w:footnote w:type="continuationSeparator" w:id="0">
    <w:p w14:paraId="329F1907" w14:textId="77777777" w:rsidR="006B3334" w:rsidRDefault="006B3334" w:rsidP="00B341F5">
      <w:pPr>
        <w:spacing w:after="0" w:line="240" w:lineRule="auto"/>
      </w:pPr>
      <w:r>
        <w:continuationSeparator/>
      </w:r>
    </w:p>
  </w:footnote>
  <w:footnote w:type="continuationNotice" w:id="1">
    <w:p w14:paraId="266D00A4" w14:textId="77777777" w:rsidR="002A7FCA" w:rsidRDefault="002A7FC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11E53"/>
    <w:multiLevelType w:val="hybridMultilevel"/>
    <w:tmpl w:val="74D24090"/>
    <w:lvl w:ilvl="0" w:tplc="5F70CAA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52BE9"/>
    <w:multiLevelType w:val="hybridMultilevel"/>
    <w:tmpl w:val="AEDE3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2D18A5"/>
    <w:multiLevelType w:val="hybridMultilevel"/>
    <w:tmpl w:val="492A2A3E"/>
    <w:lvl w:ilvl="0" w:tplc="08DC31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8D5600"/>
    <w:multiLevelType w:val="hybridMultilevel"/>
    <w:tmpl w:val="AED810E2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80CBD"/>
    <w:multiLevelType w:val="hybridMultilevel"/>
    <w:tmpl w:val="D1A66242"/>
    <w:lvl w:ilvl="0" w:tplc="08DC31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B775E2"/>
    <w:multiLevelType w:val="hybridMultilevel"/>
    <w:tmpl w:val="6FD4B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65CB4"/>
    <w:multiLevelType w:val="hybridMultilevel"/>
    <w:tmpl w:val="5D5617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A06301"/>
    <w:multiLevelType w:val="hybridMultilevel"/>
    <w:tmpl w:val="AED810E2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71EF1"/>
    <w:multiLevelType w:val="hybridMultilevel"/>
    <w:tmpl w:val="68F01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BD3237F"/>
    <w:multiLevelType w:val="hybridMultilevel"/>
    <w:tmpl w:val="E58A9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F18B8"/>
    <w:multiLevelType w:val="hybridMultilevel"/>
    <w:tmpl w:val="0A944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46CA0"/>
    <w:multiLevelType w:val="hybridMultilevel"/>
    <w:tmpl w:val="2AD6B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F3639"/>
    <w:multiLevelType w:val="hybridMultilevel"/>
    <w:tmpl w:val="ECB8F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1D77E09"/>
    <w:multiLevelType w:val="hybridMultilevel"/>
    <w:tmpl w:val="D86C2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2029E1"/>
    <w:multiLevelType w:val="hybridMultilevel"/>
    <w:tmpl w:val="9DCAD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81EF1"/>
    <w:multiLevelType w:val="hybridMultilevel"/>
    <w:tmpl w:val="7B701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FE22516"/>
    <w:multiLevelType w:val="hybridMultilevel"/>
    <w:tmpl w:val="6F744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83FCA"/>
    <w:multiLevelType w:val="hybridMultilevel"/>
    <w:tmpl w:val="9DCAD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36DE5"/>
    <w:multiLevelType w:val="hybridMultilevel"/>
    <w:tmpl w:val="6D7C9BD0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6FEB67C0"/>
    <w:multiLevelType w:val="hybridMultilevel"/>
    <w:tmpl w:val="F81AC692"/>
    <w:lvl w:ilvl="0" w:tplc="08DC31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2D517D1"/>
    <w:multiLevelType w:val="hybridMultilevel"/>
    <w:tmpl w:val="9DCAD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8818DE"/>
    <w:multiLevelType w:val="hybridMultilevel"/>
    <w:tmpl w:val="448AEA60"/>
    <w:lvl w:ilvl="0" w:tplc="9E9C2D0E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114A8"/>
    <w:multiLevelType w:val="hybridMultilevel"/>
    <w:tmpl w:val="41942066"/>
    <w:lvl w:ilvl="0" w:tplc="08DC311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19"/>
  </w:num>
  <w:num w:numId="5">
    <w:abstractNumId w:val="22"/>
  </w:num>
  <w:num w:numId="6">
    <w:abstractNumId w:val="14"/>
  </w:num>
  <w:num w:numId="7">
    <w:abstractNumId w:val="16"/>
  </w:num>
  <w:num w:numId="8">
    <w:abstractNumId w:val="20"/>
  </w:num>
  <w:num w:numId="9">
    <w:abstractNumId w:val="12"/>
  </w:num>
  <w:num w:numId="10">
    <w:abstractNumId w:val="10"/>
  </w:num>
  <w:num w:numId="11">
    <w:abstractNumId w:val="5"/>
  </w:num>
  <w:num w:numId="12">
    <w:abstractNumId w:val="11"/>
  </w:num>
  <w:num w:numId="13">
    <w:abstractNumId w:val="7"/>
  </w:num>
  <w:num w:numId="14">
    <w:abstractNumId w:val="0"/>
  </w:num>
  <w:num w:numId="15">
    <w:abstractNumId w:val="17"/>
  </w:num>
  <w:num w:numId="16">
    <w:abstractNumId w:val="9"/>
  </w:num>
  <w:num w:numId="17">
    <w:abstractNumId w:val="8"/>
  </w:num>
  <w:num w:numId="18">
    <w:abstractNumId w:val="13"/>
  </w:num>
  <w:num w:numId="19">
    <w:abstractNumId w:val="2"/>
  </w:num>
  <w:num w:numId="20">
    <w:abstractNumId w:val="18"/>
  </w:num>
  <w:num w:numId="21">
    <w:abstractNumId w:val="3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791"/>
    <w:rsid w:val="00012E0E"/>
    <w:rsid w:val="0002069E"/>
    <w:rsid w:val="000206B0"/>
    <w:rsid w:val="000275C3"/>
    <w:rsid w:val="00035B00"/>
    <w:rsid w:val="00056E3A"/>
    <w:rsid w:val="00061880"/>
    <w:rsid w:val="000634C4"/>
    <w:rsid w:val="0006582B"/>
    <w:rsid w:val="00065F46"/>
    <w:rsid w:val="0008027D"/>
    <w:rsid w:val="00083930"/>
    <w:rsid w:val="00085A9D"/>
    <w:rsid w:val="000A3F19"/>
    <w:rsid w:val="000B55F9"/>
    <w:rsid w:val="000C1649"/>
    <w:rsid w:val="000D6CF3"/>
    <w:rsid w:val="000E403B"/>
    <w:rsid w:val="00130157"/>
    <w:rsid w:val="001471AF"/>
    <w:rsid w:val="00151099"/>
    <w:rsid w:val="001771FD"/>
    <w:rsid w:val="00182375"/>
    <w:rsid w:val="001B3F66"/>
    <w:rsid w:val="001B79B6"/>
    <w:rsid w:val="001D16F6"/>
    <w:rsid w:val="001E4821"/>
    <w:rsid w:val="001E4D47"/>
    <w:rsid w:val="001F0E75"/>
    <w:rsid w:val="001F673C"/>
    <w:rsid w:val="0020019B"/>
    <w:rsid w:val="00200FA4"/>
    <w:rsid w:val="0020324C"/>
    <w:rsid w:val="00221338"/>
    <w:rsid w:val="00231FAE"/>
    <w:rsid w:val="002339A5"/>
    <w:rsid w:val="00241E05"/>
    <w:rsid w:val="00253470"/>
    <w:rsid w:val="00257180"/>
    <w:rsid w:val="0026439B"/>
    <w:rsid w:val="00273207"/>
    <w:rsid w:val="00280409"/>
    <w:rsid w:val="002A7FCA"/>
    <w:rsid w:val="002D3A4B"/>
    <w:rsid w:val="002D68D8"/>
    <w:rsid w:val="002E3862"/>
    <w:rsid w:val="002E52BD"/>
    <w:rsid w:val="002F3012"/>
    <w:rsid w:val="003043D0"/>
    <w:rsid w:val="003047EE"/>
    <w:rsid w:val="00311BE8"/>
    <w:rsid w:val="00313A39"/>
    <w:rsid w:val="003148D2"/>
    <w:rsid w:val="00334C85"/>
    <w:rsid w:val="00351563"/>
    <w:rsid w:val="00352525"/>
    <w:rsid w:val="003808E0"/>
    <w:rsid w:val="003971F9"/>
    <w:rsid w:val="003D4667"/>
    <w:rsid w:val="003E1F1E"/>
    <w:rsid w:val="003F1AFF"/>
    <w:rsid w:val="00443B81"/>
    <w:rsid w:val="00453386"/>
    <w:rsid w:val="00464684"/>
    <w:rsid w:val="0047446C"/>
    <w:rsid w:val="00474791"/>
    <w:rsid w:val="00482EB0"/>
    <w:rsid w:val="00484766"/>
    <w:rsid w:val="00486677"/>
    <w:rsid w:val="004B4814"/>
    <w:rsid w:val="004C4CAF"/>
    <w:rsid w:val="004D00E1"/>
    <w:rsid w:val="004D34F9"/>
    <w:rsid w:val="004D45F9"/>
    <w:rsid w:val="004E02A2"/>
    <w:rsid w:val="004E1296"/>
    <w:rsid w:val="004E5C97"/>
    <w:rsid w:val="004F02B8"/>
    <w:rsid w:val="004F0305"/>
    <w:rsid w:val="004F1D7E"/>
    <w:rsid w:val="0051243F"/>
    <w:rsid w:val="00515DB0"/>
    <w:rsid w:val="00525937"/>
    <w:rsid w:val="005327CE"/>
    <w:rsid w:val="0055337D"/>
    <w:rsid w:val="00562B0D"/>
    <w:rsid w:val="005636CB"/>
    <w:rsid w:val="00564539"/>
    <w:rsid w:val="00572C14"/>
    <w:rsid w:val="0057337D"/>
    <w:rsid w:val="005C6AD0"/>
    <w:rsid w:val="005D5B02"/>
    <w:rsid w:val="005D6CE7"/>
    <w:rsid w:val="006033DA"/>
    <w:rsid w:val="006233EA"/>
    <w:rsid w:val="006244F7"/>
    <w:rsid w:val="006306DB"/>
    <w:rsid w:val="006673D0"/>
    <w:rsid w:val="006A36D8"/>
    <w:rsid w:val="006B3334"/>
    <w:rsid w:val="006B7928"/>
    <w:rsid w:val="006E45A6"/>
    <w:rsid w:val="006F03E5"/>
    <w:rsid w:val="007144A2"/>
    <w:rsid w:val="0072244C"/>
    <w:rsid w:val="00726A1C"/>
    <w:rsid w:val="00734829"/>
    <w:rsid w:val="00743453"/>
    <w:rsid w:val="00753A33"/>
    <w:rsid w:val="007662B0"/>
    <w:rsid w:val="00783692"/>
    <w:rsid w:val="00786001"/>
    <w:rsid w:val="007901CE"/>
    <w:rsid w:val="007956A7"/>
    <w:rsid w:val="007C257A"/>
    <w:rsid w:val="007C759D"/>
    <w:rsid w:val="007D2A59"/>
    <w:rsid w:val="007E509B"/>
    <w:rsid w:val="007E6D8B"/>
    <w:rsid w:val="00802572"/>
    <w:rsid w:val="00803C0B"/>
    <w:rsid w:val="0081024D"/>
    <w:rsid w:val="00816AD8"/>
    <w:rsid w:val="0082025A"/>
    <w:rsid w:val="00834D92"/>
    <w:rsid w:val="00843EDF"/>
    <w:rsid w:val="00856830"/>
    <w:rsid w:val="00872110"/>
    <w:rsid w:val="008744B7"/>
    <w:rsid w:val="00880BC7"/>
    <w:rsid w:val="00887E59"/>
    <w:rsid w:val="00897ADA"/>
    <w:rsid w:val="008C0077"/>
    <w:rsid w:val="008C200C"/>
    <w:rsid w:val="008C681B"/>
    <w:rsid w:val="008D0432"/>
    <w:rsid w:val="008E3546"/>
    <w:rsid w:val="008F4E46"/>
    <w:rsid w:val="0090070C"/>
    <w:rsid w:val="00901967"/>
    <w:rsid w:val="00913D97"/>
    <w:rsid w:val="0091687D"/>
    <w:rsid w:val="009231FC"/>
    <w:rsid w:val="00926FF3"/>
    <w:rsid w:val="00943AF9"/>
    <w:rsid w:val="00950551"/>
    <w:rsid w:val="00951CB5"/>
    <w:rsid w:val="009570EF"/>
    <w:rsid w:val="009623DA"/>
    <w:rsid w:val="0096269B"/>
    <w:rsid w:val="00975E73"/>
    <w:rsid w:val="00984827"/>
    <w:rsid w:val="00996E17"/>
    <w:rsid w:val="009A52E6"/>
    <w:rsid w:val="009B44B3"/>
    <w:rsid w:val="009B4FB8"/>
    <w:rsid w:val="009B6F53"/>
    <w:rsid w:val="009C09BF"/>
    <w:rsid w:val="009D1B61"/>
    <w:rsid w:val="009E078F"/>
    <w:rsid w:val="009E35E1"/>
    <w:rsid w:val="009F0E98"/>
    <w:rsid w:val="009F3898"/>
    <w:rsid w:val="00A14276"/>
    <w:rsid w:val="00A2583B"/>
    <w:rsid w:val="00A32570"/>
    <w:rsid w:val="00A3622A"/>
    <w:rsid w:val="00A41065"/>
    <w:rsid w:val="00A45DA5"/>
    <w:rsid w:val="00A536FE"/>
    <w:rsid w:val="00A565A4"/>
    <w:rsid w:val="00A57BB8"/>
    <w:rsid w:val="00A72041"/>
    <w:rsid w:val="00A75BE3"/>
    <w:rsid w:val="00A95DEB"/>
    <w:rsid w:val="00AA17F0"/>
    <w:rsid w:val="00AB13BD"/>
    <w:rsid w:val="00AB2FEF"/>
    <w:rsid w:val="00AB3941"/>
    <w:rsid w:val="00AB6DE6"/>
    <w:rsid w:val="00AD5091"/>
    <w:rsid w:val="00AD7334"/>
    <w:rsid w:val="00AE572D"/>
    <w:rsid w:val="00AE7B70"/>
    <w:rsid w:val="00B00269"/>
    <w:rsid w:val="00B30F05"/>
    <w:rsid w:val="00B341F5"/>
    <w:rsid w:val="00B4149E"/>
    <w:rsid w:val="00B50658"/>
    <w:rsid w:val="00B51CE6"/>
    <w:rsid w:val="00B63081"/>
    <w:rsid w:val="00B679D1"/>
    <w:rsid w:val="00B750CE"/>
    <w:rsid w:val="00B77467"/>
    <w:rsid w:val="00B804A3"/>
    <w:rsid w:val="00B9739A"/>
    <w:rsid w:val="00BA21D8"/>
    <w:rsid w:val="00BA76E7"/>
    <w:rsid w:val="00BB3128"/>
    <w:rsid w:val="00BD4DA6"/>
    <w:rsid w:val="00BD51E5"/>
    <w:rsid w:val="00BD6562"/>
    <w:rsid w:val="00BE780B"/>
    <w:rsid w:val="00C012FF"/>
    <w:rsid w:val="00C119A7"/>
    <w:rsid w:val="00C12D41"/>
    <w:rsid w:val="00C53AD2"/>
    <w:rsid w:val="00C5738A"/>
    <w:rsid w:val="00C6762A"/>
    <w:rsid w:val="00C81ADB"/>
    <w:rsid w:val="00C844CD"/>
    <w:rsid w:val="00C909D4"/>
    <w:rsid w:val="00C92F09"/>
    <w:rsid w:val="00CD4264"/>
    <w:rsid w:val="00CD4429"/>
    <w:rsid w:val="00CD492D"/>
    <w:rsid w:val="00CE51F6"/>
    <w:rsid w:val="00CE5B7D"/>
    <w:rsid w:val="00CF3510"/>
    <w:rsid w:val="00D14DE9"/>
    <w:rsid w:val="00D24B33"/>
    <w:rsid w:val="00D24F4C"/>
    <w:rsid w:val="00D27BEB"/>
    <w:rsid w:val="00D318C3"/>
    <w:rsid w:val="00D32232"/>
    <w:rsid w:val="00D36E77"/>
    <w:rsid w:val="00D76603"/>
    <w:rsid w:val="00D807AF"/>
    <w:rsid w:val="00D81FC8"/>
    <w:rsid w:val="00D85746"/>
    <w:rsid w:val="00D91D42"/>
    <w:rsid w:val="00DA4D6F"/>
    <w:rsid w:val="00DC4BC6"/>
    <w:rsid w:val="00DD03FD"/>
    <w:rsid w:val="00DD4114"/>
    <w:rsid w:val="00DD7D50"/>
    <w:rsid w:val="00E00526"/>
    <w:rsid w:val="00E00893"/>
    <w:rsid w:val="00E13F29"/>
    <w:rsid w:val="00E156DC"/>
    <w:rsid w:val="00E1782A"/>
    <w:rsid w:val="00E25D40"/>
    <w:rsid w:val="00E33535"/>
    <w:rsid w:val="00E41932"/>
    <w:rsid w:val="00E4594D"/>
    <w:rsid w:val="00E53B03"/>
    <w:rsid w:val="00E549F3"/>
    <w:rsid w:val="00E65C15"/>
    <w:rsid w:val="00E74FE6"/>
    <w:rsid w:val="00E859D3"/>
    <w:rsid w:val="00E952B9"/>
    <w:rsid w:val="00EA1C79"/>
    <w:rsid w:val="00EB46EA"/>
    <w:rsid w:val="00ED2501"/>
    <w:rsid w:val="00ED490A"/>
    <w:rsid w:val="00EE3F04"/>
    <w:rsid w:val="00EF5E4A"/>
    <w:rsid w:val="00F07CC4"/>
    <w:rsid w:val="00F30255"/>
    <w:rsid w:val="00F36B06"/>
    <w:rsid w:val="00F41C6C"/>
    <w:rsid w:val="00F616EE"/>
    <w:rsid w:val="00F875D8"/>
    <w:rsid w:val="00FA38F7"/>
    <w:rsid w:val="00FA4D67"/>
    <w:rsid w:val="00FE0BF5"/>
    <w:rsid w:val="00FE13B9"/>
    <w:rsid w:val="00FE4C86"/>
    <w:rsid w:val="00FE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89A0E7D"/>
  <w15:chartTrackingRefBased/>
  <w15:docId w15:val="{A1B3C25E-503B-46AA-B0B2-5E4E673B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00526"/>
    <w:pPr>
      <w:keepNext/>
      <w:keepLines/>
      <w:spacing w:before="320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00526"/>
    <w:pPr>
      <w:keepNext/>
      <w:keepLines/>
      <w:spacing w:before="320" w:after="0"/>
      <w:outlineLvl w:val="1"/>
    </w:pPr>
    <w:rPr>
      <w:rFonts w:ascii="Calibri" w:eastAsiaTheme="majorEastAsia" w:hAnsi="Calibri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7C759D"/>
    <w:pPr>
      <w:keepNext/>
      <w:keepLines/>
      <w:spacing w:before="320"/>
      <w:outlineLvl w:val="2"/>
    </w:pPr>
    <w:rPr>
      <w:rFonts w:ascii="Calibri" w:eastAsia="Times New Roman" w:hAnsi="Calibri" w:cstheme="minorHAnsi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Zwykatabela1">
    <w:name w:val="Plain Table 1"/>
    <w:basedOn w:val="Standardowy"/>
    <w:uiPriority w:val="41"/>
    <w:rsid w:val="000206B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B34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41F5"/>
  </w:style>
  <w:style w:type="paragraph" w:styleId="Stopka">
    <w:name w:val="footer"/>
    <w:basedOn w:val="Normalny"/>
    <w:link w:val="StopkaZnak"/>
    <w:uiPriority w:val="99"/>
    <w:unhideWhenUsed/>
    <w:rsid w:val="00B341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41F5"/>
  </w:style>
  <w:style w:type="character" w:customStyle="1" w:styleId="Brak">
    <w:name w:val="Brak"/>
    <w:rsid w:val="00816AD8"/>
  </w:style>
  <w:style w:type="character" w:styleId="Odwoaniedokomentarza">
    <w:name w:val="annotation reference"/>
    <w:basedOn w:val="Domylnaczcionkaakapitu"/>
    <w:uiPriority w:val="99"/>
    <w:semiHidden/>
    <w:unhideWhenUsed/>
    <w:rsid w:val="005124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24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24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24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24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43F"/>
    <w:rPr>
      <w:rFonts w:ascii="Segoe UI" w:hAnsi="Segoe UI" w:cs="Segoe UI"/>
      <w:sz w:val="18"/>
      <w:szCs w:val="18"/>
    </w:rPr>
  </w:style>
  <w:style w:type="paragraph" w:customStyle="1" w:styleId="oznrodzaktutznustawalubrozporzdzenieiorganwydajcy">
    <w:name w:val="oznrodzaktutznustawalubrozporzdzenieiorganwydajcy"/>
    <w:basedOn w:val="Normalny"/>
    <w:rsid w:val="00BD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aaktudatauchwalenialubwydaniaaktu">
    <w:name w:val="dataaktudatauchwalenialubwydaniaaktu"/>
    <w:basedOn w:val="Normalny"/>
    <w:rsid w:val="00BD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BD4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844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3F1AFF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3047EE"/>
    <w:pPr>
      <w:spacing w:after="320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047EE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E00526"/>
    <w:rPr>
      <w:rFonts w:ascii="Calibri" w:eastAsiaTheme="majorEastAsia" w:hAnsi="Calibri" w:cstheme="majorBidi"/>
      <w:b/>
      <w:sz w:val="28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3AF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3AF9"/>
    <w:rPr>
      <w:rFonts w:eastAsiaTheme="minorEastAsia"/>
      <w:color w:val="5A5A5A" w:themeColor="text1" w:themeTint="A5"/>
      <w:spacing w:val="15"/>
    </w:rPr>
  </w:style>
  <w:style w:type="character" w:customStyle="1" w:styleId="Nagwek2Znak">
    <w:name w:val="Nagłówek 2 Znak"/>
    <w:basedOn w:val="Domylnaczcionkaakapitu"/>
    <w:link w:val="Nagwek2"/>
    <w:uiPriority w:val="9"/>
    <w:rsid w:val="00E00526"/>
    <w:rPr>
      <w:rFonts w:ascii="Calibri" w:eastAsiaTheme="majorEastAsia" w:hAnsi="Calibri" w:cstheme="majorBidi"/>
      <w:b/>
      <w:sz w:val="24"/>
      <w:szCs w:val="26"/>
    </w:rPr>
  </w:style>
  <w:style w:type="paragraph" w:styleId="Akapitzlist">
    <w:name w:val="List Paragraph"/>
    <w:basedOn w:val="Normalny"/>
    <w:uiPriority w:val="34"/>
    <w:qFormat/>
    <w:rsid w:val="000D6CF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C759D"/>
    <w:rPr>
      <w:rFonts w:ascii="Calibri" w:eastAsia="Times New Roman" w:hAnsi="Calibri" w:cstheme="minorHAnsi"/>
      <w:b/>
      <w:szCs w:val="24"/>
      <w:lang w:eastAsia="pl-PL"/>
    </w:rPr>
  </w:style>
  <w:style w:type="table" w:styleId="Tabela-Siatka">
    <w:name w:val="Table Grid"/>
    <w:basedOn w:val="Standardowy"/>
    <w:uiPriority w:val="39"/>
    <w:rsid w:val="00734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3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E3501-CFAD-4C8F-9894-FA2A724E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1753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działalności PFRON na rok 2022 - Załącznik do uchwały nr 9/2021 Rady Nadzorczej PFRON z dnia 21.09.2021 r.</vt:lpstr>
    </vt:vector>
  </TitlesOfParts>
  <Company>Państwowy Fundusz Rehabilitacji Osób Niepełnosprawnych</Company>
  <LinksUpToDate>false</LinksUpToDate>
  <CharactersWithSpaces>12249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działalności PFRON na rok 2023 - Załącznik do uchwały nr 11/2022 Rady Nadzorczej PFRON z dnia 21.09.2022 r.</dc:title>
  <dc:subject/>
  <dc:creator>Departament Wsparcia Zarządu</dc:creator>
  <cp:keywords>plan działalności</cp:keywords>
  <dc:description>Wersja dostępna dla osób z niepełnosprawnościami</dc:description>
  <cp:lastPrinted>2019-09-10T08:39:00Z</cp:lastPrinted>
  <dcterms:created xsi:type="dcterms:W3CDTF">2022-09-30T08:50:00Z</dcterms:created>
  <dcterms:modified xsi:type="dcterms:W3CDTF">2022-09-30T10:23:00Z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