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0B5E0" w14:textId="77777777" w:rsidR="00417B57" w:rsidRPr="00A9222B" w:rsidRDefault="004A1835" w:rsidP="003F127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222B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815B99" w:rsidRPr="00A9222B">
        <w:rPr>
          <w:rFonts w:ascii="Times New Roman" w:hAnsi="Times New Roman" w:cs="Times New Roman"/>
          <w:sz w:val="24"/>
          <w:szCs w:val="24"/>
        </w:rPr>
        <w:t>Szczegółowych zasad finansowania badań w konkurs</w:t>
      </w:r>
      <w:r w:rsidR="006479BA" w:rsidRPr="00A9222B">
        <w:rPr>
          <w:rFonts w:ascii="Times New Roman" w:hAnsi="Times New Roman" w:cs="Times New Roman"/>
          <w:sz w:val="24"/>
          <w:szCs w:val="24"/>
        </w:rPr>
        <w:t>ie</w:t>
      </w:r>
      <w:r w:rsidR="00815B99" w:rsidRPr="00A9222B">
        <w:rPr>
          <w:rFonts w:ascii="Times New Roman" w:hAnsi="Times New Roman" w:cs="Times New Roman"/>
          <w:sz w:val="24"/>
          <w:szCs w:val="24"/>
        </w:rPr>
        <w:t xml:space="preserve"> „</w:t>
      </w:r>
      <w:r w:rsidR="00280BCF" w:rsidRPr="00A9222B">
        <w:rPr>
          <w:rFonts w:ascii="Times New Roman" w:hAnsi="Times New Roman" w:cs="Times New Roman"/>
          <w:sz w:val="24"/>
          <w:szCs w:val="24"/>
        </w:rPr>
        <w:t>Reprezentacje niepełnosprawności w kulturze i edukacji</w:t>
      </w:r>
      <w:r w:rsidR="00815B99" w:rsidRPr="00A9222B">
        <w:rPr>
          <w:rFonts w:ascii="Times New Roman" w:hAnsi="Times New Roman" w:cs="Times New Roman"/>
          <w:sz w:val="24"/>
          <w:szCs w:val="24"/>
        </w:rPr>
        <w:t>”</w:t>
      </w:r>
    </w:p>
    <w:p w14:paraId="372E1570" w14:textId="77777777" w:rsidR="00E1687A" w:rsidRPr="00A9222B" w:rsidRDefault="00E1687A" w:rsidP="00E168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932F7" w14:textId="77777777" w:rsidR="009E275E" w:rsidRPr="00A9222B" w:rsidRDefault="002E36AC" w:rsidP="00E168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22B">
        <w:rPr>
          <w:rFonts w:ascii="Times New Roman" w:hAnsi="Times New Roman" w:cs="Times New Roman"/>
          <w:b/>
          <w:sz w:val="24"/>
          <w:szCs w:val="24"/>
        </w:rPr>
        <w:t>Przewodnik k</w:t>
      </w:r>
      <w:r w:rsidR="009E275E" w:rsidRPr="00A9222B">
        <w:rPr>
          <w:rFonts w:ascii="Times New Roman" w:hAnsi="Times New Roman" w:cs="Times New Roman"/>
          <w:b/>
          <w:sz w:val="24"/>
          <w:szCs w:val="24"/>
        </w:rPr>
        <w:t>walifikowalności kosztów w konkursie „</w:t>
      </w:r>
      <w:r w:rsidR="00280BCF" w:rsidRPr="00A9222B">
        <w:rPr>
          <w:rFonts w:ascii="Times New Roman" w:hAnsi="Times New Roman" w:cs="Times New Roman"/>
          <w:b/>
          <w:sz w:val="24"/>
          <w:szCs w:val="24"/>
        </w:rPr>
        <w:t>Reprezentacje niepełnosprawności w kulturze i edukacji</w:t>
      </w:r>
      <w:r w:rsidR="009E275E" w:rsidRPr="00A9222B">
        <w:rPr>
          <w:rFonts w:ascii="Times New Roman" w:hAnsi="Times New Roman" w:cs="Times New Roman"/>
          <w:b/>
          <w:sz w:val="24"/>
          <w:szCs w:val="24"/>
        </w:rPr>
        <w:t>”</w:t>
      </w:r>
    </w:p>
    <w:p w14:paraId="5C25204B" w14:textId="77777777" w:rsidR="00FE1AFE" w:rsidRPr="00A9222B" w:rsidRDefault="00FE1AFE" w:rsidP="00CA4728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</w:p>
    <w:p w14:paraId="1754D31C" w14:textId="77777777" w:rsidR="00FE1AFE" w:rsidRPr="00A9222B" w:rsidRDefault="00FE1AFE" w:rsidP="00CA4728">
      <w:pPr>
        <w:pStyle w:val="Styl1"/>
      </w:pPr>
      <w:r w:rsidRPr="00A9222B">
        <w:t xml:space="preserve">Podstawowe zasady kwalifikowalności kosztów </w:t>
      </w:r>
    </w:p>
    <w:p w14:paraId="2C33A84C" w14:textId="77777777" w:rsidR="00AF2196" w:rsidRPr="00A9222B" w:rsidRDefault="009A5698" w:rsidP="00CA47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Aby koszt został uznany za kwalifikowalny</w:t>
      </w:r>
      <w:r w:rsidR="001C7C4F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konieczne jest spełnienie </w:t>
      </w:r>
      <w:r w:rsidR="001C7C4F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łącznie 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następujących warunków:</w:t>
      </w:r>
    </w:p>
    <w:p w14:paraId="54CC3E41" w14:textId="1B34D576" w:rsidR="00AF2196" w:rsidRPr="00A9222B" w:rsidRDefault="009A5698" w:rsidP="00CA4728">
      <w:pPr>
        <w:numPr>
          <w:ilvl w:val="1"/>
          <w:numId w:val="27"/>
        </w:numPr>
        <w:autoSpaceDE w:val="0"/>
        <w:autoSpaceDN w:val="0"/>
        <w:adjustRightInd w:val="0"/>
        <w:spacing w:before="60" w:after="0" w:line="240" w:lineRule="auto"/>
        <w:ind w:left="1134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 został uwzględniony i uzasadniony w budżecie badania</w:t>
      </w:r>
      <w:r w:rsidR="00FA02E1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>oraz</w:t>
      </w:r>
      <w:r w:rsidR="00636057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</w:t>
      </w:r>
      <w:r w:rsidR="00EC1D39" w:rsidRPr="00A9222B">
        <w:rPr>
          <w:rFonts w:ascii="Times New Roman" w:eastAsia="Franklin Gothic Medium" w:hAnsi="Times New Roman" w:cs="Times New Roman"/>
          <w:sz w:val="24"/>
          <w:szCs w:val="24"/>
        </w:rPr>
        <w:t>zawarty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w umowie </w:t>
      </w:r>
      <w:r w:rsidR="00EC1D39" w:rsidRPr="00A9222B">
        <w:rPr>
          <w:rFonts w:ascii="Times New Roman" w:eastAsia="Franklin Gothic Medium" w:hAnsi="Times New Roman" w:cs="Times New Roman"/>
          <w:sz w:val="24"/>
          <w:szCs w:val="24"/>
        </w:rPr>
        <w:t>podpisanej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p</w:t>
      </w:r>
      <w:r w:rsidR="00EC1D39" w:rsidRPr="00A9222B">
        <w:rPr>
          <w:rFonts w:ascii="Times New Roman" w:eastAsia="Franklin Gothic Medium" w:hAnsi="Times New Roman" w:cs="Times New Roman"/>
          <w:sz w:val="24"/>
          <w:szCs w:val="24"/>
        </w:rPr>
        <w:t>rzez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Wnioskodawc</w:t>
      </w:r>
      <w:r w:rsidR="00EC1D39" w:rsidRPr="00A9222B">
        <w:rPr>
          <w:rFonts w:ascii="Times New Roman" w:eastAsia="Franklin Gothic Medium" w:hAnsi="Times New Roman" w:cs="Times New Roman"/>
          <w:sz w:val="24"/>
          <w:szCs w:val="24"/>
        </w:rPr>
        <w:t>ę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</w:t>
      </w:r>
      <w:r w:rsidR="00EC1D39" w:rsidRPr="00A9222B">
        <w:rPr>
          <w:rFonts w:ascii="Times New Roman" w:eastAsia="Franklin Gothic Medium" w:hAnsi="Times New Roman" w:cs="Times New Roman"/>
          <w:sz w:val="24"/>
          <w:szCs w:val="24"/>
        </w:rPr>
        <w:t>i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PFRON,</w:t>
      </w:r>
    </w:p>
    <w:p w14:paraId="3A7D2ADD" w14:textId="77777777" w:rsidR="00AF2196" w:rsidRPr="00A9222B" w:rsidRDefault="009A5698" w:rsidP="00CA4728">
      <w:pPr>
        <w:numPr>
          <w:ilvl w:val="1"/>
          <w:numId w:val="27"/>
        </w:numPr>
        <w:autoSpaceDE w:val="0"/>
        <w:autoSpaceDN w:val="0"/>
        <w:adjustRightInd w:val="0"/>
        <w:spacing w:before="60" w:after="0" w:line="240" w:lineRule="auto"/>
        <w:ind w:left="1134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 został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p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>oniesiony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w okresie kwalifikowalności,</w:t>
      </w:r>
    </w:p>
    <w:p w14:paraId="6EE245A9" w14:textId="77777777" w:rsidR="00AF2196" w:rsidRPr="00A9222B" w:rsidRDefault="009A5698" w:rsidP="00CA4728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 został należycie udokumentowany i jest możliwy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do zweryfikowania,</w:t>
      </w:r>
    </w:p>
    <w:p w14:paraId="79975B61" w14:textId="77777777" w:rsidR="00322C2A" w:rsidRPr="00A9222B" w:rsidRDefault="001C7C4F" w:rsidP="00CA4728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before="60" w:after="0" w:line="240" w:lineRule="auto"/>
        <w:ind w:left="1134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koszt </w:t>
      </w:r>
      <w:r w:rsidR="008425BD" w:rsidRPr="00A9222B">
        <w:rPr>
          <w:rFonts w:ascii="Times New Roman" w:eastAsia="Franklin Gothic Medium" w:hAnsi="Times New Roman" w:cs="Times New Roman"/>
          <w:sz w:val="24"/>
          <w:szCs w:val="24"/>
        </w:rPr>
        <w:t>był zgodny</w:t>
      </w:r>
      <w:r w:rsidR="00AF2196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z obowiązującymi przepisami prawa</w:t>
      </w:r>
      <w:r w:rsidR="008425BD" w:rsidRPr="00A9222B">
        <w:rPr>
          <w:rFonts w:ascii="Times New Roman" w:eastAsia="Franklin Gothic Medium" w:hAnsi="Times New Roman" w:cs="Times New Roman"/>
          <w:sz w:val="24"/>
          <w:szCs w:val="24"/>
        </w:rPr>
        <w:t>.</w:t>
      </w:r>
    </w:p>
    <w:p w14:paraId="3E998329" w14:textId="77777777" w:rsidR="00322C2A" w:rsidRPr="00A9222B" w:rsidRDefault="000A7A58" w:rsidP="00CA47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Koszty kwalifikowalne ujęte w </w:t>
      </w:r>
      <w:r w:rsidR="00422AF6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badaniu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to koszty obliczone zgodnie</w:t>
      </w:r>
      <w:r w:rsidR="00FA02E1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z obowiązującymi zasadami rachunkowości i zasadami należytego zarządzania finansami oraz praktykami Wnioskodawcy (polityka rachunkowości). Każdy</w:t>
      </w:r>
      <w:r w:rsidR="00FA02E1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z Wnioskodawców zobowiązany jest stosować praktyki (wytyczne) przyjęte w jego instytucji. </w:t>
      </w:r>
    </w:p>
    <w:p w14:paraId="22499D87" w14:textId="77777777" w:rsidR="00086AA3" w:rsidRPr="00A9222B" w:rsidRDefault="000A7A58" w:rsidP="00CA47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0" w:line="240" w:lineRule="auto"/>
        <w:ind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Dowody zapłaty wyrażone w walucie obcej rozliczane są przy zastosowaniu przelicznika wg średniego kursu ogłoszonego przez Narodowy Bank Polski, obowiązującego w dniu płatności tych dokumentów.</w:t>
      </w:r>
    </w:p>
    <w:p w14:paraId="7D2D1184" w14:textId="77777777" w:rsidR="00FE1AFE" w:rsidRPr="00A9222B" w:rsidRDefault="00FE1AFE" w:rsidP="00CA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Medium" w:hAnsi="Times New Roman" w:cs="Times New Roman"/>
          <w:b/>
          <w:color w:val="000000"/>
          <w:sz w:val="24"/>
          <w:szCs w:val="24"/>
        </w:rPr>
      </w:pPr>
    </w:p>
    <w:p w14:paraId="4505EE1D" w14:textId="77777777" w:rsidR="00FE1AFE" w:rsidRPr="00A9222B" w:rsidRDefault="00FE1AFE" w:rsidP="00CA4728">
      <w:pPr>
        <w:pStyle w:val="Styl1"/>
      </w:pPr>
      <w:r w:rsidRPr="00A9222B">
        <w:t xml:space="preserve">Ramy czasowe kwalifikowalności </w:t>
      </w:r>
    </w:p>
    <w:p w14:paraId="0F8C9D70" w14:textId="77777777" w:rsidR="00086AA3" w:rsidRPr="00A9222B" w:rsidRDefault="00FE1AFE" w:rsidP="00D63F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720"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Pod pojęciem okresu kwalifikowania kosztów należy rozumieć okres, w którym mogą być ponoszone koszty kwalifikowalne. </w:t>
      </w:r>
    </w:p>
    <w:p w14:paraId="20808F6E" w14:textId="77777777" w:rsidR="00086AA3" w:rsidRPr="00A9222B" w:rsidRDefault="00FE1AFE" w:rsidP="00D63F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720"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Okres kwalifikowania kosztów dla danego </w:t>
      </w:r>
      <w:r w:rsidR="00422AF6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badania</w:t>
      </w:r>
      <w:r w:rsidR="00FA02E1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</w:t>
      </w:r>
      <w:r w:rsidR="001C7C4F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jest 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określony w umowie 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br/>
        <w:t xml:space="preserve">o dofinansowanie </w:t>
      </w:r>
      <w:r w:rsidR="00422AF6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badania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.</w:t>
      </w:r>
    </w:p>
    <w:p w14:paraId="7F0B3C35" w14:textId="77777777" w:rsidR="002E36AC" w:rsidRPr="00A9222B" w:rsidRDefault="00FE1AFE" w:rsidP="00D63F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720"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Koszty poniesione poza okresem określonym w umowie stanowią koszty niekwalifikowalne. </w:t>
      </w:r>
    </w:p>
    <w:p w14:paraId="6D11C7DE" w14:textId="77777777" w:rsidR="00086AA3" w:rsidRPr="00A9222B" w:rsidRDefault="00FE1AFE" w:rsidP="00D63F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720"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W przedkładanym rozliczeniu wykazywane są koszty związane z danym okresem, niezależnie od terminu ich zapłaty. </w:t>
      </w:r>
    </w:p>
    <w:p w14:paraId="5E2D9159" w14:textId="77777777" w:rsidR="00FE1AFE" w:rsidRPr="00A9222B" w:rsidRDefault="00FE1AFE" w:rsidP="00D63F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60" w:after="0" w:line="240" w:lineRule="auto"/>
        <w:ind w:left="720"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Wszystkie wykazane w rozliczeniu koszty muszą być faktycznie poniesione i opłacone w terminie do 30 dni od dnia zakończenia realizacji</w:t>
      </w:r>
      <w:r w:rsidR="00AA0CDC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badania</w:t>
      </w:r>
      <w:r w:rsidR="00636057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, czyli </w:t>
      </w:r>
      <w:r w:rsidR="00280BCF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od momentu opublikowania raportu z badania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.</w:t>
      </w:r>
    </w:p>
    <w:p w14:paraId="152DED5C" w14:textId="77777777" w:rsidR="00FE1AFE" w:rsidRPr="00A9222B" w:rsidRDefault="00FE1AFE" w:rsidP="00CA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</w:p>
    <w:p w14:paraId="1DF796B9" w14:textId="77777777" w:rsidR="00FE1AFE" w:rsidRPr="00A9222B" w:rsidRDefault="00350595" w:rsidP="000E4778">
      <w:pPr>
        <w:pStyle w:val="Styl1"/>
      </w:pPr>
      <w:r w:rsidRPr="00A9222B">
        <w:t>Koszty niekwalifikowalne</w:t>
      </w:r>
    </w:p>
    <w:p w14:paraId="3E5E08CE" w14:textId="77777777" w:rsidR="00350595" w:rsidRPr="00A9222B" w:rsidRDefault="00350595" w:rsidP="006025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Za koszty niekwalifikowalne uważa się:</w:t>
      </w:r>
    </w:p>
    <w:p w14:paraId="38849942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koszty poniesione poza okresem kwalifikowalności,</w:t>
      </w:r>
    </w:p>
    <w:p w14:paraId="51F84B52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koszty nieudokumentowane lub nienależycie udokumentowane,</w:t>
      </w:r>
    </w:p>
    <w:p w14:paraId="3D6E7A88" w14:textId="5EC0B1EC" w:rsidR="00350595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p</w:t>
      </w:r>
      <w:r w:rsidR="005C4AD0" w:rsidRPr="00A9222B">
        <w:rPr>
          <w:rFonts w:ascii="Times New Roman" w:eastAsia="Franklin Gothic Medium" w:hAnsi="Times New Roman" w:cs="Times New Roman"/>
          <w:sz w:val="24"/>
          <w:szCs w:val="24"/>
        </w:rPr>
        <w:t>odatek od towarów i usług (VAT)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>, który w świetle prawa może być odzyskany,</w:t>
      </w:r>
    </w:p>
    <w:p w14:paraId="21769B6E" w14:textId="77777777" w:rsidR="009E0A63" w:rsidRPr="009E0A63" w:rsidRDefault="009E0A63" w:rsidP="009E0A63">
      <w:pPr>
        <w:autoSpaceDE w:val="0"/>
        <w:autoSpaceDN w:val="0"/>
        <w:adjustRightInd w:val="0"/>
        <w:spacing w:before="60" w:after="0" w:line="240" w:lineRule="auto"/>
        <w:ind w:left="493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bookmarkStart w:id="0" w:name="_GoBack"/>
      <w:bookmarkEnd w:id="0"/>
    </w:p>
    <w:p w14:paraId="525F82E8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lastRenderedPageBreak/>
        <w:t>grzywny, mandaty, kary finansowe, opłaty i odsetki karne,</w:t>
      </w:r>
    </w:p>
    <w:p w14:paraId="352DCD68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rezerwy na pokrycie przyszłych strat lub zobowiązań,</w:t>
      </w:r>
    </w:p>
    <w:p w14:paraId="392DE16E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odsetki, prowizje i inne koszty pożyczek i kredytów, </w:t>
      </w:r>
    </w:p>
    <w:p w14:paraId="302DF9DA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koszty poniesione na przygotowanie wniosku</w:t>
      </w:r>
      <w:r w:rsidR="00280BCF" w:rsidRPr="00A9222B">
        <w:rPr>
          <w:rFonts w:ascii="Times New Roman" w:eastAsia="Franklin Gothic Medium" w:hAnsi="Times New Roman" w:cs="Times New Roman"/>
          <w:sz w:val="24"/>
          <w:szCs w:val="24"/>
        </w:rPr>
        <w:t>,</w:t>
      </w:r>
    </w:p>
    <w:p w14:paraId="6ED6DF35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koszty zakupu sprzętu informatyczno-biurowego (np. komputer, koszty licencji i wytworzenia oprogramowania, drukarka, skaner, monitor, kserokopiarka),</w:t>
      </w:r>
    </w:p>
    <w:p w14:paraId="443DEB3D" w14:textId="77777777" w:rsidR="00563A91" w:rsidRPr="00A9222B" w:rsidRDefault="00563A91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składki członkowskie od osób fizycznych w organizacjach, stowarzyszeniach itp.,</w:t>
      </w:r>
    </w:p>
    <w:p w14:paraId="16766E16" w14:textId="77777777" w:rsidR="00350595" w:rsidRPr="00A9222B" w:rsidRDefault="00350595" w:rsidP="006025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60" w:after="0" w:line="240" w:lineRule="auto"/>
        <w:ind w:left="918" w:hanging="425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poniższe składniki płacowe i pozapłacowe wynagrodzeń:</w:t>
      </w:r>
    </w:p>
    <w:p w14:paraId="5869FD2F" w14:textId="77777777" w:rsidR="00350595" w:rsidRPr="00A9222B" w:rsidRDefault="00350595" w:rsidP="00602594">
      <w:pPr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nagrody jubileuszowe,</w:t>
      </w:r>
    </w:p>
    <w:p w14:paraId="7522E0F1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ekwiwalent za niewykorzystany urlop wypoczynkowy,</w:t>
      </w:r>
    </w:p>
    <w:p w14:paraId="561C7AD4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składka na grupowe ubezpieczenie na życie - traktowana jako przychód pracownika opodatkowany,</w:t>
      </w:r>
    </w:p>
    <w:p w14:paraId="1DA10BD5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dopłata do świadczeń medycznych,</w:t>
      </w:r>
    </w:p>
    <w:p w14:paraId="464FA4AC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ekwiwalent pieniężny (np.: ulgowa odpłatność za energię elektryczną),</w:t>
      </w:r>
    </w:p>
    <w:p w14:paraId="786D4075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dopłata do energii elektrycznej (traktowana jako przychód pracownika opodatkowany),</w:t>
      </w:r>
    </w:p>
    <w:p w14:paraId="124ED0E0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używanie samochodu służbowego - dojazd do pracy z miejsca zamieszkania,</w:t>
      </w:r>
    </w:p>
    <w:p w14:paraId="74AFEB54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dofinansowanie wypłacone z ZFŚS (przychód pracownika opodatkowany),</w:t>
      </w:r>
    </w:p>
    <w:p w14:paraId="1BE3DA12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zasiłki finansowane ze środków ZUS (np. macierzyński),</w:t>
      </w:r>
    </w:p>
    <w:p w14:paraId="0F31B564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wynagrodzenie za pracę w godzinach nadliczbowych,</w:t>
      </w:r>
    </w:p>
    <w:p w14:paraId="0108706F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koszty badań okresowych i wstępnych,</w:t>
      </w:r>
    </w:p>
    <w:p w14:paraId="3BCE0128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dopłata do okularów,</w:t>
      </w:r>
    </w:p>
    <w:p w14:paraId="690F2329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dodatki za znajomość języków, za niepalenie i inne dodatki tego typu ustalone przez pracodawcę,</w:t>
      </w:r>
    </w:p>
    <w:p w14:paraId="04C4DA14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bony żywieniowe dla pracowników,</w:t>
      </w:r>
    </w:p>
    <w:p w14:paraId="0EEEE040" w14:textId="77777777" w:rsidR="00350595" w:rsidRPr="00A9222B" w:rsidRDefault="00350595" w:rsidP="00602594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before="60" w:after="0" w:line="240" w:lineRule="auto"/>
        <w:ind w:left="1191" w:hanging="357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składki na Państwowy Fundusz Rehabilitacji Osób Niepełnosprawnych.</w:t>
      </w:r>
    </w:p>
    <w:p w14:paraId="7D1DA674" w14:textId="77777777" w:rsidR="00350595" w:rsidRPr="00A9222B" w:rsidRDefault="00350595" w:rsidP="006025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Koszty niekwalifikowalne nie mogą stanowić całości ani części wymaganego wkładu własnego Wykonawc</w:t>
      </w:r>
      <w:r w:rsidR="00E738FD" w:rsidRPr="00A9222B">
        <w:rPr>
          <w:rFonts w:ascii="Times New Roman" w:eastAsia="Franklin Gothic Medium" w:hAnsi="Times New Roman" w:cs="Times New Roman"/>
          <w:sz w:val="24"/>
          <w:szCs w:val="24"/>
        </w:rPr>
        <w:t>y/Partnera realizującego badanie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oraz nie mogą zostać sfinansowane ze środków PFRON.</w:t>
      </w:r>
    </w:p>
    <w:p w14:paraId="75879A9C" w14:textId="77777777" w:rsidR="00350595" w:rsidRPr="00A9222B" w:rsidRDefault="00350595" w:rsidP="00CA4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Medium" w:hAnsi="Times New Roman" w:cs="Times New Roman"/>
          <w:sz w:val="24"/>
          <w:szCs w:val="24"/>
        </w:rPr>
      </w:pPr>
    </w:p>
    <w:p w14:paraId="6E435738" w14:textId="77777777" w:rsidR="00350595" w:rsidRPr="00A9222B" w:rsidRDefault="00350595" w:rsidP="00CA4728">
      <w:pPr>
        <w:pStyle w:val="Styl1"/>
      </w:pPr>
      <w:r w:rsidRPr="00A9222B">
        <w:t xml:space="preserve">Koszty kwalifikowalne </w:t>
      </w:r>
    </w:p>
    <w:p w14:paraId="2875E59F" w14:textId="77777777" w:rsidR="00086AA3" w:rsidRPr="00A9222B" w:rsidRDefault="00FB6CA5" w:rsidP="000E4778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60" w:after="0" w:line="240" w:lineRule="auto"/>
        <w:ind w:left="709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Koszty kwalifikowalne ponoszone przez podmiot realizujący badanie dzielą się na koszty pośrednie i koszty bezpośrednie. </w:t>
      </w:r>
    </w:p>
    <w:p w14:paraId="4DF6DC5A" w14:textId="77777777" w:rsidR="0024357E" w:rsidRPr="00A9222B" w:rsidRDefault="0024357E" w:rsidP="000E477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ind w:left="85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Koszty bezpośrednie to koszty bezpośrednio związane z realizacją badania. </w:t>
      </w:r>
    </w:p>
    <w:p w14:paraId="12704F80" w14:textId="77777777" w:rsidR="00086AA3" w:rsidRPr="00A9222B" w:rsidRDefault="00FB6CA5" w:rsidP="000E477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60" w:after="0" w:line="240" w:lineRule="auto"/>
        <w:ind w:left="85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Koszty pośrednie to koszty pośrednio związane z realizacją badania, niezbędne do prawidłowej realizacji umowy o finansowanie. </w:t>
      </w:r>
      <w:r w:rsidR="00280BCF" w:rsidRPr="00A9222B">
        <w:rPr>
          <w:rFonts w:ascii="Times New Roman" w:eastAsia="Franklin Gothic Medium" w:hAnsi="Times New Roman" w:cs="Times New Roman"/>
          <w:sz w:val="24"/>
          <w:szCs w:val="24"/>
        </w:rPr>
        <w:t>Maksymalna r</w:t>
      </w:r>
      <w:r w:rsidR="001C7C4F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yczałtowa 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>wysokość kosztów pośrednich to 1</w:t>
      </w:r>
      <w:r w:rsidR="00280BCF" w:rsidRPr="00A9222B">
        <w:rPr>
          <w:rFonts w:ascii="Times New Roman" w:eastAsia="Franklin Gothic Medium" w:hAnsi="Times New Roman" w:cs="Times New Roman"/>
          <w:sz w:val="24"/>
          <w:szCs w:val="24"/>
        </w:rPr>
        <w:t>5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>% kosztów bezpośrednich.</w:t>
      </w:r>
    </w:p>
    <w:p w14:paraId="79A69D11" w14:textId="77777777" w:rsidR="00E738FD" w:rsidRPr="00A9222B" w:rsidRDefault="00723A5C" w:rsidP="00602594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60" w:after="0" w:line="240" w:lineRule="auto"/>
        <w:ind w:left="709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Bezpośrednie</w:t>
      </w:r>
      <w:r w:rsidR="00FB6CA5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kwalifikowalne koszty to w szczególności: </w:t>
      </w:r>
    </w:p>
    <w:p w14:paraId="07E47E87" w14:textId="77777777" w:rsidR="00086AA3" w:rsidRPr="00A9222B" w:rsidRDefault="00CE0151" w:rsidP="0060259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ind w:left="851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Koszty osobowe</w:t>
      </w:r>
      <w:r w:rsidR="00350595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personelu merytorycznego</w:t>
      </w:r>
      <w:r w:rsidR="00FA02E1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i technicznego</w:t>
      </w:r>
      <w:r w:rsidR="00813BB3" w:rsidRPr="00A9222B">
        <w:rPr>
          <w:rFonts w:ascii="Times New Roman" w:eastAsia="Franklin Gothic Medium" w:hAnsi="Times New Roman" w:cs="Times New Roman"/>
          <w:sz w:val="24"/>
          <w:szCs w:val="24"/>
        </w:rPr>
        <w:t>.</w:t>
      </w:r>
    </w:p>
    <w:p w14:paraId="63D6C381" w14:textId="77777777" w:rsidR="00086AA3" w:rsidRPr="00A9222B" w:rsidRDefault="00350595" w:rsidP="00602594">
      <w:pPr>
        <w:autoSpaceDE w:val="0"/>
        <w:autoSpaceDN w:val="0"/>
        <w:adjustRightInd w:val="0"/>
        <w:spacing w:before="60" w:after="0" w:line="240" w:lineRule="auto"/>
        <w:ind w:left="851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W ramach kategorii kwalifikowalne są koszty wyna</w:t>
      </w:r>
      <w:r w:rsidR="008425BD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grodzeń osób realizując</w:t>
      </w:r>
      <w:r w:rsidR="00500069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ych</w:t>
      </w:r>
      <w:r w:rsidR="008425BD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badani</w:t>
      </w:r>
      <w:r w:rsidR="000023BA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e,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w tym składk</w:t>
      </w:r>
      <w:r w:rsidR="00CD68DB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i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na ubezpieczenia społeczne </w:t>
      </w:r>
      <w:r w:rsidR="00D2214E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i zdrowotne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.</w:t>
      </w:r>
    </w:p>
    <w:p w14:paraId="41170A20" w14:textId="77777777" w:rsidR="00086AA3" w:rsidRPr="00A9222B" w:rsidRDefault="00350595" w:rsidP="0060259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before="60" w:after="0" w:line="240" w:lineRule="auto"/>
        <w:ind w:left="851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Koszty podróży służbowych osób realizujących badanie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.</w:t>
      </w:r>
    </w:p>
    <w:p w14:paraId="2BEC346F" w14:textId="77777777" w:rsidR="00086AA3" w:rsidRPr="00A9222B" w:rsidRDefault="00350595" w:rsidP="00602594">
      <w:pPr>
        <w:spacing w:before="6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ramach </w:t>
      </w:r>
      <w:r w:rsidR="0024357E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 kwalifikowalne s</w:t>
      </w:r>
      <w:r w:rsidR="00377198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ą związane z realizacją badania</w:t>
      </w: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 podróży służbowych poza miejscowoś</w:t>
      </w:r>
      <w:r w:rsidR="00636057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której znajduje się siedziba pracodawcy lub poza stałym miejscem pracy pracownika oraz związane z nimi koszt</w:t>
      </w:r>
      <w:r w:rsidR="00D2214E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y wyżywienia i zakwaterowania osoby/osób przeprowadzających badanie</w:t>
      </w:r>
      <w:r w:rsidR="000E4778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357E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wg</w:t>
      </w:r>
      <w:r w:rsidR="00354461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 dot. delegacji służbowych.</w:t>
      </w:r>
    </w:p>
    <w:p w14:paraId="1FA452C1" w14:textId="77777777" w:rsidR="00350595" w:rsidRPr="00A9222B" w:rsidRDefault="00CA2A13" w:rsidP="00602594">
      <w:pPr>
        <w:pStyle w:val="Akapitzlist"/>
        <w:numPr>
          <w:ilvl w:val="0"/>
          <w:numId w:val="32"/>
        </w:numPr>
        <w:spacing w:before="60"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50595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oszty materiałów potrzebnych do przeprowadzenia badania</w:t>
      </w:r>
      <w:r w:rsidR="00813BB3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077413" w14:textId="77777777" w:rsidR="00280BCF" w:rsidRPr="00A9222B" w:rsidRDefault="00350595" w:rsidP="00602594">
      <w:pPr>
        <w:spacing w:before="6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24357E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kategorii kosztów kwalifikowalnych wlicza się zakup materiałów koniecz</w:t>
      </w:r>
      <w:r w:rsidR="00723A5C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nych do przeprowadzenia badania</w:t>
      </w:r>
      <w:r w:rsidR="0050006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</w:t>
      </w:r>
      <w:r w:rsidR="00723A5C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04478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</w:t>
      </w:r>
      <w:r w:rsidR="00280BCF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ążek, podręczników szkolnych, abonamentu telewizyjnego, gier, biletów do kina, filmów, seriali, czasopism</w:t>
      </w:r>
      <w:r w:rsidR="00917BD4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80BCF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materiałów audiowizualnych</w:t>
      </w:r>
      <w:r w:rsidR="00917BD4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80BCF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wydawniczych koniecznych do przeprowadzenia badania</w:t>
      </w:r>
      <w:r w:rsidR="00917BD4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, materiałów biurowych i piśmienniczych oraz usług drukarskich i piśmienniczych</w:t>
      </w:r>
      <w:r w:rsidR="00280BCF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EFD056B" w14:textId="77777777" w:rsidR="00CA2A13" w:rsidRPr="00A9222B" w:rsidRDefault="00280BCF" w:rsidP="00EC1D39">
      <w:pPr>
        <w:pStyle w:val="Akapitzlist"/>
        <w:numPr>
          <w:ilvl w:val="0"/>
          <w:numId w:val="32"/>
        </w:numPr>
        <w:spacing w:before="60"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działań popularyzujących badanie</w:t>
      </w:r>
      <w:r w:rsidR="00813BB3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C5D846" w14:textId="77777777" w:rsidR="00D33859" w:rsidRPr="00A9222B" w:rsidRDefault="00E11F95" w:rsidP="00EC1D39">
      <w:pPr>
        <w:pStyle w:val="Akapitzlist"/>
        <w:spacing w:before="60"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kate</w:t>
      </w:r>
      <w:r w:rsidR="00D3385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gorii kosztów kwalifikowalnych wlicza się koszty związane z organizacją działań mających u</w:t>
      </w:r>
      <w:r w:rsidR="00FA02E1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powszechnić wyniki badania, np</w:t>
      </w:r>
      <w:r w:rsidR="00D3385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organizacja konferencji </w:t>
      </w:r>
      <w:r w:rsidR="0050006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spotkań poświęconych omówieniu wyników </w:t>
      </w:r>
      <w:r w:rsidR="00D3385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(np. wynajem sali, catering, przygotowanie plakatów promujących konferencję</w:t>
      </w:r>
      <w:r w:rsidR="00B35C0B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/spotkanie</w:t>
      </w:r>
      <w:r w:rsidR="00D3385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przygotowanie </w:t>
      </w:r>
      <w:r w:rsidR="0050006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notatek prasowych</w:t>
      </w:r>
      <w:r w:rsidR="00D3385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promujących badanie do wysłania do redakcji czasopism i TV (np. redakcja, korekta, grafika)</w:t>
      </w:r>
      <w:r w:rsidR="0050006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C2BF4A" w14:textId="77777777" w:rsidR="00280BCF" w:rsidRPr="00A9222B" w:rsidRDefault="00280BCF" w:rsidP="00EC1D39">
      <w:pPr>
        <w:pStyle w:val="Akapitzlist"/>
        <w:numPr>
          <w:ilvl w:val="0"/>
          <w:numId w:val="32"/>
        </w:numPr>
        <w:spacing w:before="60"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wydania raportu z badania. </w:t>
      </w:r>
    </w:p>
    <w:p w14:paraId="24313B00" w14:textId="5373F9A2" w:rsidR="00500069" w:rsidRPr="00A9222B" w:rsidRDefault="000E4778" w:rsidP="00EC1D39">
      <w:pPr>
        <w:pStyle w:val="Akapitzlist"/>
        <w:spacing w:before="60" w:after="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tej kategorii kosztów kwalifikowalnych wlicza się </w:t>
      </w:r>
      <w:r w:rsidR="0050006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</w:t>
      </w:r>
      <w:r w:rsidR="00FA02E1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wiązane z wydaniem raportu, np</w:t>
      </w:r>
      <w:r w:rsidR="0050006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. korekta, redakcja, skład, grafika, druk, przygotowanie elektronicznego wydania raportu, przesłanie raportu do instytucji badawczyc</w:t>
      </w:r>
      <w:r w:rsidR="00FA02E1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h i akademickich, bibliotek</w:t>
      </w:r>
      <w:r w:rsidR="00500069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B12A32" w14:textId="77777777" w:rsidR="00B35C0B" w:rsidRPr="00A9222B" w:rsidRDefault="00B35C0B" w:rsidP="00917BD4">
      <w:pPr>
        <w:pStyle w:val="Akapitzlist"/>
        <w:spacing w:after="120" w:line="240" w:lineRule="auto"/>
        <w:ind w:left="851"/>
        <w:jc w:val="both"/>
        <w:rPr>
          <w:rFonts w:ascii="Times New Roman" w:eastAsia="Franklin Gothic Medium" w:hAnsi="Times New Roman" w:cs="Times New Roman"/>
          <w:sz w:val="24"/>
          <w:szCs w:val="24"/>
        </w:rPr>
      </w:pPr>
    </w:p>
    <w:p w14:paraId="1AAC86AD" w14:textId="77777777" w:rsidR="00E6102E" w:rsidRPr="00A9222B" w:rsidRDefault="00E6102E" w:rsidP="00D63FEB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Koszt kwalifikowalny stanowią poniższe składniki płacowe i pozapłacowe wynagrodzenia personelu, proporcjonalnie do zaangażowania pracownika w projekcie:</w:t>
      </w:r>
    </w:p>
    <w:p w14:paraId="67B74B66" w14:textId="77777777" w:rsidR="00E6102E" w:rsidRPr="00A9222B" w:rsidRDefault="00E6102E" w:rsidP="005F40CE">
      <w:pPr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wynagrodzenie zasadnicze;</w:t>
      </w:r>
    </w:p>
    <w:p w14:paraId="7DD47CDD" w14:textId="77777777" w:rsidR="00E6102E" w:rsidRPr="00A9222B" w:rsidRDefault="00E6102E" w:rsidP="005F40CE">
      <w:pPr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narzuty na wynagrodzenia po stronie pracodawcy, w tym:</w:t>
      </w:r>
    </w:p>
    <w:p w14:paraId="5BC7314E" w14:textId="77777777" w:rsidR="00E6102E" w:rsidRPr="00A9222B" w:rsidRDefault="00E6102E" w:rsidP="00E1687A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emerytalna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03BB6378" w14:textId="77777777" w:rsidR="00E6102E" w:rsidRPr="00A9222B" w:rsidRDefault="00E6102E" w:rsidP="00E1687A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rentowa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46E395CF" w14:textId="77777777" w:rsidR="00E6102E" w:rsidRPr="00A9222B" w:rsidRDefault="00E6102E" w:rsidP="00E1687A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wypadkowa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23F70E47" w14:textId="77777777" w:rsidR="00E6102E" w:rsidRPr="00A9222B" w:rsidRDefault="00E6102E" w:rsidP="00E1687A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na Fundusz Gwarantowanych Świadczeń Pracowniczych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57EB78BB" w14:textId="77777777" w:rsidR="00E6102E" w:rsidRPr="00A9222B" w:rsidRDefault="00E6102E" w:rsidP="00E1687A">
      <w:pPr>
        <w:numPr>
          <w:ilvl w:val="0"/>
          <w:numId w:val="3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na Fundusz Pracy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7F838DF3" w14:textId="77777777" w:rsidR="00E6102E" w:rsidRPr="00A9222B" w:rsidRDefault="00E6102E" w:rsidP="005F40CE">
      <w:pPr>
        <w:numPr>
          <w:ilvl w:val="0"/>
          <w:numId w:val="18"/>
        </w:numPr>
        <w:autoSpaceDE w:val="0"/>
        <w:autoSpaceDN w:val="0"/>
        <w:adjustRightInd w:val="0"/>
        <w:spacing w:before="60" w:after="0" w:line="240" w:lineRule="auto"/>
        <w:ind w:hanging="357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narzuty na wynagrodzenia po stronie pracownika, w tym:</w:t>
      </w:r>
    </w:p>
    <w:p w14:paraId="74E99251" w14:textId="77777777" w:rsidR="00E6102E" w:rsidRPr="00A9222B" w:rsidRDefault="00E6102E" w:rsidP="00E1687A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na ubezpieczenie emerytalne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3F9F351F" w14:textId="77777777" w:rsidR="00E6102E" w:rsidRPr="00A9222B" w:rsidRDefault="00E6102E" w:rsidP="00E1687A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na ubezpieczenie rentowe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59C5BE4D" w14:textId="77777777" w:rsidR="00E6102E" w:rsidRPr="00A9222B" w:rsidRDefault="00E6102E" w:rsidP="00E1687A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na ubezpieczenie chorobowe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12227A39" w14:textId="77777777" w:rsidR="00E6102E" w:rsidRPr="00A9222B" w:rsidRDefault="00E6102E" w:rsidP="00E1687A">
      <w:pPr>
        <w:numPr>
          <w:ilvl w:val="0"/>
          <w:numId w:val="3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składka zdrowotna</w:t>
      </w:r>
      <w:r w:rsidR="00813BB3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,</w:t>
      </w:r>
    </w:p>
    <w:p w14:paraId="576DBCDA" w14:textId="77777777" w:rsidR="00E552C8" w:rsidRDefault="00E6102E" w:rsidP="00E552C8">
      <w:pPr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E552C8">
        <w:rPr>
          <w:rFonts w:ascii="Times New Roman" w:eastAsia="Franklin Gothic Medium" w:hAnsi="Times New Roman" w:cs="Times New Roman"/>
          <w:color w:val="000000"/>
          <w:sz w:val="24"/>
          <w:szCs w:val="24"/>
        </w:rPr>
        <w:t>zaliczka na podatek dochodowy,</w:t>
      </w:r>
    </w:p>
    <w:p w14:paraId="01F252EF" w14:textId="77777777" w:rsidR="00E552C8" w:rsidRDefault="00E6102E" w:rsidP="00E552C8">
      <w:pPr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E552C8">
        <w:rPr>
          <w:rFonts w:ascii="Times New Roman" w:eastAsia="Franklin Gothic Medium" w:hAnsi="Times New Roman" w:cs="Times New Roman"/>
          <w:color w:val="000000"/>
          <w:sz w:val="24"/>
          <w:szCs w:val="24"/>
        </w:rPr>
        <w:t>wynagrodzenie za czas niezdolności do pracy, zgodnie z obowiązującymi przepisami w zakresie ubezpieczeń społecznych,</w:t>
      </w:r>
    </w:p>
    <w:p w14:paraId="6F63805D" w14:textId="77777777" w:rsidR="00E552C8" w:rsidRDefault="00E6102E" w:rsidP="00E552C8">
      <w:pPr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E552C8">
        <w:rPr>
          <w:rFonts w:ascii="Times New Roman" w:eastAsia="Franklin Gothic Medium" w:hAnsi="Times New Roman" w:cs="Times New Roman"/>
          <w:color w:val="000000"/>
          <w:sz w:val="24"/>
          <w:szCs w:val="24"/>
        </w:rPr>
        <w:t>wynagrodzenie za okres urlopu wypoczynkowego,</w:t>
      </w:r>
    </w:p>
    <w:p w14:paraId="14979F53" w14:textId="3A0BBD21" w:rsidR="00E6102E" w:rsidRPr="00E552C8" w:rsidRDefault="00E6102E" w:rsidP="00E552C8">
      <w:pPr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ind w:left="709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E552C8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odpisy na Zakładowy Fundusz Świadczeń Socjalnych. </w:t>
      </w:r>
    </w:p>
    <w:p w14:paraId="17C7E715" w14:textId="77777777" w:rsidR="00723A5C" w:rsidRPr="00A9222B" w:rsidRDefault="00FB6CA5" w:rsidP="00D63FEB">
      <w:pPr>
        <w:pStyle w:val="Akapitzlist"/>
        <w:numPr>
          <w:ilvl w:val="1"/>
          <w:numId w:val="30"/>
        </w:num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Z k</w:t>
      </w:r>
      <w:r w:rsidR="00CA2A13"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>osztów pośrednich mogą być finansowane poniższe wydatki</w:t>
      </w:r>
      <w:r w:rsidRPr="00A922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AF8BF62" w14:textId="77777777" w:rsidR="00354461" w:rsidRPr="00A9222B" w:rsidRDefault="00354461" w:rsidP="000E4778">
      <w:pPr>
        <w:pStyle w:val="Akapitzlist"/>
        <w:numPr>
          <w:ilvl w:val="0"/>
          <w:numId w:val="32"/>
        </w:numPr>
        <w:spacing w:before="60" w:after="0" w:line="240" w:lineRule="auto"/>
        <w:ind w:hanging="357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lastRenderedPageBreak/>
        <w:t xml:space="preserve">Koszty administracyjne, w tym: </w:t>
      </w:r>
    </w:p>
    <w:p w14:paraId="63D2F9A0" w14:textId="77777777" w:rsidR="00CE0151" w:rsidRPr="00A9222B" w:rsidRDefault="00CE0151" w:rsidP="000E4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koszty wynajmu lub utrzymania budynków, w tym: koszty wynajmu, czynszu, sprzątania i ochrony pomieszczeń,</w:t>
      </w:r>
    </w:p>
    <w:p w14:paraId="2FBF660A" w14:textId="77777777" w:rsidR="00CE0151" w:rsidRPr="00A9222B" w:rsidRDefault="00CE0151" w:rsidP="000E4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koszty utrzymania infrastruktury – koszty mediów (elektryczności, gazu, ogrzewania, wody), </w:t>
      </w:r>
    </w:p>
    <w:p w14:paraId="5CBA4B39" w14:textId="77777777" w:rsidR="00CE0151" w:rsidRPr="00A9222B" w:rsidRDefault="00CE0151" w:rsidP="000E4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usługi pocztowe, telefoniczne, internetowe, kurierskie,</w:t>
      </w:r>
    </w:p>
    <w:p w14:paraId="71E4AF62" w14:textId="77777777" w:rsidR="00CE0151" w:rsidRPr="00A9222B" w:rsidRDefault="00CE0151" w:rsidP="000E4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koszty urządzeń i sprzętu biurowego,</w:t>
      </w:r>
    </w:p>
    <w:p w14:paraId="6D292F18" w14:textId="77777777" w:rsidR="00CE0151" w:rsidRPr="00A9222B" w:rsidRDefault="00CE0151" w:rsidP="000E477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koszty ubezpieczeń majątkowych,</w:t>
      </w:r>
    </w:p>
    <w:p w14:paraId="6000AC85" w14:textId="77777777" w:rsidR="00FB6CA5" w:rsidRPr="00A9222B" w:rsidRDefault="00CE0151" w:rsidP="00EC1D3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koszty prowadzenia wyodrębnionego rachunku bankowego (prowizje i inne opłaty)</w:t>
      </w:r>
      <w:r w:rsidR="00E1687A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.</w:t>
      </w:r>
    </w:p>
    <w:p w14:paraId="14E74D73" w14:textId="77777777" w:rsidR="00FB6CA5" w:rsidRPr="00A9222B" w:rsidRDefault="007F0FEB" w:rsidP="00EC1D39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before="60" w:after="0" w:line="240" w:lineRule="auto"/>
        <w:ind w:left="709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Koszty pośrednie rozliczane są ryczałtem. </w:t>
      </w:r>
    </w:p>
    <w:p w14:paraId="0892F42C" w14:textId="77777777" w:rsidR="00CE0151" w:rsidRPr="00A9222B" w:rsidRDefault="00CE0151" w:rsidP="00EC1D39">
      <w:pPr>
        <w:pStyle w:val="Akapitzlist"/>
        <w:numPr>
          <w:ilvl w:val="1"/>
          <w:numId w:val="30"/>
        </w:numPr>
        <w:spacing w:before="60" w:after="0" w:line="240" w:lineRule="auto"/>
        <w:ind w:left="709"/>
        <w:contextualSpacing w:val="0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Wnioskodawca zobowiązany jest przedstawić we wniosku informacje pozwalające na dokonanie oceny kwalifikowalności kosztów</w:t>
      </w:r>
      <w:r w:rsidR="00CC4CD4"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bezpośrednich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>, w tym informacje odnoszące się do podstawy wyliczenia kosztów.</w:t>
      </w:r>
    </w:p>
    <w:p w14:paraId="08ADE2BA" w14:textId="77777777" w:rsidR="00860EAE" w:rsidRPr="00A9222B" w:rsidRDefault="00860EAE" w:rsidP="00EC1D39">
      <w:pPr>
        <w:spacing w:before="60" w:after="0" w:line="240" w:lineRule="auto"/>
        <w:jc w:val="both"/>
        <w:rPr>
          <w:rFonts w:ascii="Times New Roman" w:eastAsia="Franklin Gothic Medium" w:hAnsi="Times New Roman" w:cs="Times New Roman"/>
          <w:sz w:val="24"/>
          <w:szCs w:val="24"/>
        </w:rPr>
      </w:pPr>
    </w:p>
    <w:p w14:paraId="11DFA987" w14:textId="77777777" w:rsidR="00860EAE" w:rsidRPr="00A9222B" w:rsidRDefault="00860EAE" w:rsidP="005F40CE">
      <w:pPr>
        <w:pStyle w:val="Styl1"/>
      </w:pPr>
      <w:r w:rsidRPr="00A9222B">
        <w:t xml:space="preserve">Wkład własny </w:t>
      </w:r>
    </w:p>
    <w:p w14:paraId="4C775D1C" w14:textId="45354A41" w:rsidR="00860EAE" w:rsidRPr="00A9222B" w:rsidRDefault="008425BD" w:rsidP="0013204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Wnioskodawca</w:t>
      </w:r>
      <w:r w:rsidR="00EC1D39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</w:t>
      </w:r>
      <w:r w:rsidR="00860EAE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ma obowiązek wniesienia wkładu własnego w formie </w:t>
      </w:r>
      <w:r w:rsidR="00072B90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finansowej</w:t>
      </w:r>
      <w:r w:rsidR="00860EAE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w zadeklarowanej wysokości na pokrycie części kosztów kwalifikowalnych </w:t>
      </w:r>
      <w:r w:rsidR="00EC1D39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pośrednich i bezpośrednich </w:t>
      </w:r>
      <w:r w:rsidR="00860EAE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realizowan</w:t>
      </w:r>
      <w:r w:rsidR="00CC4CD4"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ego</w:t>
      </w: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 badania. </w:t>
      </w:r>
    </w:p>
    <w:p w14:paraId="4F65F129" w14:textId="2FEF9705" w:rsidR="00273ECE" w:rsidRPr="00A9222B" w:rsidRDefault="00273ECE" w:rsidP="0013204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 xml:space="preserve">Możliwe jest wykazanie wkładu własnego częściowo w kosztach bezpośrednich i pośrednich. W takim przypadku należy to uzasadnić i opisać w załączniku nr 5 do „Szczegółowych zasad (…)” – budżecie projektu. </w:t>
      </w:r>
    </w:p>
    <w:p w14:paraId="24AC8CCE" w14:textId="280DD7C4" w:rsidR="00146736" w:rsidRPr="00A9222B" w:rsidRDefault="00EC1D39" w:rsidP="008831AF">
      <w:pPr>
        <w:pStyle w:val="Akapitzlist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222B">
        <w:rPr>
          <w:rFonts w:ascii="Times New Roman" w:hAnsi="Times New Roman" w:cs="Times New Roman"/>
          <w:sz w:val="24"/>
          <w:szCs w:val="24"/>
        </w:rPr>
        <w:t xml:space="preserve">Wymagany jest </w:t>
      </w:r>
      <w:bookmarkStart w:id="1" w:name="_Hlk4504969"/>
      <w:r w:rsidRPr="00A9222B">
        <w:rPr>
          <w:rFonts w:ascii="Times New Roman" w:hAnsi="Times New Roman" w:cs="Times New Roman"/>
          <w:bCs/>
          <w:sz w:val="24"/>
          <w:szCs w:val="24"/>
        </w:rPr>
        <w:t>wkład własny</w:t>
      </w:r>
      <w:r w:rsidRPr="00A9222B">
        <w:rPr>
          <w:rFonts w:ascii="Times New Roman" w:hAnsi="Times New Roman" w:cs="Times New Roman"/>
          <w:sz w:val="24"/>
          <w:szCs w:val="24"/>
        </w:rPr>
        <w:t xml:space="preserve"> na poziomie minimum </w:t>
      </w:r>
      <w:r w:rsidRPr="00A9222B">
        <w:rPr>
          <w:rFonts w:ascii="Times New Roman" w:hAnsi="Times New Roman" w:cs="Times New Roman"/>
          <w:bCs/>
          <w:sz w:val="24"/>
          <w:szCs w:val="24"/>
        </w:rPr>
        <w:t>5%</w:t>
      </w:r>
      <w:r w:rsidRPr="00A9222B">
        <w:rPr>
          <w:rFonts w:ascii="Times New Roman" w:hAnsi="Times New Roman" w:cs="Times New Roman"/>
          <w:sz w:val="24"/>
          <w:szCs w:val="24"/>
        </w:rPr>
        <w:t xml:space="preserve"> kosztów kwalifikowalnych projektu ogółem. </w:t>
      </w:r>
      <w:bookmarkEnd w:id="1"/>
    </w:p>
    <w:p w14:paraId="1A3BD670" w14:textId="77777777" w:rsidR="00860EAE" w:rsidRPr="00A9222B" w:rsidRDefault="00860EAE" w:rsidP="0013204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color w:val="000000"/>
          <w:sz w:val="24"/>
          <w:szCs w:val="24"/>
        </w:rPr>
        <w:t>Wkład własny:</w:t>
      </w:r>
    </w:p>
    <w:p w14:paraId="049E434F" w14:textId="77777777" w:rsidR="00860EAE" w:rsidRPr="00A9222B" w:rsidRDefault="00860EAE" w:rsidP="00D63FEB">
      <w:pPr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709" w:hanging="283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powinien być skategory</w:t>
      </w:r>
      <w:r w:rsidR="008425BD" w:rsidRPr="00A9222B">
        <w:rPr>
          <w:rFonts w:ascii="Times New Roman" w:eastAsia="Franklin Gothic Medium" w:hAnsi="Times New Roman" w:cs="Times New Roman"/>
          <w:sz w:val="24"/>
          <w:szCs w:val="24"/>
        </w:rPr>
        <w:t>zowany i mieć charakter kosztów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 kwalifikow</w:t>
      </w:r>
      <w:r w:rsidR="002E36AC" w:rsidRPr="00A9222B">
        <w:rPr>
          <w:rFonts w:ascii="Times New Roman" w:eastAsia="Franklin Gothic Medium" w:hAnsi="Times New Roman" w:cs="Times New Roman"/>
          <w:sz w:val="24"/>
          <w:szCs w:val="24"/>
        </w:rPr>
        <w:t>alnych zgodnie z przewodnikiem kwalifikowalności k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>osztów,</w:t>
      </w:r>
    </w:p>
    <w:p w14:paraId="4688DF27" w14:textId="77777777" w:rsidR="00860EAE" w:rsidRPr="00A9222B" w:rsidRDefault="00860EAE" w:rsidP="00D63FEB">
      <w:pPr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709" w:hanging="283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 xml:space="preserve">podlega ocenie merytorycznej pod kątem zasadności wniesienia do </w:t>
      </w:r>
      <w:r w:rsidR="00422AF6" w:rsidRPr="00A9222B">
        <w:rPr>
          <w:rFonts w:ascii="Times New Roman" w:eastAsia="Franklin Gothic Medium" w:hAnsi="Times New Roman" w:cs="Times New Roman"/>
          <w:sz w:val="24"/>
          <w:szCs w:val="24"/>
        </w:rPr>
        <w:t>badania</w:t>
      </w:r>
      <w:r w:rsidRPr="00A9222B">
        <w:rPr>
          <w:rFonts w:ascii="Times New Roman" w:eastAsia="Franklin Gothic Medium" w:hAnsi="Times New Roman" w:cs="Times New Roman"/>
          <w:sz w:val="24"/>
          <w:szCs w:val="24"/>
        </w:rPr>
        <w:t>,</w:t>
      </w:r>
    </w:p>
    <w:p w14:paraId="0BE5B084" w14:textId="77777777" w:rsidR="00FE1AFE" w:rsidRPr="00A9222B" w:rsidRDefault="00860EAE" w:rsidP="00D63FEB">
      <w:pPr>
        <w:numPr>
          <w:ilvl w:val="0"/>
          <w:numId w:val="11"/>
        </w:numPr>
        <w:autoSpaceDE w:val="0"/>
        <w:autoSpaceDN w:val="0"/>
        <w:adjustRightInd w:val="0"/>
        <w:spacing w:before="60" w:after="0" w:line="240" w:lineRule="auto"/>
        <w:ind w:left="709" w:hanging="283"/>
        <w:jc w:val="both"/>
        <w:rPr>
          <w:rFonts w:ascii="Times New Roman" w:eastAsia="Franklin Gothic Medium" w:hAnsi="Times New Roman" w:cs="Times New Roman"/>
          <w:sz w:val="24"/>
          <w:szCs w:val="24"/>
        </w:rPr>
      </w:pPr>
      <w:r w:rsidRPr="00A9222B">
        <w:rPr>
          <w:rFonts w:ascii="Times New Roman" w:eastAsia="Franklin Gothic Medium" w:hAnsi="Times New Roman" w:cs="Times New Roman"/>
          <w:sz w:val="24"/>
          <w:szCs w:val="24"/>
        </w:rPr>
        <w:t>podlega ocenie finansowej pod względem prawidłowości, rzetelności i wiarygodności przeprowadzonej wyceny.</w:t>
      </w:r>
    </w:p>
    <w:sectPr w:rsidR="00FE1AFE" w:rsidRPr="00A9222B" w:rsidSect="00D63FE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95EB9" w14:textId="77777777" w:rsidR="00A70A78" w:rsidRDefault="00A70A78" w:rsidP="00D2214E">
      <w:pPr>
        <w:spacing w:after="0" w:line="240" w:lineRule="auto"/>
      </w:pPr>
      <w:r>
        <w:separator/>
      </w:r>
    </w:p>
  </w:endnote>
  <w:endnote w:type="continuationSeparator" w:id="0">
    <w:p w14:paraId="0B30A998" w14:textId="77777777" w:rsidR="00A70A78" w:rsidRDefault="00A70A78" w:rsidP="00D2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AB7E" w14:textId="77777777" w:rsidR="00A9222B" w:rsidRPr="00A9222B" w:rsidRDefault="00A9222B" w:rsidP="00A9222B">
    <w:pPr>
      <w:pStyle w:val="Nagwek"/>
      <w:ind w:firstLine="360"/>
      <w:jc w:val="center"/>
      <w:rPr>
        <w:rStyle w:val="Numerstrony"/>
        <w:rFonts w:ascii="Times New Roman" w:hAnsi="Times New Roman" w:cs="Times New Roman"/>
        <w:iCs/>
      </w:rPr>
    </w:pPr>
    <w:r w:rsidRPr="00A9222B">
      <w:rPr>
        <w:rStyle w:val="Numerstrony"/>
        <w:rFonts w:ascii="Times New Roman" w:hAnsi="Times New Roman" w:cs="Times New Roman"/>
        <w:iCs/>
      </w:rPr>
      <w:t xml:space="preserve">str. ….. z ……… </w:t>
    </w:r>
    <w:proofErr w:type="spellStart"/>
    <w:r w:rsidRPr="00A9222B">
      <w:rPr>
        <w:rStyle w:val="Numerstrony"/>
        <w:rFonts w:ascii="Times New Roman" w:hAnsi="Times New Roman" w:cs="Times New Roman"/>
        <w:iCs/>
      </w:rPr>
      <w:t>wyst</w:t>
    </w:r>
    <w:proofErr w:type="spellEnd"/>
    <w:r w:rsidRPr="00A9222B">
      <w:rPr>
        <w:rStyle w:val="Numerstrony"/>
        <w:rFonts w:ascii="Times New Roman" w:hAnsi="Times New Roman" w:cs="Times New Roman"/>
        <w:iCs/>
      </w:rPr>
      <w:t>. nr ……../DPR/2019 z dn. ……………….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EA815" w14:textId="231D542C" w:rsidR="009E0A63" w:rsidRDefault="009E0A63">
    <w:pPr>
      <w:pStyle w:val="Stopka"/>
    </w:pPr>
  </w:p>
  <w:p w14:paraId="6925913D" w14:textId="77777777" w:rsidR="00A9222B" w:rsidRDefault="00A922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EA30F" w14:textId="77777777" w:rsidR="00A70A78" w:rsidRDefault="00A70A78" w:rsidP="00D2214E">
      <w:pPr>
        <w:spacing w:after="0" w:line="240" w:lineRule="auto"/>
      </w:pPr>
      <w:r>
        <w:separator/>
      </w:r>
    </w:p>
  </w:footnote>
  <w:footnote w:type="continuationSeparator" w:id="0">
    <w:p w14:paraId="541F38DE" w14:textId="77777777" w:rsidR="00A70A78" w:rsidRDefault="00A70A78" w:rsidP="00D2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04B8"/>
    <w:multiLevelType w:val="hybridMultilevel"/>
    <w:tmpl w:val="1AD6E9D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98314C"/>
    <w:multiLevelType w:val="hybridMultilevel"/>
    <w:tmpl w:val="23D89E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80F"/>
    <w:multiLevelType w:val="hybridMultilevel"/>
    <w:tmpl w:val="332EEE34"/>
    <w:lvl w:ilvl="0" w:tplc="A14440CE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47E5868"/>
    <w:multiLevelType w:val="hybridMultilevel"/>
    <w:tmpl w:val="8EAE2E72"/>
    <w:lvl w:ilvl="0" w:tplc="CAD847E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48554F4"/>
    <w:multiLevelType w:val="hybridMultilevel"/>
    <w:tmpl w:val="B8C4D8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92EBD"/>
    <w:multiLevelType w:val="hybridMultilevel"/>
    <w:tmpl w:val="7DEC638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7CB7577"/>
    <w:multiLevelType w:val="hybridMultilevel"/>
    <w:tmpl w:val="9F24979E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7525"/>
    <w:multiLevelType w:val="hybridMultilevel"/>
    <w:tmpl w:val="375C56E6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63600"/>
    <w:multiLevelType w:val="hybridMultilevel"/>
    <w:tmpl w:val="B9E2B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99B"/>
    <w:multiLevelType w:val="hybridMultilevel"/>
    <w:tmpl w:val="C2920F5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2420F5"/>
    <w:multiLevelType w:val="hybridMultilevel"/>
    <w:tmpl w:val="3212601E"/>
    <w:lvl w:ilvl="0" w:tplc="CAD8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572B"/>
    <w:multiLevelType w:val="hybridMultilevel"/>
    <w:tmpl w:val="7DA823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4D1"/>
    <w:multiLevelType w:val="hybridMultilevel"/>
    <w:tmpl w:val="73F86A2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E21C14"/>
    <w:multiLevelType w:val="hybridMultilevel"/>
    <w:tmpl w:val="CA92D3F2"/>
    <w:lvl w:ilvl="0" w:tplc="CAD8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30E6B"/>
    <w:multiLevelType w:val="hybridMultilevel"/>
    <w:tmpl w:val="B8C4D8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640069"/>
    <w:multiLevelType w:val="hybridMultilevel"/>
    <w:tmpl w:val="EAA0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20154"/>
    <w:multiLevelType w:val="hybridMultilevel"/>
    <w:tmpl w:val="54C0A25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9A31A0"/>
    <w:multiLevelType w:val="hybridMultilevel"/>
    <w:tmpl w:val="D91ECCB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742A32"/>
    <w:multiLevelType w:val="hybridMultilevel"/>
    <w:tmpl w:val="0E0EA4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871DE"/>
    <w:multiLevelType w:val="hybridMultilevel"/>
    <w:tmpl w:val="579EB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1FD6"/>
    <w:multiLevelType w:val="hybridMultilevel"/>
    <w:tmpl w:val="04AEE3BA"/>
    <w:lvl w:ilvl="0" w:tplc="CAD847E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5871233"/>
    <w:multiLevelType w:val="hybridMultilevel"/>
    <w:tmpl w:val="576C5D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93C71"/>
    <w:multiLevelType w:val="hybridMultilevel"/>
    <w:tmpl w:val="165883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D74F5"/>
    <w:multiLevelType w:val="hybridMultilevel"/>
    <w:tmpl w:val="18A252B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926B11"/>
    <w:multiLevelType w:val="hybridMultilevel"/>
    <w:tmpl w:val="76CCEF00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97AC8"/>
    <w:multiLevelType w:val="hybridMultilevel"/>
    <w:tmpl w:val="A5E24EA8"/>
    <w:lvl w:ilvl="0" w:tplc="4718BB86">
      <w:start w:val="1"/>
      <w:numFmt w:val="upperRoman"/>
      <w:pStyle w:val="Styl1"/>
      <w:lvlText w:val="%1."/>
      <w:lvlJc w:val="right"/>
      <w:pPr>
        <w:ind w:left="720" w:hanging="360"/>
      </w:pPr>
    </w:lvl>
    <w:lvl w:ilvl="1" w:tplc="E244FDC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E670B"/>
    <w:multiLevelType w:val="hybridMultilevel"/>
    <w:tmpl w:val="A614D9D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810033"/>
    <w:multiLevelType w:val="hybridMultilevel"/>
    <w:tmpl w:val="818E9B96"/>
    <w:lvl w:ilvl="0" w:tplc="34DAF470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CAD847E0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6DB9281C"/>
    <w:multiLevelType w:val="hybridMultilevel"/>
    <w:tmpl w:val="D82ED5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31572"/>
    <w:multiLevelType w:val="hybridMultilevel"/>
    <w:tmpl w:val="D5E68098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F4B93"/>
    <w:multiLevelType w:val="hybridMultilevel"/>
    <w:tmpl w:val="EC367AB2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42A1B"/>
    <w:multiLevelType w:val="hybridMultilevel"/>
    <w:tmpl w:val="28C8D57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3097AA5"/>
    <w:multiLevelType w:val="hybridMultilevel"/>
    <w:tmpl w:val="AE7C74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E75AF1"/>
    <w:multiLevelType w:val="hybridMultilevel"/>
    <w:tmpl w:val="D7EE4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D11B4"/>
    <w:multiLevelType w:val="hybridMultilevel"/>
    <w:tmpl w:val="0A000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C2EC4"/>
    <w:multiLevelType w:val="hybridMultilevel"/>
    <w:tmpl w:val="C88EAB82"/>
    <w:lvl w:ilvl="0" w:tplc="3648ED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98083E"/>
    <w:multiLevelType w:val="hybridMultilevel"/>
    <w:tmpl w:val="84EE3066"/>
    <w:lvl w:ilvl="0" w:tplc="34DAF470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29"/>
  </w:num>
  <w:num w:numId="4">
    <w:abstractNumId w:val="9"/>
  </w:num>
  <w:num w:numId="5">
    <w:abstractNumId w:val="24"/>
  </w:num>
  <w:num w:numId="6">
    <w:abstractNumId w:val="31"/>
  </w:num>
  <w:num w:numId="7">
    <w:abstractNumId w:val="15"/>
  </w:num>
  <w:num w:numId="8">
    <w:abstractNumId w:val="14"/>
  </w:num>
  <w:num w:numId="9">
    <w:abstractNumId w:val="4"/>
  </w:num>
  <w:num w:numId="10">
    <w:abstractNumId w:val="35"/>
  </w:num>
  <w:num w:numId="11">
    <w:abstractNumId w:val="2"/>
  </w:num>
  <w:num w:numId="12">
    <w:abstractNumId w:val="1"/>
  </w:num>
  <w:num w:numId="13">
    <w:abstractNumId w:val="11"/>
  </w:num>
  <w:num w:numId="14">
    <w:abstractNumId w:val="33"/>
  </w:num>
  <w:num w:numId="15">
    <w:abstractNumId w:val="5"/>
  </w:num>
  <w:num w:numId="16">
    <w:abstractNumId w:val="19"/>
  </w:num>
  <w:num w:numId="17">
    <w:abstractNumId w:val="34"/>
  </w:num>
  <w:num w:numId="18">
    <w:abstractNumId w:val="30"/>
  </w:num>
  <w:num w:numId="19">
    <w:abstractNumId w:val="23"/>
  </w:num>
  <w:num w:numId="20">
    <w:abstractNumId w:val="6"/>
  </w:num>
  <w:num w:numId="21">
    <w:abstractNumId w:val="7"/>
  </w:num>
  <w:num w:numId="22">
    <w:abstractNumId w:val="0"/>
  </w:num>
  <w:num w:numId="23">
    <w:abstractNumId w:val="18"/>
  </w:num>
  <w:num w:numId="24">
    <w:abstractNumId w:val="17"/>
  </w:num>
  <w:num w:numId="25">
    <w:abstractNumId w:val="28"/>
  </w:num>
  <w:num w:numId="26">
    <w:abstractNumId w:val="25"/>
  </w:num>
  <w:num w:numId="27">
    <w:abstractNumId w:val="27"/>
  </w:num>
  <w:num w:numId="28">
    <w:abstractNumId w:val="20"/>
  </w:num>
  <w:num w:numId="29">
    <w:abstractNumId w:val="22"/>
  </w:num>
  <w:num w:numId="30">
    <w:abstractNumId w:val="32"/>
  </w:num>
  <w:num w:numId="31">
    <w:abstractNumId w:val="13"/>
  </w:num>
  <w:num w:numId="32">
    <w:abstractNumId w:val="10"/>
  </w:num>
  <w:num w:numId="33">
    <w:abstractNumId w:val="12"/>
  </w:num>
  <w:num w:numId="34">
    <w:abstractNumId w:val="26"/>
  </w:num>
  <w:num w:numId="35">
    <w:abstractNumId w:val="16"/>
  </w:num>
  <w:num w:numId="36">
    <w:abstractNumId w:val="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5E"/>
    <w:rsid w:val="000023BA"/>
    <w:rsid w:val="00072B90"/>
    <w:rsid w:val="00086AA3"/>
    <w:rsid w:val="000A7A58"/>
    <w:rsid w:val="000C055D"/>
    <w:rsid w:val="000C3115"/>
    <w:rsid w:val="000D1667"/>
    <w:rsid w:val="000E4778"/>
    <w:rsid w:val="001055CD"/>
    <w:rsid w:val="00132048"/>
    <w:rsid w:val="00146736"/>
    <w:rsid w:val="001603BA"/>
    <w:rsid w:val="001C7C4F"/>
    <w:rsid w:val="0024357E"/>
    <w:rsid w:val="00273ECE"/>
    <w:rsid w:val="00280BCF"/>
    <w:rsid w:val="002B0962"/>
    <w:rsid w:val="002E1051"/>
    <w:rsid w:val="002E36AC"/>
    <w:rsid w:val="00322C2A"/>
    <w:rsid w:val="00350595"/>
    <w:rsid w:val="00354461"/>
    <w:rsid w:val="003630BD"/>
    <w:rsid w:val="00377198"/>
    <w:rsid w:val="003A52FA"/>
    <w:rsid w:val="003A6FA1"/>
    <w:rsid w:val="003F1279"/>
    <w:rsid w:val="00417B57"/>
    <w:rsid w:val="00422AF6"/>
    <w:rsid w:val="004A1835"/>
    <w:rsid w:val="004D18C8"/>
    <w:rsid w:val="00500069"/>
    <w:rsid w:val="00517D0B"/>
    <w:rsid w:val="00561C89"/>
    <w:rsid w:val="00563A91"/>
    <w:rsid w:val="005A1BE1"/>
    <w:rsid w:val="005C4AD0"/>
    <w:rsid w:val="005D7721"/>
    <w:rsid w:val="005F40CE"/>
    <w:rsid w:val="00602594"/>
    <w:rsid w:val="00636057"/>
    <w:rsid w:val="006366DA"/>
    <w:rsid w:val="006479BA"/>
    <w:rsid w:val="00657665"/>
    <w:rsid w:val="00663643"/>
    <w:rsid w:val="0068781E"/>
    <w:rsid w:val="006B493A"/>
    <w:rsid w:val="00723A5C"/>
    <w:rsid w:val="007F0FEB"/>
    <w:rsid w:val="00813BB3"/>
    <w:rsid w:val="00815B99"/>
    <w:rsid w:val="0082371D"/>
    <w:rsid w:val="008425BD"/>
    <w:rsid w:val="00860EAE"/>
    <w:rsid w:val="008831AF"/>
    <w:rsid w:val="008E73D9"/>
    <w:rsid w:val="008E740D"/>
    <w:rsid w:val="00917BD4"/>
    <w:rsid w:val="00977969"/>
    <w:rsid w:val="009A5122"/>
    <w:rsid w:val="009A5698"/>
    <w:rsid w:val="009C7825"/>
    <w:rsid w:val="009E0A63"/>
    <w:rsid w:val="009E2234"/>
    <w:rsid w:val="009E275E"/>
    <w:rsid w:val="00A04478"/>
    <w:rsid w:val="00A70A78"/>
    <w:rsid w:val="00A82BE5"/>
    <w:rsid w:val="00A9222B"/>
    <w:rsid w:val="00AA0CDC"/>
    <w:rsid w:val="00AF2196"/>
    <w:rsid w:val="00B35C0B"/>
    <w:rsid w:val="00B97211"/>
    <w:rsid w:val="00BD0EEB"/>
    <w:rsid w:val="00BF0C67"/>
    <w:rsid w:val="00C05AF6"/>
    <w:rsid w:val="00C60B96"/>
    <w:rsid w:val="00CA2A13"/>
    <w:rsid w:val="00CA4728"/>
    <w:rsid w:val="00CC4CD4"/>
    <w:rsid w:val="00CD68DB"/>
    <w:rsid w:val="00CE0151"/>
    <w:rsid w:val="00D2214E"/>
    <w:rsid w:val="00D33859"/>
    <w:rsid w:val="00D44F7F"/>
    <w:rsid w:val="00D63FEB"/>
    <w:rsid w:val="00D70E60"/>
    <w:rsid w:val="00D9507B"/>
    <w:rsid w:val="00DD5540"/>
    <w:rsid w:val="00E11F95"/>
    <w:rsid w:val="00E1687A"/>
    <w:rsid w:val="00E40896"/>
    <w:rsid w:val="00E43E76"/>
    <w:rsid w:val="00E552C8"/>
    <w:rsid w:val="00E6102E"/>
    <w:rsid w:val="00E738FD"/>
    <w:rsid w:val="00E856F7"/>
    <w:rsid w:val="00EA0EB1"/>
    <w:rsid w:val="00EB2286"/>
    <w:rsid w:val="00EC1D39"/>
    <w:rsid w:val="00FA02E1"/>
    <w:rsid w:val="00FB6CA5"/>
    <w:rsid w:val="00FE1AFE"/>
    <w:rsid w:val="00FF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144D"/>
  <w15:docId w15:val="{27079B4F-A764-4A9B-8F4B-DBB3D80C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2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A7A58"/>
    <w:pPr>
      <w:spacing w:after="200" w:line="276" w:lineRule="auto"/>
      <w:ind w:left="720"/>
      <w:contextualSpacing/>
    </w:pPr>
    <w:rPr>
      <w:rFonts w:ascii="Calibri" w:hAnsi="Calibri"/>
      <w:sz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A7A58"/>
    <w:rPr>
      <w:rFonts w:ascii="Calibri" w:hAnsi="Calibri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1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D0"/>
  </w:style>
  <w:style w:type="paragraph" w:styleId="Stopka">
    <w:name w:val="footer"/>
    <w:basedOn w:val="Normalny"/>
    <w:link w:val="StopkaZnak"/>
    <w:uiPriority w:val="99"/>
    <w:unhideWhenUsed/>
    <w:rsid w:val="005C4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D0"/>
  </w:style>
  <w:style w:type="paragraph" w:styleId="Tekstdymka">
    <w:name w:val="Balloon Text"/>
    <w:basedOn w:val="Normalny"/>
    <w:link w:val="TekstdymkaZnak"/>
    <w:uiPriority w:val="99"/>
    <w:semiHidden/>
    <w:unhideWhenUsed/>
    <w:rsid w:val="0024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5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57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357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5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Akapitzlist"/>
    <w:link w:val="Styl1Znak"/>
    <w:qFormat/>
    <w:rsid w:val="00CA4728"/>
    <w:pPr>
      <w:numPr>
        <w:numId w:val="26"/>
      </w:numPr>
      <w:autoSpaceDE w:val="0"/>
      <w:autoSpaceDN w:val="0"/>
      <w:adjustRightInd w:val="0"/>
      <w:spacing w:before="120" w:line="240" w:lineRule="auto"/>
      <w:ind w:left="714" w:hanging="357"/>
      <w:contextualSpacing w:val="0"/>
      <w:jc w:val="both"/>
    </w:pPr>
    <w:rPr>
      <w:rFonts w:ascii="Times New Roman" w:eastAsia="Franklin Gothic Medium" w:hAnsi="Times New Roman" w:cs="Times New Roman"/>
      <w:b/>
      <w:color w:val="000000"/>
      <w:sz w:val="24"/>
      <w:szCs w:val="24"/>
    </w:rPr>
  </w:style>
  <w:style w:type="character" w:customStyle="1" w:styleId="Styl1Znak">
    <w:name w:val="Styl1 Znak"/>
    <w:basedOn w:val="AkapitzlistZnak"/>
    <w:link w:val="Styl1"/>
    <w:rsid w:val="00CA4728"/>
    <w:rPr>
      <w:rFonts w:ascii="Times New Roman" w:eastAsia="Franklin Gothic Medium" w:hAnsi="Times New Roman" w:cs="Times New Roman"/>
      <w:b/>
      <w:color w:val="000000"/>
      <w:sz w:val="24"/>
      <w:szCs w:val="24"/>
    </w:rPr>
  </w:style>
  <w:style w:type="character" w:styleId="Numerstrony">
    <w:name w:val="page number"/>
    <w:basedOn w:val="Domylnaczcionkaakapitu"/>
    <w:semiHidden/>
    <w:unhideWhenUsed/>
    <w:rsid w:val="00561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BC27-61D8-4D73-96E8-B98AE5BD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7033</Characters>
  <Application>Microsoft Office Word</Application>
  <DocSecurity>4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Pamuła</dc:creator>
  <cp:keywords/>
  <dc:description/>
  <cp:lastModifiedBy>Pamuła Natalia</cp:lastModifiedBy>
  <cp:revision>2</cp:revision>
  <cp:lastPrinted>2019-03-18T12:46:00Z</cp:lastPrinted>
  <dcterms:created xsi:type="dcterms:W3CDTF">2019-11-19T11:28:00Z</dcterms:created>
  <dcterms:modified xsi:type="dcterms:W3CDTF">2019-11-19T11:28:00Z</dcterms:modified>
</cp:coreProperties>
</file>