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9D" w14:textId="03D3CEA9" w:rsidR="00705C41" w:rsidRDefault="00B97A95" w:rsidP="001C31C4">
      <w:pPr>
        <w:ind w:firstLine="5245"/>
      </w:pPr>
      <w:r>
        <w:t xml:space="preserve">Załącznik nr </w:t>
      </w:r>
      <w:r w:rsidR="00691EE2">
        <w:t>2</w:t>
      </w:r>
      <w:r w:rsidR="00705C41">
        <w:t> </w:t>
      </w:r>
    </w:p>
    <w:p w14:paraId="4CFCD3B4" w14:textId="77777777" w:rsidR="00640B94" w:rsidRDefault="00B97A95" w:rsidP="001C31C4">
      <w:pPr>
        <w:ind w:firstLine="5245"/>
      </w:pPr>
      <w:r>
        <w:t xml:space="preserve">do </w:t>
      </w:r>
      <w:r w:rsidR="0075261B">
        <w:t>Ogłoszenia</w:t>
      </w:r>
      <w:r w:rsidR="00EC2E29">
        <w:t> </w:t>
      </w:r>
      <w:r w:rsidR="0075261B">
        <w:t>konkursu</w:t>
      </w:r>
      <w:r w:rsidR="00EC2E29">
        <w:t> </w:t>
      </w:r>
    </w:p>
    <w:p w14:paraId="49312C8D" w14:textId="6B6641F2" w:rsidR="0075261B" w:rsidRDefault="0075261B" w:rsidP="001C31C4">
      <w:pPr>
        <w:ind w:firstLine="5245"/>
      </w:pPr>
      <w:r>
        <w:t>pod nazwą</w:t>
      </w:r>
      <w:r w:rsidR="00EC2E29">
        <w:t> </w:t>
      </w:r>
      <w:r>
        <w:t>„Moc</w:t>
      </w:r>
      <w:r w:rsidR="00EC2E29">
        <w:t> </w:t>
      </w:r>
      <w:r>
        <w:t>lokalnych</w:t>
      </w:r>
      <w:r w:rsidR="00EC2E29">
        <w:t> </w:t>
      </w:r>
      <w:r>
        <w:t>inicjatyw”</w:t>
      </w:r>
      <w:r w:rsidR="00EC2E29">
        <w:t> </w:t>
      </w:r>
    </w:p>
    <w:p w14:paraId="55A3D9D5" w14:textId="316647C5" w:rsidR="003535E9" w:rsidRDefault="0075261B" w:rsidP="001C31C4">
      <w:pPr>
        <w:ind w:firstLine="5245"/>
      </w:pPr>
      <w:r>
        <w:t>– edycja 2025</w:t>
      </w:r>
    </w:p>
    <w:p w14:paraId="43AC65DC" w14:textId="44243782" w:rsidR="00B97A95" w:rsidRPr="00B97A95" w:rsidRDefault="00B97A95" w:rsidP="00B97A95">
      <w:pPr>
        <w:pStyle w:val="Nagwek1"/>
      </w:pPr>
      <w:r>
        <w:t xml:space="preserve">Zasady kwalifikowalności wydatków – budżet projektu </w:t>
      </w:r>
      <w:r w:rsidR="004921E5">
        <w:t>O</w:t>
      </w:r>
      <w:r>
        <w:t>peratora</w:t>
      </w:r>
    </w:p>
    <w:p w14:paraId="2F806202" w14:textId="59EC794E" w:rsidR="00B97A95" w:rsidRPr="00AB71AC" w:rsidRDefault="00B97A95" w:rsidP="00977A7A">
      <w:pPr>
        <w:pStyle w:val="Nagwek2"/>
        <w:numPr>
          <w:ilvl w:val="0"/>
          <w:numId w:val="16"/>
        </w:numPr>
        <w:ind w:left="454" w:hanging="454"/>
        <w:contextualSpacing w:val="0"/>
        <w:rPr>
          <w:rFonts w:ascii="Calibri" w:hAnsi="Calibri" w:cs="Calibri"/>
          <w:b w:val="0"/>
          <w:bCs w:val="0"/>
        </w:rPr>
      </w:pPr>
      <w:r w:rsidRPr="3499F53F">
        <w:rPr>
          <w:rFonts w:ascii="Calibri" w:hAnsi="Calibri" w:cs="Calibri"/>
        </w:rPr>
        <w:t xml:space="preserve">Budżet projektu </w:t>
      </w:r>
      <w:r w:rsidR="004921E5">
        <w:rPr>
          <w:rFonts w:ascii="Calibri" w:hAnsi="Calibri" w:cs="Calibri"/>
        </w:rPr>
        <w:t>O</w:t>
      </w:r>
      <w:r w:rsidRPr="3499F53F">
        <w:rPr>
          <w:rFonts w:ascii="Calibri" w:hAnsi="Calibri" w:cs="Calibri"/>
        </w:rPr>
        <w:t>peratora</w:t>
      </w:r>
    </w:p>
    <w:p w14:paraId="6B3CB732" w14:textId="3377EA9B" w:rsidR="00B97A95" w:rsidRPr="00AB71AC" w:rsidRDefault="00B97A95" w:rsidP="00B97A95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Wartość projektu to łączna wartość dofinansowania i środków własnych</w:t>
      </w:r>
      <w:r w:rsidR="798A7024" w:rsidRPr="68200993">
        <w:rPr>
          <w:rFonts w:ascii="Calibri" w:hAnsi="Calibri" w:cs="Calibri"/>
        </w:rPr>
        <w:t xml:space="preserve"> - finansowych</w:t>
      </w:r>
      <w:r w:rsidRPr="00AB71AC">
        <w:rPr>
          <w:rFonts w:ascii="Calibri" w:hAnsi="Calibri" w:cs="Calibri"/>
        </w:rPr>
        <w:t xml:space="preserve"> (środki własne, środki z innych źródeł).</w:t>
      </w:r>
    </w:p>
    <w:p w14:paraId="134CFC84" w14:textId="640D9282" w:rsidR="00B97A95" w:rsidRPr="00AB71AC" w:rsidRDefault="00B97A95" w:rsidP="00B97A95">
      <w:pPr>
        <w:rPr>
          <w:rFonts w:ascii="Calibri" w:hAnsi="Calibri" w:cs="Calibri"/>
        </w:rPr>
      </w:pPr>
      <w:r w:rsidRPr="00AB71AC">
        <w:rPr>
          <w:rStyle w:val="normaltextrun"/>
          <w:rFonts w:ascii="Calibri" w:hAnsi="Calibri" w:cs="Calibri"/>
          <w:b/>
          <w:bCs/>
          <w:color w:val="800000"/>
          <w:shd w:val="clear" w:color="auto" w:fill="FFFFFF"/>
        </w:rPr>
        <w:t>Pamiętaj!</w:t>
      </w:r>
      <w:r w:rsidRPr="00AB71A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AB71AC">
        <w:rPr>
          <w:rFonts w:ascii="Calibri" w:hAnsi="Calibri" w:cs="Calibri"/>
        </w:rPr>
        <w:t>W ramach konkursu nie jest dozwolone pobieranie przez Twoją organizację świadczeń pieniężnych od grantobiorców oraz uczestników szkoleń, warsztatów oraz</w:t>
      </w:r>
      <w:r w:rsidR="001D47DE">
        <w:rPr>
          <w:rFonts w:ascii="Calibri" w:hAnsi="Calibri" w:cs="Calibri"/>
        </w:rPr>
        <w:t> </w:t>
      </w:r>
      <w:r w:rsidRPr="00AB71AC">
        <w:rPr>
          <w:rFonts w:ascii="Calibri" w:hAnsi="Calibri" w:cs="Calibri"/>
        </w:rPr>
        <w:t>odbiorców działań animacyjnych i edukacyjnych.</w:t>
      </w:r>
    </w:p>
    <w:p w14:paraId="0B801778" w14:textId="77777777" w:rsidR="00B97A95" w:rsidRPr="00072801" w:rsidRDefault="00B97A95" w:rsidP="00B97A95">
      <w:pPr>
        <w:pStyle w:val="Nagwek3"/>
        <w:rPr>
          <w:rFonts w:ascii="Calibri" w:hAnsi="Calibri" w:cs="Calibri"/>
          <w:b w:val="0"/>
        </w:rPr>
      </w:pPr>
      <w:r w:rsidRPr="00072801">
        <w:rPr>
          <w:rFonts w:ascii="Calibri" w:hAnsi="Calibri" w:cs="Calibri"/>
        </w:rPr>
        <w:t>Wkład własny</w:t>
      </w:r>
    </w:p>
    <w:p w14:paraId="4C10FCF5" w14:textId="77777777" w:rsidR="00B97A95" w:rsidRPr="00AB71AC" w:rsidRDefault="00B97A95" w:rsidP="00B97A95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Wniesienie wkładu własnego w ramach składanych ofert nie jest wymagane. Pamiętaj jednak, że za wkład własny możesz otrzymać dodatkowe punkty.</w:t>
      </w:r>
    </w:p>
    <w:p w14:paraId="42C51CD8" w14:textId="3EFC3063" w:rsidR="00B97A95" w:rsidRPr="00AB71AC" w:rsidRDefault="00B97A95" w:rsidP="00B97A95">
      <w:pPr>
        <w:rPr>
          <w:rFonts w:ascii="Calibri" w:hAnsi="Calibri" w:cs="Calibri"/>
        </w:rPr>
      </w:pPr>
      <w:r w:rsidRPr="00AB71AC">
        <w:rPr>
          <w:rFonts w:ascii="Calibri" w:hAnsi="Calibri" w:cs="Calibri"/>
        </w:rPr>
        <w:t>W ramach wkładu własnego możesz wnieść jedynie:</w:t>
      </w:r>
    </w:p>
    <w:p w14:paraId="1EF05C25" w14:textId="77777777" w:rsidR="00B97A95" w:rsidRPr="00AB71AC" w:rsidRDefault="00B97A95" w:rsidP="00072801">
      <w:pPr>
        <w:numPr>
          <w:ilvl w:val="0"/>
          <w:numId w:val="14"/>
        </w:numPr>
        <w:ind w:left="357" w:hanging="357"/>
        <w:rPr>
          <w:rFonts w:ascii="Calibri" w:hAnsi="Calibri" w:cs="Calibri"/>
        </w:rPr>
      </w:pPr>
      <w:r w:rsidRPr="00AB71AC">
        <w:rPr>
          <w:rFonts w:ascii="Calibri" w:hAnsi="Calibri" w:cs="Calibri"/>
          <w:b/>
          <w:bCs/>
        </w:rPr>
        <w:t>wkład finansowy ze źródeł niepublicznych</w:t>
      </w:r>
      <w:r w:rsidRPr="00AB71AC">
        <w:rPr>
          <w:rFonts w:ascii="Calibri" w:hAnsi="Calibri" w:cs="Calibri"/>
        </w:rPr>
        <w:t xml:space="preserve"> – są to środki, które nie pochodzą z sektora finansów publicznych;</w:t>
      </w:r>
    </w:p>
    <w:p w14:paraId="060BAA79" w14:textId="62FADB20" w:rsidR="00B97A95" w:rsidRPr="00AB71AC" w:rsidRDefault="00B97A95" w:rsidP="00072801">
      <w:pPr>
        <w:numPr>
          <w:ilvl w:val="0"/>
          <w:numId w:val="14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  <w:b/>
          <w:bCs/>
        </w:rPr>
        <w:t>wkład finansowy ze źródeł publicznych</w:t>
      </w:r>
      <w:r w:rsidRPr="00AB71AC">
        <w:rPr>
          <w:rFonts w:ascii="Calibri" w:hAnsi="Calibri" w:cs="Calibri"/>
        </w:rPr>
        <w:t xml:space="preserve"> (innych niż PFRON)</w:t>
      </w:r>
      <w:r w:rsidR="0033471F">
        <w:rPr>
          <w:rFonts w:ascii="Calibri" w:hAnsi="Calibri" w:cs="Calibri"/>
        </w:rPr>
        <w:t>.</w:t>
      </w:r>
    </w:p>
    <w:p w14:paraId="25515EE6" w14:textId="77777777" w:rsidR="00B97A95" w:rsidRPr="00072801" w:rsidRDefault="00B97A95" w:rsidP="00B97A95">
      <w:pPr>
        <w:pStyle w:val="Nagwek3"/>
        <w:rPr>
          <w:rFonts w:ascii="Calibri" w:hAnsi="Calibri" w:cs="Calibri"/>
        </w:rPr>
      </w:pPr>
      <w:r w:rsidRPr="00072801">
        <w:rPr>
          <w:rFonts w:ascii="Calibri" w:hAnsi="Calibri" w:cs="Calibri"/>
        </w:rPr>
        <w:t>Kategorie kosztów</w:t>
      </w:r>
    </w:p>
    <w:p w14:paraId="4E59743D" w14:textId="77777777" w:rsidR="00CC795E" w:rsidRDefault="000A45CE" w:rsidP="00D97C2C">
      <w:pPr>
        <w:contextualSpacing w:val="0"/>
        <w:rPr>
          <w:rStyle w:val="normaltextrun"/>
          <w:rFonts w:ascii="Calibri" w:hAnsi="Calibri" w:cs="Calibri"/>
          <w:b/>
          <w:color w:val="800000"/>
          <w:shd w:val="clear" w:color="auto" w:fill="FFFFFF"/>
        </w:rPr>
      </w:pPr>
      <w:r w:rsidRPr="001573E8">
        <w:rPr>
          <w:rStyle w:val="normaltextrun"/>
          <w:rFonts w:ascii="Calibri" w:hAnsi="Calibri" w:cs="Calibri"/>
          <w:b/>
          <w:color w:val="800000"/>
          <w:shd w:val="clear" w:color="auto" w:fill="FFFFFF"/>
        </w:rPr>
        <w:t>Ważne!</w:t>
      </w:r>
    </w:p>
    <w:p w14:paraId="6807212E" w14:textId="3B480877" w:rsidR="00FB4A6C" w:rsidRPr="00CC795E" w:rsidRDefault="00077A18" w:rsidP="00D97C2C">
      <w:pPr>
        <w:contextualSpacing w:val="0"/>
        <w:rPr>
          <w:rFonts w:ascii="Calibri" w:hAnsi="Calibri" w:cs="Calibri"/>
        </w:rPr>
      </w:pPr>
      <w:r w:rsidRPr="00FB4A6C">
        <w:rPr>
          <w:rFonts w:ascii="Calibri" w:hAnsi="Calibri" w:cs="Calibri"/>
        </w:rPr>
        <w:t>Minimalnie 80% przyznanego dofinansowania musisz zaplanować na finansowanie grantów.</w:t>
      </w:r>
    </w:p>
    <w:p w14:paraId="3A9BA8FC" w14:textId="10430059" w:rsidR="00D97C2C" w:rsidRPr="00D97C2C" w:rsidRDefault="00D97C2C" w:rsidP="00D97C2C">
      <w:pPr>
        <w:contextualSpacing w:val="0"/>
        <w:rPr>
          <w:rFonts w:ascii="Calibri" w:hAnsi="Calibri" w:cs="Calibri"/>
        </w:rPr>
      </w:pPr>
      <w:r w:rsidRPr="00D97C2C">
        <w:rPr>
          <w:rFonts w:ascii="Calibri" w:hAnsi="Calibri" w:cs="Calibri"/>
        </w:rPr>
        <w:t>Maksymalnie 20% przyznanego dofinansowania mogą stanowić łączne koszty związane z</w:t>
      </w:r>
      <w:r w:rsidR="00CC795E">
        <w:rPr>
          <w:rFonts w:ascii="Calibri" w:hAnsi="Calibri" w:cs="Calibri"/>
        </w:rPr>
        <w:t> </w:t>
      </w:r>
      <w:r w:rsidRPr="00D97C2C">
        <w:rPr>
          <w:rFonts w:ascii="Calibri" w:hAnsi="Calibri" w:cs="Calibri"/>
        </w:rPr>
        <w:t>realizacją projektu tj. koszty merytoryczne i administracyjne, z zastrzeżeniem, że:</w:t>
      </w:r>
    </w:p>
    <w:p w14:paraId="5043079F" w14:textId="77777777" w:rsidR="00B43E1E" w:rsidRDefault="00D97C2C" w:rsidP="00072801">
      <w:pPr>
        <w:pStyle w:val="Akapitzlist"/>
        <w:numPr>
          <w:ilvl w:val="0"/>
          <w:numId w:val="29"/>
        </w:numPr>
        <w:ind w:left="357" w:hanging="357"/>
        <w:contextualSpacing w:val="0"/>
        <w:rPr>
          <w:rFonts w:ascii="Calibri" w:hAnsi="Calibri" w:cs="Calibri"/>
        </w:rPr>
      </w:pPr>
      <w:r w:rsidRPr="00B43E1E">
        <w:rPr>
          <w:rFonts w:ascii="Calibri" w:hAnsi="Calibri" w:cs="Calibri"/>
        </w:rPr>
        <w:t>koszty administracyjne związane z obsługą projektu (w tym zakup środków trwałych) nie mogą przekroczyć 10% przyznanego dofinansowania;</w:t>
      </w:r>
    </w:p>
    <w:p w14:paraId="445C978C" w14:textId="46E5FDEE" w:rsidR="00D97C2C" w:rsidRPr="00B43E1E" w:rsidRDefault="00D97C2C" w:rsidP="00072801">
      <w:pPr>
        <w:pStyle w:val="Akapitzlist"/>
        <w:numPr>
          <w:ilvl w:val="0"/>
          <w:numId w:val="29"/>
        </w:numPr>
        <w:ind w:left="357" w:hanging="357"/>
        <w:contextualSpacing w:val="0"/>
        <w:rPr>
          <w:rFonts w:ascii="Calibri" w:hAnsi="Calibri" w:cs="Calibri"/>
        </w:rPr>
      </w:pPr>
      <w:r w:rsidRPr="00B43E1E">
        <w:rPr>
          <w:rFonts w:ascii="Calibri" w:hAnsi="Calibri" w:cs="Calibri"/>
        </w:rPr>
        <w:t>koszty merytoryczne to na przykład wynagrodzenia i pochodne od wynagrodzeń dla osób zaangażowanych w realizację konkursu w makroregionie oraz działań animacyjnych i</w:t>
      </w:r>
      <w:r w:rsidR="001D47DE">
        <w:rPr>
          <w:rFonts w:ascii="Calibri" w:hAnsi="Calibri" w:cs="Calibri"/>
        </w:rPr>
        <w:t> </w:t>
      </w:r>
      <w:r w:rsidRPr="00B43E1E">
        <w:rPr>
          <w:rFonts w:ascii="Calibri" w:hAnsi="Calibri" w:cs="Calibri"/>
        </w:rPr>
        <w:t>edukacyjnych.</w:t>
      </w:r>
    </w:p>
    <w:p w14:paraId="2F2EA2BD" w14:textId="77777777" w:rsidR="00D97C2C" w:rsidRPr="00D97C2C" w:rsidRDefault="00D97C2C" w:rsidP="00A21548">
      <w:pPr>
        <w:contextualSpacing w:val="0"/>
        <w:rPr>
          <w:rFonts w:ascii="Calibri" w:hAnsi="Calibri" w:cs="Calibri"/>
        </w:rPr>
      </w:pPr>
      <w:r w:rsidRPr="00CC795E">
        <w:rPr>
          <w:rFonts w:ascii="Calibri" w:hAnsi="Calibri" w:cs="Calibri"/>
          <w:b/>
          <w:color w:val="006600"/>
        </w:rPr>
        <w:t>Przykładowo</w:t>
      </w:r>
      <w:r w:rsidRPr="00D97C2C">
        <w:rPr>
          <w:rFonts w:ascii="Calibri" w:hAnsi="Calibri" w:cs="Calibri"/>
        </w:rPr>
        <w:t>, jeżeli w budżecie projektu zaplanujesz łącznie 15% kosztów merytorycznych związanych z realizacją projektu, to wartość kosztów administracyjnych nie może przekroczyć 5% przyznanego dofinansowania.</w:t>
      </w:r>
    </w:p>
    <w:p w14:paraId="78B35DC4" w14:textId="77777777" w:rsidR="00B97A95" w:rsidRPr="00072801" w:rsidRDefault="00B97A95" w:rsidP="00B97A95">
      <w:pPr>
        <w:pStyle w:val="Nagwek3"/>
        <w:rPr>
          <w:rFonts w:ascii="Calibri" w:hAnsi="Calibri" w:cs="Calibri"/>
        </w:rPr>
      </w:pPr>
      <w:r w:rsidRPr="00072801">
        <w:rPr>
          <w:rFonts w:ascii="Calibri" w:hAnsi="Calibri" w:cs="Calibri"/>
        </w:rPr>
        <w:lastRenderedPageBreak/>
        <w:t>Koszty kwalifikowalne</w:t>
      </w:r>
    </w:p>
    <w:p w14:paraId="142112FB" w14:textId="77777777" w:rsidR="00B97A95" w:rsidRPr="00AB71AC" w:rsidRDefault="00B97A95" w:rsidP="00B97A95">
      <w:pPr>
        <w:rPr>
          <w:rFonts w:ascii="Calibri" w:hAnsi="Calibri" w:cs="Calibri"/>
        </w:rPr>
      </w:pPr>
      <w:r w:rsidRPr="00AB71AC">
        <w:rPr>
          <w:rFonts w:ascii="Calibri" w:hAnsi="Calibri" w:cs="Calibri"/>
        </w:rPr>
        <w:t>Za kwalifikowalne uznajemy koszty związane z realizacją projektu, o ile:</w:t>
      </w:r>
    </w:p>
    <w:p w14:paraId="53E1D484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są niezbędne do realizacji projektu;</w:t>
      </w:r>
    </w:p>
    <w:p w14:paraId="19A2A1AC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spełniają wymogi racjonalnego i oszczędnego gospodarowania środkami publicznymi;</w:t>
      </w:r>
    </w:p>
    <w:p w14:paraId="0F211589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zostały uwzględnione w budżecie projektu;</w:t>
      </w:r>
    </w:p>
    <w:p w14:paraId="0343D847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zostały faktycznie poniesione w okresie objętym umową zawartą pomiędzy Twoją organizacją a PFRON, w trybie i na warunkach określonych w tej umowie;</w:t>
      </w:r>
    </w:p>
    <w:p w14:paraId="5CCCD569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są poparte dowodami księgowymi i wykazane w dokumentacji finansowej Twojej organizacji;</w:t>
      </w:r>
    </w:p>
    <w:p w14:paraId="39241123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są zgodne z obowiązującymi przepisami prawa;</w:t>
      </w:r>
    </w:p>
    <w:p w14:paraId="37B23D16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nie zostały wymienione w katalogu kosztów niekwalifikowalnych.</w:t>
      </w:r>
    </w:p>
    <w:p w14:paraId="4BDE58DF" w14:textId="77777777" w:rsidR="00B97A95" w:rsidRPr="00AB71AC" w:rsidRDefault="00B97A95" w:rsidP="00B97A95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Przy dokonywaniu zakupów rekomendowane jest uwzględnianie aspektów środowiskowych oraz korzystanie z produktów polskich lub wytworzonych w Polsce.</w:t>
      </w:r>
    </w:p>
    <w:p w14:paraId="2C0441B9" w14:textId="5D449328" w:rsidR="00B97A95" w:rsidRPr="00AB71AC" w:rsidRDefault="00B97A95" w:rsidP="00B97A95">
      <w:pPr>
        <w:rPr>
          <w:rFonts w:ascii="Calibri" w:hAnsi="Calibri" w:cs="Calibri"/>
        </w:rPr>
      </w:pPr>
      <w:r w:rsidRPr="00AB71AC">
        <w:rPr>
          <w:rFonts w:ascii="Calibri" w:hAnsi="Calibri" w:cs="Calibri"/>
        </w:rPr>
        <w:t xml:space="preserve">Za kwalifikowalne uznamy jedynie granty przyznane organizacjom pozarządowym już po zawarciu przez Twoją organizację </w:t>
      </w:r>
      <w:r w:rsidR="0057188B" w:rsidRPr="00AB71AC">
        <w:rPr>
          <w:rFonts w:ascii="Calibri" w:hAnsi="Calibri" w:cs="Calibri"/>
        </w:rPr>
        <w:t xml:space="preserve">umowy </w:t>
      </w:r>
      <w:r w:rsidRPr="00AB71AC">
        <w:rPr>
          <w:rFonts w:ascii="Calibri" w:hAnsi="Calibri" w:cs="Calibri"/>
        </w:rPr>
        <w:t>z PFRON.</w:t>
      </w:r>
    </w:p>
    <w:p w14:paraId="3A5A2076" w14:textId="77777777" w:rsidR="00B97A95" w:rsidRPr="00072801" w:rsidRDefault="00B97A95" w:rsidP="00B97A95">
      <w:pPr>
        <w:pStyle w:val="Nagwek3"/>
        <w:rPr>
          <w:rFonts w:ascii="Calibri" w:hAnsi="Calibri" w:cs="Calibri"/>
        </w:rPr>
      </w:pPr>
      <w:r w:rsidRPr="00072801">
        <w:rPr>
          <w:rFonts w:ascii="Calibri" w:hAnsi="Calibri" w:cs="Calibri"/>
        </w:rPr>
        <w:t>Koszty administracyjne</w:t>
      </w:r>
    </w:p>
    <w:p w14:paraId="2E9C28EF" w14:textId="77777777" w:rsidR="00B97A95" w:rsidRPr="00AB71AC" w:rsidRDefault="00B97A95" w:rsidP="00B97A95">
      <w:pPr>
        <w:rPr>
          <w:rFonts w:ascii="Calibri" w:hAnsi="Calibri" w:cs="Calibri"/>
        </w:rPr>
      </w:pPr>
      <w:r w:rsidRPr="00AB71AC">
        <w:rPr>
          <w:rFonts w:ascii="Calibri" w:hAnsi="Calibri" w:cs="Calibri"/>
        </w:rPr>
        <w:t>Koszty administracyjne to koszty niezbędne do prawidłowej realizacji projektu, związane z obsługą projektu i jego zarządzaniem. Za kwalifikowalne uznajemy:</w:t>
      </w:r>
    </w:p>
    <w:p w14:paraId="37DB190A" w14:textId="3CAAA971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wynagrodzenia i pochodne od wynagrodzeń pracowników organizacji zaangażowanych w</w:t>
      </w:r>
      <w:r w:rsidR="0057188B">
        <w:rPr>
          <w:rFonts w:ascii="Calibri" w:hAnsi="Calibri" w:cs="Calibri"/>
          <w:sz w:val="24"/>
          <w:szCs w:val="24"/>
        </w:rPr>
        <w:t> </w:t>
      </w:r>
      <w:r w:rsidRPr="00AB71AC">
        <w:rPr>
          <w:rFonts w:ascii="Calibri" w:hAnsi="Calibri" w:cs="Calibri"/>
          <w:sz w:val="24"/>
          <w:szCs w:val="24"/>
        </w:rPr>
        <w:t>obsługę administracyjną projektu, w tym koordynatora i obsługę księgową;</w:t>
      </w:r>
    </w:p>
    <w:p w14:paraId="6B5C61A8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opłaty za telefon, Internet;</w:t>
      </w:r>
    </w:p>
    <w:p w14:paraId="521B5FBE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opłaty pocztowe;</w:t>
      </w:r>
    </w:p>
    <w:p w14:paraId="7F34E3A5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czynsz za pomieszczenia biurowe;</w:t>
      </w:r>
    </w:p>
    <w:p w14:paraId="2B0E392A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materiały biurowe;</w:t>
      </w:r>
    </w:p>
    <w:p w14:paraId="5BB3BC6D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zużycie energii elektrycznej i cieplnej;</w:t>
      </w:r>
    </w:p>
    <w:p w14:paraId="195075F8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opłaty za wodę i ścieki;</w:t>
      </w:r>
    </w:p>
    <w:p w14:paraId="3ECA72CD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koszty uzyskania kwalifikowanego podpisu elektronicznego dla osób upoważnionych do reprezentacji Oferenta i zaciągania zobowiązań finansowych, z zastrzeżeniem, iż</w:t>
      </w:r>
      <w:r>
        <w:rPr>
          <w:rFonts w:ascii="Calibri" w:hAnsi="Calibri" w:cs="Calibri"/>
          <w:sz w:val="24"/>
          <w:szCs w:val="24"/>
        </w:rPr>
        <w:t> </w:t>
      </w:r>
      <w:r w:rsidRPr="00AB71AC">
        <w:rPr>
          <w:rFonts w:ascii="Calibri" w:hAnsi="Calibri" w:cs="Calibri"/>
          <w:sz w:val="24"/>
          <w:szCs w:val="24"/>
        </w:rPr>
        <w:t>koszt może dotyczyć zakupu maksymalnie dwóch podpisów;</w:t>
      </w:r>
    </w:p>
    <w:p w14:paraId="77A2F5CA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opłaty bankowe;</w:t>
      </w:r>
    </w:p>
    <w:p w14:paraId="41BC45FC" w14:textId="77777777" w:rsidR="00B97A95" w:rsidRPr="00A055B2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t>ubezpieczenia;</w:t>
      </w:r>
    </w:p>
    <w:p w14:paraId="6ED5BB45" w14:textId="77777777" w:rsidR="00B97A95" w:rsidRPr="00AB71AC" w:rsidRDefault="00B97A95" w:rsidP="00072801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B71AC">
        <w:rPr>
          <w:rFonts w:ascii="Calibri" w:hAnsi="Calibri" w:cs="Calibri"/>
          <w:sz w:val="24"/>
          <w:szCs w:val="24"/>
        </w:rPr>
        <w:lastRenderedPageBreak/>
        <w:t>koszty wyjazdów służbowych osób zaangażowanych w realizację projektu na podstawie umowy cywilnoprawnej, pod warunkiem, że umowa ta określa zasady i sposób podróży służbowych.</w:t>
      </w:r>
    </w:p>
    <w:p w14:paraId="187E4765" w14:textId="77777777" w:rsidR="00B97A95" w:rsidRPr="00AB71AC" w:rsidRDefault="00B97A95" w:rsidP="00B97A95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Koszty administracyjne mogą zostać uznane za kwalifikowalne tylko w części bezpośrednio dotyczącej realizowanego projektu, tzn. muszą być uzasadnione realizacją projektu.</w:t>
      </w:r>
    </w:p>
    <w:p w14:paraId="3F85B4F3" w14:textId="77777777" w:rsidR="00B97A95" w:rsidRPr="00AB71AC" w:rsidRDefault="00B97A95" w:rsidP="00A42820">
      <w:pPr>
        <w:contextualSpacing w:val="0"/>
        <w:rPr>
          <w:rFonts w:ascii="Calibri" w:hAnsi="Calibri" w:cs="Calibri"/>
        </w:rPr>
      </w:pPr>
      <w:r w:rsidRPr="00A75D58">
        <w:rPr>
          <w:rStyle w:val="normaltextrun"/>
          <w:rFonts w:ascii="Calibri" w:hAnsi="Calibri" w:cs="Calibri"/>
          <w:b/>
          <w:bCs/>
          <w:color w:val="800000"/>
          <w:shd w:val="clear" w:color="auto" w:fill="FFFFFF"/>
        </w:rPr>
        <w:t>Ważne!</w:t>
      </w:r>
      <w:r w:rsidRPr="00AB71AC">
        <w:rPr>
          <w:rFonts w:ascii="Calibri" w:hAnsi="Calibri" w:cs="Calibri"/>
        </w:rPr>
        <w:t xml:space="preserve"> Konstruując budżet projektu musisz pamiętać, że jego struktura musi być spójna z planem i harmonogramem, tzn. koszty, które określisz w budżecie muszą wynikać z działań określonych w </w:t>
      </w:r>
      <w:r>
        <w:rPr>
          <w:rFonts w:ascii="Calibri" w:hAnsi="Calibri" w:cs="Calibri"/>
        </w:rPr>
        <w:t>p</w:t>
      </w:r>
      <w:r w:rsidRPr="00AB71AC">
        <w:rPr>
          <w:rFonts w:ascii="Calibri" w:hAnsi="Calibri" w:cs="Calibri"/>
        </w:rPr>
        <w:t>lanie i harmonogramie i być do nich przypisane, także liczbowo. Liczba działań lub odbiorców tych działań wskazana w Planie i harmonogramie może być wyższa, niż to wynika z kosztorysu (np. liczba uczestników spotkania organizowanego hybrydowo wskazana w Planie i harmonogramie będzie wyższa niż planowana liczba osób, które będą korzystać np. z poczęstunku).</w:t>
      </w:r>
    </w:p>
    <w:p w14:paraId="2C6F09C6" w14:textId="77777777" w:rsidR="00B97A95" w:rsidRPr="00072801" w:rsidRDefault="00B97A95" w:rsidP="00B97A95">
      <w:pPr>
        <w:pStyle w:val="Nagwek3"/>
        <w:rPr>
          <w:rFonts w:ascii="Calibri" w:hAnsi="Calibri" w:cs="Calibri"/>
        </w:rPr>
      </w:pPr>
      <w:r w:rsidRPr="00072801">
        <w:rPr>
          <w:rFonts w:ascii="Calibri" w:hAnsi="Calibri" w:cs="Calibri"/>
        </w:rPr>
        <w:t>Koszty niekwalifikowane</w:t>
      </w:r>
    </w:p>
    <w:p w14:paraId="3AD6AEF9" w14:textId="77777777" w:rsidR="00B97A95" w:rsidRPr="00AB71AC" w:rsidRDefault="00B97A95" w:rsidP="00B97A95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Tych kosztów nie uznamy w sprawozdaniu z realizacji projektu:</w:t>
      </w:r>
    </w:p>
    <w:p w14:paraId="59034938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nakłady na nabycie nieruchomości;</w:t>
      </w:r>
    </w:p>
    <w:p w14:paraId="6E1CBD1C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rezerwy na pokrycie przyszłych strat lub zobowiązań;</w:t>
      </w:r>
    </w:p>
    <w:p w14:paraId="5F8FDE38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odsetki z tytułu niezapłaconych w terminie zobowiązań;</w:t>
      </w:r>
    </w:p>
    <w:p w14:paraId="2D4CFEB5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koszty nie związane z realizacją projektu;</w:t>
      </w:r>
    </w:p>
    <w:p w14:paraId="7DD442F6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odsetki, prowizje i inne koszty pożyczek i kredytów;</w:t>
      </w:r>
    </w:p>
    <w:p w14:paraId="5319D612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koszty poniesione na przygotowanie oferty;</w:t>
      </w:r>
    </w:p>
    <w:p w14:paraId="21365060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mandaty, grzywny, opłaty, koszty sądowe i inne koszty związane z niewykonaniem lub nieterminowym wykonaniem zobowiązań przez Twoją organizację;</w:t>
      </w:r>
    </w:p>
    <w:p w14:paraId="3BB63291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odpisy amortyzacyjne (planowane i nieplanowane);</w:t>
      </w:r>
    </w:p>
    <w:p w14:paraId="57BEA749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koszty poniesione przed datą rozpoczęcia realizacji projektu oraz po dacie zakończenia realizacji projektu;</w:t>
      </w:r>
    </w:p>
    <w:p w14:paraId="482487B7" w14:textId="77777777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w przypadku kosztów osobowych personelu projektu: nagrody jubileuszowe, premie, które nie spełniają warunków określonych w niniejszym dokumencie, abonament medyczny i sportowy, dofinansowanie do zakupu okularów;</w:t>
      </w:r>
    </w:p>
    <w:p w14:paraId="5CE55F27" w14:textId="43485163" w:rsidR="00B97A95" w:rsidRPr="00AB71AC" w:rsidRDefault="00B97A95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2C30B992">
        <w:rPr>
          <w:rFonts w:ascii="Calibri" w:hAnsi="Calibri" w:cs="Calibri"/>
        </w:rPr>
        <w:t>zakup napojów alkoholowych</w:t>
      </w:r>
      <w:r w:rsidR="6971BEAA" w:rsidRPr="2C30B992">
        <w:rPr>
          <w:rFonts w:ascii="Calibri" w:hAnsi="Calibri" w:cs="Calibri"/>
        </w:rPr>
        <w:t>;</w:t>
      </w:r>
    </w:p>
    <w:p w14:paraId="3C775C69" w14:textId="7D09E7C5" w:rsidR="00B97A95" w:rsidRPr="00AB71AC" w:rsidRDefault="6971BEAA" w:rsidP="00911C0C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2C30B992">
        <w:rPr>
          <w:rFonts w:ascii="Calibri" w:hAnsi="Calibri" w:cs="Calibri"/>
        </w:rPr>
        <w:t>nagrody finansowe dla uczestników projektu.</w:t>
      </w:r>
      <w:r w:rsidR="00717339">
        <w:rPr>
          <w:rFonts w:ascii="Calibri" w:hAnsi="Calibri" w:cs="Calibri"/>
        </w:rPr>
        <w:br w:type="page"/>
      </w:r>
    </w:p>
    <w:p w14:paraId="4A20F552" w14:textId="77777777" w:rsidR="00B97A95" w:rsidRPr="00AB71AC" w:rsidRDefault="00B97A95" w:rsidP="00717339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lastRenderedPageBreak/>
        <w:t>Za niekwalifikowalne możemy również uznać koszty zatrudnienia personelu zarządzającego projektem, jeżeli:</w:t>
      </w:r>
    </w:p>
    <w:p w14:paraId="6D702813" w14:textId="77777777" w:rsidR="00B97A95" w:rsidRPr="00AB71AC" w:rsidRDefault="00B97A95" w:rsidP="00717339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realizacja projektu przebiega nieprawidłowo i powoduje opóźnienia w harmonogramie projektu;</w:t>
      </w:r>
    </w:p>
    <w:p w14:paraId="02BE4037" w14:textId="77777777" w:rsidR="00B97A95" w:rsidRPr="00AB71AC" w:rsidRDefault="00B97A95" w:rsidP="00717339">
      <w:pPr>
        <w:numPr>
          <w:ilvl w:val="0"/>
          <w:numId w:val="15"/>
        </w:numPr>
        <w:ind w:left="357" w:hanging="357"/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Twoja organizacja uchyla się od obowiązku składania na żądanie PFRON wyjaśnień oraz dokumentów źródłowych niezbędnych do zatwierdzenia sprawozdania z realizacji projektu.</w:t>
      </w:r>
    </w:p>
    <w:p w14:paraId="57B23341" w14:textId="77777777" w:rsidR="00B97A95" w:rsidRPr="00911C0C" w:rsidRDefault="00B97A95" w:rsidP="00B97A95">
      <w:pPr>
        <w:pStyle w:val="Nagwek3"/>
        <w:rPr>
          <w:rFonts w:ascii="Calibri" w:hAnsi="Calibri" w:cs="Calibri"/>
        </w:rPr>
      </w:pPr>
      <w:r w:rsidRPr="00911C0C">
        <w:rPr>
          <w:rFonts w:ascii="Calibri" w:hAnsi="Calibri" w:cs="Calibri"/>
        </w:rPr>
        <w:t>Podatek VAT</w:t>
      </w:r>
    </w:p>
    <w:p w14:paraId="6A652412" w14:textId="77777777" w:rsidR="00B97A95" w:rsidRPr="00AB71AC" w:rsidRDefault="00B97A95" w:rsidP="00A54B20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Jeżeli Twoja organizacja jest podatnikiem VAT wartość podatku VAT nie jest kosztem kwalifikowalnym. Warunku tego nie zastosujemy, jeżeli organizacja nie jest uprawniona do obniżenia kwoty podatku należnego o podatek naliczony. Brak możliwości odliczenia podatku naliczonego musi wynikać z obowiązujących przepisów prawa.</w:t>
      </w:r>
    </w:p>
    <w:p w14:paraId="4525C71E" w14:textId="77777777" w:rsidR="00B97A95" w:rsidRPr="00AB71AC" w:rsidRDefault="00B97A95" w:rsidP="00A54B20">
      <w:pPr>
        <w:contextualSpacing w:val="0"/>
        <w:rPr>
          <w:rFonts w:ascii="Calibri" w:hAnsi="Calibri" w:cs="Calibri"/>
        </w:rPr>
      </w:pPr>
      <w:r w:rsidRPr="00AB71AC">
        <w:rPr>
          <w:rFonts w:ascii="Calibri" w:hAnsi="Calibri" w:cs="Calibri"/>
        </w:rPr>
        <w:t>Jeżeli Twoja organizacja może odliczyć podatek naliczony VAT, w budżecie projektu musisz wykazać koszty w kwotach netto. Nie dotyczy to kosztów, w odniesieniu do których nie przysługuje Twojej organizacji prawo do odliczenia podatku VAT w całości lub w części.</w:t>
      </w:r>
    </w:p>
    <w:p w14:paraId="5554980C" w14:textId="77777777" w:rsidR="00B97A95" w:rsidRDefault="00B97A95" w:rsidP="00B97A95">
      <w:pPr>
        <w:rPr>
          <w:rFonts w:ascii="Calibri" w:hAnsi="Calibri" w:cs="Calibri"/>
        </w:rPr>
      </w:pPr>
      <w:r w:rsidRPr="00AB71AC">
        <w:rPr>
          <w:rFonts w:ascii="Calibri" w:hAnsi="Calibri" w:cs="Calibri"/>
        </w:rPr>
        <w:t>Jeżeli Twoja organizacja nie może odliczyć podatku naliczonego VAT w budżecie projektu, wykazujesz koszty w kwotach brutto.</w:t>
      </w:r>
    </w:p>
    <w:p w14:paraId="6E41FF91" w14:textId="0D4015BA" w:rsidR="00977A7A" w:rsidRDefault="00977A7A" w:rsidP="00977A7A">
      <w:pPr>
        <w:pStyle w:val="Nagwek3"/>
        <w:rPr>
          <w:rFonts w:ascii="Calibri" w:hAnsi="Calibri" w:cs="Calibri"/>
        </w:rPr>
      </w:pPr>
      <w:r>
        <w:rPr>
          <w:rFonts w:ascii="Calibri" w:hAnsi="Calibri" w:cs="Calibri"/>
        </w:rPr>
        <w:t>Zasada memoriałowa</w:t>
      </w:r>
    </w:p>
    <w:p w14:paraId="1996B2EF" w14:textId="1FD8CAE7" w:rsidR="00977A7A" w:rsidRPr="00977A7A" w:rsidRDefault="00977A7A" w:rsidP="00977A7A">
      <w:pPr>
        <w:rPr>
          <w:rStyle w:val="Pogrubienie"/>
          <w:b w:val="0"/>
        </w:rPr>
      </w:pPr>
      <w:r w:rsidRPr="00977A7A">
        <w:rPr>
          <w:rStyle w:val="Pogrubienie"/>
          <w:b w:val="0"/>
        </w:rPr>
        <w:t>Koszty związane z realizacją projektu kwalifikujemy z uwzględnieniem zasady memoriałowej. Zasada ta wynika z art. 6 ustawy z dnia 29 września 1994 roku o rachunkowości. Zgodnie z</w:t>
      </w:r>
      <w:r w:rsidR="00100B40">
        <w:rPr>
          <w:rStyle w:val="Pogrubienie"/>
          <w:b w:val="0"/>
        </w:rPr>
        <w:t> </w:t>
      </w:r>
      <w:r w:rsidRPr="00977A7A">
        <w:rPr>
          <w:rStyle w:val="Pogrubienie"/>
          <w:b w:val="0"/>
        </w:rPr>
        <w:t>tą</w:t>
      </w:r>
      <w:r w:rsidR="00100B40">
        <w:rPr>
          <w:rStyle w:val="Pogrubienie"/>
          <w:b w:val="0"/>
        </w:rPr>
        <w:t> </w:t>
      </w:r>
      <w:r w:rsidRPr="00977A7A">
        <w:rPr>
          <w:rStyle w:val="Pogrubienie"/>
          <w:b w:val="0"/>
        </w:rPr>
        <w:t>zasadą przychody i koszty uważa się za osiągnięte lub poniesione w momencie ich</w:t>
      </w:r>
      <w:r w:rsidR="00100B40">
        <w:rPr>
          <w:rStyle w:val="Pogrubienie"/>
          <w:b w:val="0"/>
        </w:rPr>
        <w:t> </w:t>
      </w:r>
      <w:r w:rsidRPr="00977A7A">
        <w:rPr>
          <w:rStyle w:val="Pogrubienie"/>
          <w:b w:val="0"/>
        </w:rPr>
        <w:t>wystąpienia, niezależnie od terminu ich zapłaty.</w:t>
      </w:r>
    </w:p>
    <w:p w14:paraId="2959EF82" w14:textId="77777777" w:rsidR="00B97A95" w:rsidRPr="00A54B20" w:rsidRDefault="00B97A95" w:rsidP="00B97A95">
      <w:pPr>
        <w:pStyle w:val="Nagwek3"/>
        <w:rPr>
          <w:rFonts w:ascii="Calibri" w:hAnsi="Calibri" w:cs="Calibri"/>
        </w:rPr>
      </w:pPr>
      <w:r w:rsidRPr="00A54B20">
        <w:rPr>
          <w:rFonts w:ascii="Calibri" w:hAnsi="Calibri" w:cs="Calibri"/>
        </w:rPr>
        <w:t>Wynagrodzenie pracownika z niepełnosprawnością</w:t>
      </w:r>
    </w:p>
    <w:p w14:paraId="7A461E52" w14:textId="343BE57F" w:rsidR="00B97A95" w:rsidRPr="00AF0218" w:rsidRDefault="00B97A95" w:rsidP="00A54B20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Jeżeli Twoja organizacja zatrudnia do realizacji projektu osobę z niepełnosprawnością, do dofinansowania przyjmiemy wynagrodzenie, które pomniejszymy o miesięczne dofinansowanie do wynagrodzenia tego pracownika uzyskane w ramach art. 26a ustawy o</w:t>
      </w:r>
      <w:r w:rsidR="00C61844">
        <w:rPr>
          <w:rFonts w:ascii="Calibri" w:hAnsi="Calibri" w:cs="Calibri"/>
        </w:rPr>
        <w:t> </w:t>
      </w:r>
      <w:r w:rsidRPr="00AF0218">
        <w:rPr>
          <w:rFonts w:ascii="Calibri" w:hAnsi="Calibri" w:cs="Calibri"/>
        </w:rPr>
        <w:t>rehabilitacji.</w:t>
      </w:r>
    </w:p>
    <w:p w14:paraId="6F0636A8" w14:textId="7DAED22D" w:rsidR="00B97A95" w:rsidRPr="00AF0218" w:rsidRDefault="00B97A95" w:rsidP="00A54B20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Weźmiemy pod uwagę jaki jest udział części etatu pracownika w projekcie do wymiaru etatu, na który Twoja organizacja otrzymała dofinansowanie w ramach art. 26a ustawy o</w:t>
      </w:r>
      <w:r w:rsidR="00C61844">
        <w:rPr>
          <w:rFonts w:ascii="Calibri" w:hAnsi="Calibri" w:cs="Calibri"/>
        </w:rPr>
        <w:t> </w:t>
      </w:r>
      <w:r w:rsidRPr="00AF0218">
        <w:rPr>
          <w:rFonts w:ascii="Calibri" w:hAnsi="Calibri" w:cs="Calibri"/>
        </w:rPr>
        <w:t>rehabilitacji.</w:t>
      </w:r>
    </w:p>
    <w:p w14:paraId="5C6BC96F" w14:textId="77777777" w:rsidR="00B97A95" w:rsidRPr="00AF0218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Koszty wynagrodzenia pracownika z niepełnosprawnością zweryfikujemy według następującego wzoru:</w:t>
      </w:r>
    </w:p>
    <w:p w14:paraId="24AD0FA4" w14:textId="77777777" w:rsidR="00AF4B1E" w:rsidRPr="00244BCB" w:rsidRDefault="0009066E" w:rsidP="005C7635">
      <w:pPr>
        <w:contextualSpacing w:val="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RW=KW-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X÷A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×B</m:t>
              </m:r>
            </m:e>
          </m:d>
        </m:oMath>
      </m:oMathPara>
    </w:p>
    <w:p w14:paraId="72AF5D7A" w14:textId="77777777" w:rsidR="00B97A95" w:rsidRPr="00AF0218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RW – rozliczenie kwoty wynagrodzenia w projekcie</w:t>
      </w:r>
    </w:p>
    <w:p w14:paraId="4CA1F8CC" w14:textId="31033FFC" w:rsidR="00B97A95" w:rsidRPr="00AF0218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lastRenderedPageBreak/>
        <w:t>KW – kwota wynagrodzenia w projekcie (za tę część etatu, która wynika z zaangażowania w</w:t>
      </w:r>
      <w:r w:rsidR="00CE1C8B">
        <w:rPr>
          <w:rFonts w:ascii="Calibri" w:hAnsi="Calibri" w:cs="Calibri"/>
        </w:rPr>
        <w:t> </w:t>
      </w:r>
      <w:r w:rsidRPr="00AF0218">
        <w:rPr>
          <w:rFonts w:ascii="Calibri" w:hAnsi="Calibri" w:cs="Calibri"/>
        </w:rPr>
        <w:t>realizację projektu)</w:t>
      </w:r>
    </w:p>
    <w:p w14:paraId="7CD27E1A" w14:textId="77777777" w:rsidR="00B97A95" w:rsidRPr="00AF0218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X – wymiar etatu w projekcie</w:t>
      </w:r>
    </w:p>
    <w:p w14:paraId="323C9D0A" w14:textId="77777777" w:rsidR="00B97A95" w:rsidRPr="00AF0218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A – wymiar etatu, na który uzyskano dofinansowanie w ramach art. 26 ustawy o rehabilitacji</w:t>
      </w:r>
    </w:p>
    <w:p w14:paraId="5A614A32" w14:textId="41B19173" w:rsidR="00B97A95" w:rsidRDefault="00B97A95" w:rsidP="005C7635">
      <w:pPr>
        <w:contextualSpacing w:val="0"/>
        <w:rPr>
          <w:rFonts w:ascii="Calibri" w:hAnsi="Calibri" w:cs="Calibri"/>
        </w:rPr>
      </w:pPr>
      <w:r w:rsidRPr="00AF0218">
        <w:rPr>
          <w:rFonts w:ascii="Calibri" w:hAnsi="Calibri" w:cs="Calibri"/>
        </w:rPr>
        <w:t>B – faktycznie uzyskana kwota dofinansowania w ramach art. 26 ustawy o rehabilitacji.</w:t>
      </w:r>
    </w:p>
    <w:p w14:paraId="48A86DA3" w14:textId="73C98DD5" w:rsidR="00B97A95" w:rsidRDefault="00B97A95" w:rsidP="000C370A">
      <w:pPr>
        <w:pStyle w:val="Nagwek2"/>
        <w:numPr>
          <w:ilvl w:val="0"/>
          <w:numId w:val="16"/>
        </w:numPr>
        <w:ind w:left="454" w:hanging="454"/>
        <w:contextualSpacing w:val="0"/>
        <w:rPr>
          <w:rFonts w:ascii="Calibri" w:hAnsi="Calibri" w:cs="Calibri"/>
        </w:rPr>
      </w:pPr>
      <w:r w:rsidRPr="00B97A95">
        <w:rPr>
          <w:rFonts w:ascii="Calibri" w:hAnsi="Calibri" w:cs="Calibri"/>
        </w:rPr>
        <w:t>Powierzenie wykonania usług wykonawcy zewnętrznemu</w:t>
      </w:r>
    </w:p>
    <w:p w14:paraId="05047061" w14:textId="77777777" w:rsidR="00B97A95" w:rsidRDefault="00B97A95" w:rsidP="00B97A95">
      <w:pPr>
        <w:contextualSpacing w:val="0"/>
      </w:pPr>
      <w:r>
        <w:t>Jeżeli Twoja organizacja nie może samodzielnie wykonać usług w projekcie może powierzyć ich wykonanie wykonawcy zewnętrznemu. Pamiętaj, że musi to nastąpić na podstawie pisemnie zawartej umowy, a także że dopuszczamy tylko jeden poziom zlecania usługi.</w:t>
      </w:r>
    </w:p>
    <w:p w14:paraId="58489781" w14:textId="68E71B05" w:rsidR="00B97A95" w:rsidRDefault="00B97A95" w:rsidP="00B97A95">
      <w:pPr>
        <w:contextualSpacing w:val="0"/>
      </w:pPr>
      <w:r>
        <w:t>„Powierzenie wykonania usługi wykonawcy zewnętrznemu” oznacza, że podmiot prowadzący działalność gospodarczą otrzyma zlecenie na wykonanie usługi i będzie to zlecenie realizować przy pomocy swoich pracowników.</w:t>
      </w:r>
    </w:p>
    <w:p w14:paraId="7BC4B961" w14:textId="77777777" w:rsidR="00B97A95" w:rsidRDefault="00B97A95" w:rsidP="00B97A95">
      <w:pPr>
        <w:contextualSpacing w:val="0"/>
      </w:pPr>
      <w:r w:rsidRPr="009A37AF">
        <w:rPr>
          <w:b/>
          <w:bCs/>
          <w:color w:val="800000"/>
        </w:rPr>
        <w:t>Ważne!</w:t>
      </w:r>
      <w:r w:rsidRPr="00CC2F63">
        <w:t xml:space="preserve"> </w:t>
      </w:r>
      <w:r w:rsidRPr="00664DA9">
        <w:t xml:space="preserve">Definicja </w:t>
      </w:r>
      <w:r>
        <w:t xml:space="preserve">ta </w:t>
      </w:r>
      <w:r w:rsidRPr="00664DA9">
        <w:t>obejmuje zarówno usługi merytoryczne, jak również usługi, których wykonanie nie jest związane z działaniami merytorycznymi w projekcie.</w:t>
      </w:r>
    </w:p>
    <w:p w14:paraId="4508B141" w14:textId="76D08CFA" w:rsidR="00B97A95" w:rsidRPr="00160F1E" w:rsidRDefault="00B97A95" w:rsidP="00D16360">
      <w:pPr>
        <w:contextualSpacing w:val="0"/>
      </w:pPr>
      <w:r w:rsidRPr="00CF63EC">
        <w:rPr>
          <w:rFonts w:ascii="Calibri" w:hAnsi="Calibri"/>
          <w:b/>
          <w:bCs/>
          <w:color w:val="800000"/>
        </w:rPr>
        <w:t>Uwaga!</w:t>
      </w:r>
      <w:r w:rsidRPr="00CC2F63">
        <w:t xml:space="preserve"> </w:t>
      </w:r>
      <w:r w:rsidRPr="00160F1E">
        <w:t>Zapisów rozdziału II nie stosujesz w przypadku zamówień, które dotyczą</w:t>
      </w:r>
      <w:r w:rsidR="00691EE2">
        <w:t xml:space="preserve"> realizacji zadań wykonywanych </w:t>
      </w:r>
      <w:r w:rsidR="00002892">
        <w:t xml:space="preserve">przez </w:t>
      </w:r>
      <w:r w:rsidR="00951B92">
        <w:t>personel administracyjny lub merytoryczny</w:t>
      </w:r>
      <w:r w:rsidR="00A232C8">
        <w:t xml:space="preserve"> projektu</w:t>
      </w:r>
      <w:r w:rsidR="00691EE2">
        <w:t>.</w:t>
      </w:r>
    </w:p>
    <w:p w14:paraId="71138228" w14:textId="77777777" w:rsidR="00B97A95" w:rsidRPr="00D16360" w:rsidRDefault="00B97A95" w:rsidP="00B97A95">
      <w:pPr>
        <w:pStyle w:val="Nagwek3"/>
        <w:rPr>
          <w:rFonts w:ascii="Calibri" w:hAnsi="Calibri" w:cs="Calibri"/>
        </w:rPr>
      </w:pPr>
      <w:bookmarkStart w:id="0" w:name="_Toc170817697"/>
      <w:r w:rsidRPr="00D16360">
        <w:rPr>
          <w:rFonts w:ascii="Calibri" w:hAnsi="Calibri" w:cs="Calibri"/>
        </w:rPr>
        <w:t>Co nie jest usługą merytoryczną</w:t>
      </w:r>
      <w:bookmarkEnd w:id="0"/>
    </w:p>
    <w:p w14:paraId="14753F08" w14:textId="77777777" w:rsidR="00B97A95" w:rsidRPr="00664DA9" w:rsidRDefault="00B97A95" w:rsidP="001275B4">
      <w:pPr>
        <w:contextualSpacing w:val="0"/>
      </w:pPr>
      <w:r>
        <w:t>Usługą merytoryczną nie jest</w:t>
      </w:r>
      <w:r w:rsidRPr="00664DA9">
        <w:t>:</w:t>
      </w:r>
    </w:p>
    <w:p w14:paraId="70FFCB2D" w14:textId="2A90127B" w:rsidR="00B97A95" w:rsidRPr="002A75E1" w:rsidRDefault="00B97A95" w:rsidP="00B97A95">
      <w:pPr>
        <w:numPr>
          <w:ilvl w:val="0"/>
          <w:numId w:val="24"/>
        </w:numPr>
        <w:ind w:left="357" w:hanging="357"/>
        <w:contextualSpacing w:val="0"/>
      </w:pPr>
      <w:r w:rsidRPr="002A75E1">
        <w:t>zakup pojedynczych towarów lub usług (</w:t>
      </w:r>
      <w:r>
        <w:t xml:space="preserve">na przykład: </w:t>
      </w:r>
      <w:r w:rsidRPr="002A75E1">
        <w:t xml:space="preserve">cateringowych, hotelowych poligraficznych, </w:t>
      </w:r>
      <w:r>
        <w:t xml:space="preserve">transportowych, </w:t>
      </w:r>
      <w:r w:rsidRPr="002A75E1">
        <w:t xml:space="preserve">wynajem </w:t>
      </w:r>
      <w:r>
        <w:t>s</w:t>
      </w:r>
      <w:r w:rsidRPr="002A75E1">
        <w:t>ali), chyba że stanowią one część powierzonej usługi merytorycznej;</w:t>
      </w:r>
    </w:p>
    <w:p w14:paraId="4373FF1F" w14:textId="77777777" w:rsidR="00B97A95" w:rsidRPr="002A75E1" w:rsidRDefault="00B97A95" w:rsidP="00A42820">
      <w:pPr>
        <w:numPr>
          <w:ilvl w:val="0"/>
          <w:numId w:val="24"/>
        </w:numPr>
        <w:ind w:left="357" w:hanging="357"/>
        <w:contextualSpacing w:val="0"/>
      </w:pPr>
      <w:r w:rsidRPr="36B7CFD7">
        <w:rPr>
          <w:rFonts w:cstheme="minorBidi"/>
          <w:color w:val="000000" w:themeColor="text1"/>
        </w:rPr>
        <w:t>usługa księgowo-kadrowa zlecona do biura rachunkowego.</w:t>
      </w:r>
    </w:p>
    <w:p w14:paraId="540F2A58" w14:textId="77777777" w:rsidR="00B97A95" w:rsidRPr="001275B4" w:rsidRDefault="00B97A95" w:rsidP="00B97A95">
      <w:pPr>
        <w:pStyle w:val="Nagwek3"/>
        <w:rPr>
          <w:rFonts w:ascii="Calibri" w:hAnsi="Calibri" w:cs="Calibri"/>
        </w:rPr>
      </w:pPr>
      <w:bookmarkStart w:id="1" w:name="_Toc170817698"/>
      <w:r w:rsidRPr="001275B4">
        <w:rPr>
          <w:rFonts w:ascii="Calibri" w:hAnsi="Calibri" w:cs="Calibri"/>
        </w:rPr>
        <w:t>Wyłączenia kapitałowe i osobowe</w:t>
      </w:r>
      <w:bookmarkEnd w:id="1"/>
    </w:p>
    <w:p w14:paraId="64D842E4" w14:textId="77777777" w:rsidR="00B97A95" w:rsidRDefault="00B97A95" w:rsidP="00B97A95">
      <w:r>
        <w:t xml:space="preserve">Nie możesz powierzyć </w:t>
      </w:r>
      <w:r w:rsidRPr="005B1ED5">
        <w:t>usług</w:t>
      </w:r>
      <w:r>
        <w:t>i</w:t>
      </w:r>
      <w:r w:rsidRPr="005B1ED5">
        <w:t xml:space="preserve"> podmiotom</w:t>
      </w:r>
      <w:r>
        <w:t>, które są</w:t>
      </w:r>
      <w:r w:rsidRPr="005B1ED5">
        <w:t xml:space="preserve"> powiązan</w:t>
      </w:r>
      <w:r>
        <w:t>e</w:t>
      </w:r>
      <w:r w:rsidRPr="005B1ED5">
        <w:t xml:space="preserve"> osobowo lub kapitałowo</w:t>
      </w:r>
      <w:r>
        <w:t xml:space="preserve"> z:</w:t>
      </w:r>
    </w:p>
    <w:p w14:paraId="578B0542" w14:textId="77777777" w:rsidR="00B97A95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865BC8">
        <w:rPr>
          <w:rFonts w:cstheme="minorHAnsi"/>
        </w:rPr>
        <w:t>Twoją organizacją</w:t>
      </w:r>
      <w:r>
        <w:rPr>
          <w:rFonts w:cstheme="minorHAnsi"/>
        </w:rPr>
        <w:t>;</w:t>
      </w:r>
      <w:r w:rsidRPr="00865BC8">
        <w:rPr>
          <w:rFonts w:cstheme="minorHAnsi"/>
        </w:rPr>
        <w:t xml:space="preserve"> lub</w:t>
      </w:r>
    </w:p>
    <w:p w14:paraId="0B55AC6A" w14:textId="77777777" w:rsidR="00B97A95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865BC8">
        <w:rPr>
          <w:rFonts w:cstheme="minorHAnsi"/>
        </w:rPr>
        <w:t>osobami upoważnionymi do zaciągania zobowiązań w imieniu Twojej organizacji</w:t>
      </w:r>
      <w:r>
        <w:rPr>
          <w:rFonts w:cstheme="minorHAnsi"/>
        </w:rPr>
        <w:t>;</w:t>
      </w:r>
      <w:r w:rsidRPr="00865BC8">
        <w:rPr>
          <w:rFonts w:cstheme="minorHAnsi"/>
        </w:rPr>
        <w:t xml:space="preserve"> lub</w:t>
      </w:r>
    </w:p>
    <w:p w14:paraId="70C42683" w14:textId="77777777" w:rsidR="00B97A95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865BC8">
        <w:rPr>
          <w:rFonts w:cstheme="minorHAnsi"/>
        </w:rPr>
        <w:t>osobami wykonującymi w imieniu Twojej organizacji czynności związane z przygotowaniem i przeprowadzeniem procedury wyboru wykonawcy.</w:t>
      </w:r>
    </w:p>
    <w:p w14:paraId="30065EC9" w14:textId="77777777" w:rsidR="00B97A95" w:rsidRPr="005B1ED5" w:rsidRDefault="00B97A95" w:rsidP="00234996">
      <w:pPr>
        <w:contextualSpacing w:val="0"/>
      </w:pPr>
      <w:r>
        <w:t xml:space="preserve">„Powiązanie osobowe lub kapitałowe” oznacza </w:t>
      </w:r>
      <w:r w:rsidRPr="005B1ED5">
        <w:t>w szczególności:</w:t>
      </w:r>
    </w:p>
    <w:p w14:paraId="7F6F0DC5" w14:textId="77777777" w:rsidR="00B97A95" w:rsidRPr="002A75E1" w:rsidRDefault="00B97A95" w:rsidP="00B97A95">
      <w:pPr>
        <w:numPr>
          <w:ilvl w:val="0"/>
          <w:numId w:val="25"/>
        </w:numPr>
        <w:ind w:left="357" w:hanging="357"/>
        <w:contextualSpacing w:val="0"/>
      </w:pPr>
      <w:r w:rsidRPr="002A75E1">
        <w:t>uczestnictwo w spółce jako wspólnik spółki cywilnej lub spółki osobowej;</w:t>
      </w:r>
    </w:p>
    <w:p w14:paraId="62704D14" w14:textId="77777777" w:rsidR="00B97A95" w:rsidRPr="002A75E1" w:rsidRDefault="00B97A95" w:rsidP="00B97A95">
      <w:pPr>
        <w:numPr>
          <w:ilvl w:val="0"/>
          <w:numId w:val="25"/>
        </w:numPr>
        <w:ind w:left="357" w:hanging="357"/>
        <w:contextualSpacing w:val="0"/>
      </w:pPr>
      <w:r w:rsidRPr="002A75E1">
        <w:t>posiadanie udziałów lub co najmniej 10% akcji;</w:t>
      </w:r>
    </w:p>
    <w:p w14:paraId="0949E4B1" w14:textId="77777777" w:rsidR="00B97A95" w:rsidRPr="002A75E1" w:rsidRDefault="00B97A95" w:rsidP="00B97A95">
      <w:pPr>
        <w:numPr>
          <w:ilvl w:val="0"/>
          <w:numId w:val="25"/>
        </w:numPr>
        <w:ind w:left="357" w:hanging="357"/>
        <w:contextualSpacing w:val="0"/>
      </w:pPr>
      <w:r w:rsidRPr="002A75E1">
        <w:lastRenderedPageBreak/>
        <w:t>pełnienie funkcji członka organu nadzorczego lub zarządzającego, prokurenta, pełnomocnika;</w:t>
      </w:r>
    </w:p>
    <w:p w14:paraId="72D70768" w14:textId="0F7B9217" w:rsidR="00B97A95" w:rsidRPr="002A75E1" w:rsidRDefault="00B97A95" w:rsidP="00B97A95">
      <w:pPr>
        <w:numPr>
          <w:ilvl w:val="0"/>
          <w:numId w:val="25"/>
        </w:numPr>
        <w:ind w:left="357" w:hanging="357"/>
        <w:contextualSpacing w:val="0"/>
      </w:pPr>
      <w:r w:rsidRPr="002A75E1">
        <w:t>pozostawanie w związku małżeńskim, w stosunku pokrewieństwa lub powinowactwa w</w:t>
      </w:r>
      <w:r w:rsidR="00FB612E">
        <w:t> </w:t>
      </w:r>
      <w:r w:rsidRPr="002A75E1">
        <w:t>linii prostej, pokrewieństwa lub powinowactwa w linii bocznej do drugiego stopnia lub w stosunku przysposobienia, opieki lub kurateli.</w:t>
      </w:r>
    </w:p>
    <w:p w14:paraId="3E4407F5" w14:textId="77777777" w:rsidR="00B97A95" w:rsidRDefault="00B97A95" w:rsidP="00234996">
      <w:pPr>
        <w:contextualSpacing w:val="0"/>
      </w:pPr>
      <w:r w:rsidRPr="009A37AF">
        <w:rPr>
          <w:b/>
          <w:bCs/>
          <w:color w:val="800000"/>
        </w:rPr>
        <w:t>Ważne!</w:t>
      </w:r>
      <w:r>
        <w:t xml:space="preserve"> </w:t>
      </w:r>
      <w:r w:rsidRPr="00865BC8">
        <w:t xml:space="preserve">Wyłączenia osobowe i kapitałowe </w:t>
      </w:r>
      <w:r>
        <w:t xml:space="preserve">stosujemy </w:t>
      </w:r>
      <w:r w:rsidRPr="00865BC8">
        <w:t>zarówno do usług merytorycznych, jak również usług, których wykonanie nie jest związane z działaniami merytorycznymi w</w:t>
      </w:r>
      <w:r>
        <w:t> </w:t>
      </w:r>
      <w:r w:rsidRPr="00865BC8">
        <w:t>projekcie.</w:t>
      </w:r>
    </w:p>
    <w:p w14:paraId="2EF332A0" w14:textId="77777777" w:rsidR="00B97A95" w:rsidRDefault="00B97A95" w:rsidP="00B97A95">
      <w:r>
        <w:t>Nie musisz stosować wyłączeń osobowych i kapitałowych, jeżeli powierzysz realizację usługi podmiotowi działającemu non profit.</w:t>
      </w:r>
      <w:bookmarkStart w:id="2" w:name="_Toc170817699"/>
    </w:p>
    <w:p w14:paraId="2DD53720" w14:textId="42E9DF52" w:rsidR="00B97A95" w:rsidRPr="00234996" w:rsidRDefault="00B97A95" w:rsidP="00B97A95">
      <w:pPr>
        <w:pStyle w:val="Nagwek3"/>
        <w:rPr>
          <w:rFonts w:ascii="Calibri" w:hAnsi="Calibri" w:cs="Calibri"/>
        </w:rPr>
      </w:pPr>
      <w:r w:rsidRPr="00234996">
        <w:rPr>
          <w:rFonts w:ascii="Calibri" w:hAnsi="Calibri" w:cs="Calibri"/>
        </w:rPr>
        <w:t>Rozeznanie rynku</w:t>
      </w:r>
      <w:bookmarkEnd w:id="2"/>
    </w:p>
    <w:p w14:paraId="67B086B0" w14:textId="77777777" w:rsidR="00B97A95" w:rsidRDefault="00B97A95" w:rsidP="00234996">
      <w:pPr>
        <w:contextualSpacing w:val="0"/>
      </w:pPr>
      <w:bookmarkStart w:id="3" w:name="_Hlk75438559"/>
      <w:r>
        <w:t xml:space="preserve">Jeżeli </w:t>
      </w:r>
      <w:r w:rsidRPr="00865BC8">
        <w:t xml:space="preserve">wartość usługi nie przekracza kwoty </w:t>
      </w:r>
      <w:r>
        <w:t xml:space="preserve">40 000,00 </w:t>
      </w:r>
      <w:r w:rsidRPr="00707250">
        <w:t xml:space="preserve">złotych </w:t>
      </w:r>
      <w:r w:rsidRPr="00865BC8">
        <w:t xml:space="preserve">netto </w:t>
      </w:r>
      <w:r>
        <w:t xml:space="preserve">– Twoja organizacja musi dołożyć </w:t>
      </w:r>
      <w:r w:rsidRPr="00865BC8">
        <w:t>należytej staranności, aby wydatkowanie środków PFRON nastąpiło w sposób przejrzysty, racjonalny i efektywny.</w:t>
      </w:r>
    </w:p>
    <w:p w14:paraId="7A2BF363" w14:textId="77777777" w:rsidR="00B97A95" w:rsidRDefault="00B97A95" w:rsidP="00234996">
      <w:pPr>
        <w:contextualSpacing w:val="0"/>
      </w:pPr>
      <w:r w:rsidRPr="005003D3">
        <w:t xml:space="preserve">Jeżeli wartość usługi </w:t>
      </w:r>
      <w:r w:rsidRPr="00865BC8">
        <w:t xml:space="preserve">przekracza kwotę </w:t>
      </w:r>
      <w:r>
        <w:t xml:space="preserve">40 000,00 </w:t>
      </w:r>
      <w:r w:rsidRPr="00707250">
        <w:t xml:space="preserve">złotych </w:t>
      </w:r>
      <w:r w:rsidRPr="00865BC8">
        <w:t xml:space="preserve">netto, ale nie przekracza kwoty </w:t>
      </w:r>
      <w:r w:rsidRPr="00A42820">
        <w:t>130 000,00 złotych netto –</w:t>
      </w:r>
      <w:r w:rsidRPr="00865BC8">
        <w:t xml:space="preserve"> </w:t>
      </w:r>
      <w:r w:rsidRPr="005003D3">
        <w:t xml:space="preserve">Twoja organizacja musi </w:t>
      </w:r>
      <w:r>
        <w:t>dokonać</w:t>
      </w:r>
      <w:r w:rsidRPr="00865BC8">
        <w:t xml:space="preserve"> tzw.</w:t>
      </w:r>
      <w:r>
        <w:t xml:space="preserve"> </w:t>
      </w:r>
      <w:r w:rsidRPr="00865BC8">
        <w:t>rozeznania rynku</w:t>
      </w:r>
      <w:r>
        <w:t>.</w:t>
      </w:r>
    </w:p>
    <w:p w14:paraId="03251AEC" w14:textId="77777777" w:rsidR="00B97A95" w:rsidRDefault="00B97A95" w:rsidP="00234996">
      <w:pPr>
        <w:contextualSpacing w:val="0"/>
      </w:pPr>
      <w:r>
        <w:t xml:space="preserve">„Rozeznanie rynku” oznacza, że musisz zamieścić </w:t>
      </w:r>
      <w:r w:rsidRPr="00865BC8">
        <w:t>zapytanie ofertowe na stronie internetowej lub wysłać je do co najmniej trzech wykonawców i porównać oferty.</w:t>
      </w:r>
    </w:p>
    <w:p w14:paraId="4186903F" w14:textId="77777777" w:rsidR="00B97A95" w:rsidRDefault="00B97A95" w:rsidP="00D674C6">
      <w:pPr>
        <w:contextualSpacing w:val="0"/>
      </w:pPr>
      <w:r>
        <w:t xml:space="preserve">Wybór </w:t>
      </w:r>
      <w:r w:rsidRPr="00865BC8">
        <w:t>najkorzystniejsz</w:t>
      </w:r>
      <w:r>
        <w:t>ej</w:t>
      </w:r>
      <w:r w:rsidRPr="00865BC8">
        <w:t xml:space="preserve"> ofert</w:t>
      </w:r>
      <w:r>
        <w:t xml:space="preserve">y możesz również potwierdzić, jeżeli </w:t>
      </w:r>
      <w:r w:rsidRPr="00865BC8">
        <w:t>przedstawi</w:t>
      </w:r>
      <w:r>
        <w:t>sz</w:t>
      </w:r>
      <w:r w:rsidRPr="00865BC8">
        <w:t xml:space="preserve"> wydruki ze stron internetowych z cenami i opisami usług</w:t>
      </w:r>
      <w:r>
        <w:t xml:space="preserve">. Pamiętaj, jednak, że możesz to zastosować, jeżeli </w:t>
      </w:r>
      <w:r w:rsidRPr="00865BC8">
        <w:t>nikt nie odpowiedział na zapytanie zamieszczone na stronie lub wysłane do wykonawców.</w:t>
      </w:r>
      <w:bookmarkEnd w:id="3"/>
    </w:p>
    <w:p w14:paraId="6258A9C9" w14:textId="33A8F45D" w:rsidR="00B97A95" w:rsidRPr="00865BC8" w:rsidRDefault="00B97A95" w:rsidP="00D674C6">
      <w:pPr>
        <w:contextualSpacing w:val="0"/>
      </w:pPr>
      <w:r w:rsidRPr="00921E05">
        <w:rPr>
          <w:b/>
          <w:bCs/>
          <w:color w:val="800000"/>
        </w:rPr>
        <w:t>Uwaga!</w:t>
      </w:r>
      <w:r w:rsidRPr="00F96689">
        <w:t xml:space="preserve"> </w:t>
      </w:r>
      <w:r>
        <w:t>Koszty</w:t>
      </w:r>
      <w:r w:rsidRPr="00865BC8">
        <w:t xml:space="preserve"> powierzenia wykonania usług </w:t>
      </w:r>
      <w:r>
        <w:t xml:space="preserve">uznamy za </w:t>
      </w:r>
      <w:r w:rsidRPr="00865BC8">
        <w:t xml:space="preserve">kwalifikowalne, </w:t>
      </w:r>
      <w:r>
        <w:t>jeżeli</w:t>
      </w:r>
      <w:r w:rsidR="00D674C6">
        <w:t xml:space="preserve"> </w:t>
      </w:r>
      <w:r w:rsidR="00D674C6" w:rsidRPr="1913444A">
        <w:rPr>
          <w:rFonts w:cstheme="minorBidi"/>
        </w:rPr>
        <w:t>zastosujesz rozeznanie rynku</w:t>
      </w:r>
      <w:r w:rsidR="00D674C6">
        <w:rPr>
          <w:rFonts w:cstheme="minorBidi"/>
        </w:rPr>
        <w:t>.</w:t>
      </w:r>
    </w:p>
    <w:p w14:paraId="5DFB9DD6" w14:textId="77777777" w:rsidR="00B97A95" w:rsidRPr="005B1ED5" w:rsidRDefault="00B97A95" w:rsidP="00D674C6">
      <w:pPr>
        <w:contextualSpacing w:val="0"/>
      </w:pPr>
      <w:r w:rsidRPr="005B1ED5">
        <w:t>Wyb</w:t>
      </w:r>
      <w:r>
        <w:t>oru</w:t>
      </w:r>
      <w:r w:rsidRPr="005B1ED5">
        <w:t xml:space="preserve"> wykonawcy zewnętrznego </w:t>
      </w:r>
      <w:r>
        <w:t xml:space="preserve">musisz dokonać </w:t>
      </w:r>
      <w:r w:rsidRPr="005B1ED5">
        <w:t>z zachowaniem zasady bezstronności, konkurencyjności i obiektywizmu</w:t>
      </w:r>
      <w:r>
        <w:t xml:space="preserve">. Musisz również zachować </w:t>
      </w:r>
      <w:r w:rsidRPr="005B1ED5">
        <w:t>przepis</w:t>
      </w:r>
      <w:r>
        <w:t>y</w:t>
      </w:r>
      <w:r w:rsidRPr="005B1ED5">
        <w:t xml:space="preserve"> o zamówieniach publicznych w zakresie w jakim ustawa z dnia 11 września 2019 </w:t>
      </w:r>
      <w:r w:rsidRPr="00D4472A">
        <w:t>roku</w:t>
      </w:r>
      <w:r w:rsidRPr="005B1ED5">
        <w:t xml:space="preserve"> Prawo zamówień publicznych, zobowiązuje </w:t>
      </w:r>
      <w:r>
        <w:t>Twoją organizację</w:t>
      </w:r>
      <w:r w:rsidRPr="005B1ED5">
        <w:t xml:space="preserve"> do jej stosowania.</w:t>
      </w:r>
    </w:p>
    <w:p w14:paraId="18E30392" w14:textId="77777777" w:rsidR="00B97A95" w:rsidRDefault="00B97A95" w:rsidP="007746D4">
      <w:pPr>
        <w:contextualSpacing w:val="0"/>
      </w:pPr>
      <w:r>
        <w:t>W</w:t>
      </w:r>
      <w:r w:rsidRPr="005B1ED5">
        <w:t>ykonawcą zewnętrznym nie może być osoba prawna lub inny podmiot wchodzący w</w:t>
      </w:r>
      <w:r>
        <w:t> </w:t>
      </w:r>
      <w:r w:rsidRPr="005B1ED5">
        <w:t xml:space="preserve">skład struktury organizacyjnej </w:t>
      </w:r>
      <w:r>
        <w:t>Twojej organizacji</w:t>
      </w:r>
      <w:r w:rsidRPr="005B1ED5">
        <w:t>.</w:t>
      </w:r>
    </w:p>
    <w:p w14:paraId="580CAFEF" w14:textId="390E4B72" w:rsidR="00B97A95" w:rsidRPr="003F6FAC" w:rsidRDefault="00B97A95" w:rsidP="007746D4">
      <w:pPr>
        <w:contextualSpacing w:val="0"/>
      </w:pPr>
      <w:r>
        <w:t>Dowody księgowe wystawi</w:t>
      </w:r>
      <w:r w:rsidR="0033726B">
        <w:t>one</w:t>
      </w:r>
      <w:r>
        <w:t xml:space="preserve"> </w:t>
      </w:r>
      <w:r w:rsidRPr="003F6FAC">
        <w:t xml:space="preserve">na </w:t>
      </w:r>
      <w:r>
        <w:t>Twoją organizację nie mogą zawierać marży</w:t>
      </w:r>
      <w:r w:rsidR="004D709B">
        <w:t>, jeżeli wystawia je j</w:t>
      </w:r>
      <w:r w:rsidR="004D709B" w:rsidRPr="003F6FAC">
        <w:t>ednostk</w:t>
      </w:r>
      <w:r w:rsidR="004D709B">
        <w:t>a (podmiot) ujęta w strukturze Twojej organizacji</w:t>
      </w:r>
      <w:r>
        <w:t>.</w:t>
      </w:r>
    </w:p>
    <w:p w14:paraId="2E535594" w14:textId="0745F294" w:rsidR="00B97A95" w:rsidRPr="00B97A95" w:rsidRDefault="00B97A95" w:rsidP="00B97A95">
      <w:r w:rsidRPr="005003D3">
        <w:t xml:space="preserve">W przypadku wniosku wspólnego wykonawcą zewnętrznym nie może być </w:t>
      </w:r>
      <w:r>
        <w:t>żadna z</w:t>
      </w:r>
      <w:r w:rsidR="00F466D3">
        <w:t> </w:t>
      </w:r>
      <w:r>
        <w:t xml:space="preserve">organizacji, która złożyła </w:t>
      </w:r>
      <w:r w:rsidRPr="005003D3">
        <w:t>wniosek wspólny</w:t>
      </w:r>
      <w:r>
        <w:t>. Ni</w:t>
      </w:r>
      <w:r w:rsidRPr="005003D3">
        <w:t xml:space="preserve">e </w:t>
      </w:r>
      <w:r>
        <w:t xml:space="preserve">możesz zatem zlecić </w:t>
      </w:r>
      <w:r w:rsidRPr="005003D3">
        <w:t>usług</w:t>
      </w:r>
      <w:r>
        <w:t xml:space="preserve">i organizacji, która razem z Twoją organizacją złożyła </w:t>
      </w:r>
      <w:r w:rsidRPr="005003D3">
        <w:t>wniosek wspólny.</w:t>
      </w:r>
      <w:r w:rsidR="004D1888">
        <w:br w:type="page"/>
      </w:r>
    </w:p>
    <w:p w14:paraId="61683787" w14:textId="1A9E5ED2" w:rsidR="00B97A95" w:rsidRPr="00282754" w:rsidRDefault="00B97A95" w:rsidP="001C31C4">
      <w:pPr>
        <w:pStyle w:val="Nagwek2"/>
        <w:numPr>
          <w:ilvl w:val="0"/>
          <w:numId w:val="16"/>
        </w:numPr>
        <w:ind w:left="567" w:hanging="567"/>
        <w:contextualSpacing w:val="0"/>
        <w:rPr>
          <w:rFonts w:ascii="Calibri" w:hAnsi="Calibri" w:cs="Calibri"/>
          <w:b w:val="0"/>
          <w:bCs w:val="0"/>
        </w:rPr>
      </w:pPr>
      <w:r w:rsidRPr="4D4387B2">
        <w:rPr>
          <w:rFonts w:ascii="Calibri" w:hAnsi="Calibri" w:cs="Calibri"/>
        </w:rPr>
        <w:lastRenderedPageBreak/>
        <w:t>Zasada konkurencyjności</w:t>
      </w:r>
    </w:p>
    <w:p w14:paraId="76272E4D" w14:textId="77777777" w:rsidR="00B97A95" w:rsidRPr="00D674C6" w:rsidRDefault="00B97A95" w:rsidP="004D1888">
      <w:pPr>
        <w:contextualSpacing w:val="0"/>
      </w:pPr>
      <w:r w:rsidRPr="00D674C6">
        <w:t>Jeżeli Twoja organizacja nie jest zobowiązana do stosowania przepisów ustawy z dnia 11 września 2019 roku Prawo zamówień publicznych, musi ponosić koszty w projekcie zgodnie z zasadą konkurencyjności.</w:t>
      </w:r>
    </w:p>
    <w:p w14:paraId="58282E44" w14:textId="77777777" w:rsidR="00B97A95" w:rsidRPr="00D674C6" w:rsidRDefault="00B97A95" w:rsidP="004D1888">
      <w:pPr>
        <w:contextualSpacing w:val="0"/>
      </w:pPr>
      <w:r w:rsidRPr="00D674C6">
        <w:t>Zasada konkurencyjności dotyczy wszystkich zamówień w projekcie, których wartość przekracza kwotę 130 000,00 złotych netto (tj. bez podatku VAT).</w:t>
      </w:r>
    </w:p>
    <w:p w14:paraId="1883CEEE" w14:textId="77777777" w:rsidR="00B97A95" w:rsidRPr="00D674C6" w:rsidRDefault="00B97A95" w:rsidP="004D1888">
      <w:pPr>
        <w:contextualSpacing w:val="0"/>
      </w:pPr>
      <w:r w:rsidRPr="00D674C6">
        <w:t>„Zamówienie” oznacza odpłatną umowę, którą zawiera Twoja organizacja z wykonawcą na usługi lub dostawy.</w:t>
      </w:r>
    </w:p>
    <w:p w14:paraId="13A64D57" w14:textId="414D394F" w:rsidR="00B97A95" w:rsidRPr="00D674C6" w:rsidRDefault="00B97A95" w:rsidP="004D1888">
      <w:pPr>
        <w:contextualSpacing w:val="0"/>
      </w:pPr>
      <w:r w:rsidRPr="00D674C6">
        <w:t xml:space="preserve">Powyższych zapisów nie stosujesz w przypadku zamówień, które dotyczą zadań wykonywanych przez kadrę zaangażowaną do realizacji działań merytorycznych </w:t>
      </w:r>
      <w:r w:rsidR="00EC6263">
        <w:br/>
      </w:r>
      <w:r w:rsidRPr="00D674C6">
        <w:t>i administracyjnych.</w:t>
      </w:r>
    </w:p>
    <w:p w14:paraId="6DF1C404" w14:textId="77777777" w:rsidR="00B97A95" w:rsidRPr="007746D4" w:rsidRDefault="00B97A95" w:rsidP="00B97A95">
      <w:pPr>
        <w:pStyle w:val="Nagwek3"/>
        <w:rPr>
          <w:rFonts w:ascii="Calibri" w:hAnsi="Calibri" w:cs="Calibri"/>
        </w:rPr>
      </w:pPr>
      <w:bookmarkStart w:id="4" w:name="_Toc170817701"/>
      <w:r w:rsidRPr="007746D4">
        <w:rPr>
          <w:rFonts w:ascii="Calibri" w:hAnsi="Calibri" w:cs="Calibri"/>
        </w:rPr>
        <w:t>Ustalenie wartości zamówienia</w:t>
      </w:r>
      <w:bookmarkEnd w:id="4"/>
    </w:p>
    <w:p w14:paraId="6EF9BD3E" w14:textId="77777777" w:rsidR="00B97A95" w:rsidRPr="00D674C6" w:rsidRDefault="00B97A95" w:rsidP="0009066E">
      <w:pPr>
        <w:contextualSpacing w:val="0"/>
      </w:pPr>
      <w:r w:rsidRPr="00D674C6">
        <w:t>Zamówienia sumujesz w ramach projektu realizowanego przez Twoją organizację.</w:t>
      </w:r>
    </w:p>
    <w:p w14:paraId="7DDDF406" w14:textId="77777777" w:rsidR="00B97A95" w:rsidRPr="00D674C6" w:rsidRDefault="00B97A95" w:rsidP="0009066E">
      <w:pPr>
        <w:contextualSpacing w:val="0"/>
      </w:pPr>
      <w:r w:rsidRPr="00D674C6">
        <w:t>Musisz przeanalizować budżet projektu w celu zidentyfikowania tych zamówień, które będą się powtarzać i które mogą skutkować przekroczeniem progu, dla którego zasada konkurencyjności jest obowiązkowa.</w:t>
      </w:r>
    </w:p>
    <w:p w14:paraId="46E777CD" w14:textId="77777777" w:rsidR="00B97A95" w:rsidRPr="00D674C6" w:rsidRDefault="00B97A95" w:rsidP="0009066E">
      <w:pPr>
        <w:contextualSpacing w:val="0"/>
      </w:pPr>
      <w:r w:rsidRPr="00D674C6">
        <w:t>Jedno zamówienie występuje, jeżeli spełniasz łącznie następujące kryteria:</w:t>
      </w:r>
    </w:p>
    <w:p w14:paraId="38EBC36C" w14:textId="77777777" w:rsidR="00B97A95" w:rsidRPr="00D674C6" w:rsidRDefault="00B97A95" w:rsidP="00B97A95">
      <w:pPr>
        <w:pStyle w:val="Tekstpodstawowywcity2"/>
        <w:numPr>
          <w:ilvl w:val="0"/>
          <w:numId w:val="1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D674C6">
        <w:rPr>
          <w:rFonts w:asciiTheme="minorHAnsi" w:hAnsiTheme="minorHAnsi" w:cstheme="minorHAnsi"/>
        </w:rPr>
        <w:t>tożsamość przedmiotowa zamówienia – dostawy, usługi tego samego rodzaju i o tym samym przeznaczeniu;</w:t>
      </w:r>
    </w:p>
    <w:p w14:paraId="47B4D8CE" w14:textId="77777777" w:rsidR="00B97A95" w:rsidRPr="00D674C6" w:rsidRDefault="00B97A95" w:rsidP="00B97A95">
      <w:pPr>
        <w:pStyle w:val="Tekstpodstawowywcity2"/>
        <w:numPr>
          <w:ilvl w:val="0"/>
          <w:numId w:val="1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D674C6">
        <w:rPr>
          <w:rFonts w:asciiTheme="minorHAnsi" w:hAnsiTheme="minorHAnsi" w:cstheme="minorHAnsi"/>
        </w:rPr>
        <w:t>tożsamość czasowa zamówienia – możliwe udzielenie zamówienia w tym samym czasie;</w:t>
      </w:r>
    </w:p>
    <w:p w14:paraId="7FEE371D" w14:textId="77777777" w:rsidR="00B97A95" w:rsidRPr="00D674C6" w:rsidRDefault="00B97A95" w:rsidP="007746D4">
      <w:pPr>
        <w:pStyle w:val="Tekstpodstawowywcity2"/>
        <w:numPr>
          <w:ilvl w:val="0"/>
          <w:numId w:val="1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D674C6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70C56365" w14:textId="77777777" w:rsidR="00B97A95" w:rsidRPr="007746D4" w:rsidRDefault="00B97A95" w:rsidP="00B97A95">
      <w:pPr>
        <w:pStyle w:val="Nagwek3"/>
        <w:rPr>
          <w:rFonts w:ascii="Calibri" w:hAnsi="Calibri" w:cs="Calibri"/>
        </w:rPr>
      </w:pPr>
      <w:bookmarkStart w:id="5" w:name="_Toc170817702"/>
      <w:r w:rsidRPr="007746D4">
        <w:rPr>
          <w:rFonts w:ascii="Calibri" w:hAnsi="Calibri" w:cs="Calibri"/>
        </w:rPr>
        <w:t>Zapytanie ofertowe</w:t>
      </w:r>
      <w:bookmarkEnd w:id="5"/>
    </w:p>
    <w:p w14:paraId="5F83104D" w14:textId="77777777" w:rsidR="00B97A95" w:rsidRPr="00D674C6" w:rsidRDefault="00B97A95" w:rsidP="0009066E">
      <w:pPr>
        <w:contextualSpacing w:val="0"/>
      </w:pPr>
      <w:r w:rsidRPr="00D674C6">
        <w:t>Musisz wysłać zapytanie ofertowe do co najmniej trzech potencjalnych wykonawców – o ile na rynku istnieje trzech potencjalnych wykonawców danego zamówienia.</w:t>
      </w:r>
    </w:p>
    <w:p w14:paraId="4215487E" w14:textId="706CA803" w:rsidR="00B97A95" w:rsidRPr="00D674C6" w:rsidRDefault="00B97A95" w:rsidP="0009066E">
      <w:pPr>
        <w:contextualSpacing w:val="0"/>
      </w:pPr>
      <w:r w:rsidRPr="00D674C6">
        <w:t>Musisz również upublicznić zapytanie ofertowe – jeżeli Twoja organizacja posiada stronę internetową</w:t>
      </w:r>
      <w:r w:rsidRPr="00D674C6" w:rsidDel="007F35D0">
        <w:t xml:space="preserve"> </w:t>
      </w:r>
      <w:r w:rsidRPr="00D674C6">
        <w:t>zamieś</w:t>
      </w:r>
      <w:r w:rsidR="00FF06A9">
        <w:t>ć</w:t>
      </w:r>
      <w:r w:rsidRPr="00D674C6">
        <w:t xml:space="preserve"> zapytanie ofertowe na tej stronie.</w:t>
      </w:r>
    </w:p>
    <w:p w14:paraId="458AE08A" w14:textId="77777777" w:rsidR="00B97A95" w:rsidRPr="00D674C6" w:rsidRDefault="00B97A95" w:rsidP="0009066E">
      <w:pPr>
        <w:contextualSpacing w:val="0"/>
      </w:pPr>
      <w:r w:rsidRPr="00D674C6">
        <w:t>Zapytanie ofertowe możesz także zamieścić w siedzibie Twojej organizacji, szczególnie wtedy, gdy charakter zamówienia wskazuje, że może być to podstawowa forma dotarcia do potencjalnych wykonawców.</w:t>
      </w:r>
    </w:p>
    <w:p w14:paraId="7BD4F502" w14:textId="77777777" w:rsidR="00B97A95" w:rsidRPr="00D674C6" w:rsidRDefault="00B97A95" w:rsidP="0009066E">
      <w:pPr>
        <w:contextualSpacing w:val="0"/>
      </w:pPr>
      <w:r w:rsidRPr="00D674C6">
        <w:t>Zapytanie ofertowe musi zawierać w szczególności:</w:t>
      </w:r>
    </w:p>
    <w:p w14:paraId="33C836A1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>opis przedmiotu zamówienia;</w:t>
      </w:r>
    </w:p>
    <w:p w14:paraId="22E47D5B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>kryteria oceny oferty;</w:t>
      </w:r>
    </w:p>
    <w:p w14:paraId="32A9CEBF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lastRenderedPageBreak/>
        <w:t>informację na temat wag punktowych lub procentowych przypisanych do poszczególnych kryteriów oceny oferty;</w:t>
      </w:r>
    </w:p>
    <w:p w14:paraId="376D4230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>informację na temat sposobu przyznawania punktacji za spełnienie danego kryterium;</w:t>
      </w:r>
    </w:p>
    <w:p w14:paraId="75910C3E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>informację na temat zakresu wykluczenia z możliwości realizacji zamówienia;</w:t>
      </w:r>
    </w:p>
    <w:p w14:paraId="588F9A70" w14:textId="77777777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>tryb składania ofert oraz powiadamiania oferentów o wynikach prowadzonego postępowania w sprawie zamówienia;</w:t>
      </w:r>
    </w:p>
    <w:p w14:paraId="18249487" w14:textId="540DED38" w:rsidR="00B97A95" w:rsidRPr="00D674C6" w:rsidRDefault="00B97A95" w:rsidP="00B97A95">
      <w:pPr>
        <w:numPr>
          <w:ilvl w:val="0"/>
          <w:numId w:val="19"/>
        </w:numPr>
        <w:ind w:left="357" w:hanging="357"/>
        <w:contextualSpacing w:val="0"/>
      </w:pPr>
      <w:r w:rsidRPr="00D674C6">
        <w:t xml:space="preserve">termin składania ofert, przy czym termin ten nie może być krótszy niż 5 dni roboczych od dnia upublicznienia zapytania ofertowego; </w:t>
      </w:r>
      <w:r w:rsidRPr="00EF4C4E">
        <w:t xml:space="preserve">w przypadku ofert składanych drogą pocztową </w:t>
      </w:r>
      <w:r w:rsidR="00DD3D06" w:rsidRPr="00EF4C4E">
        <w:t>za</w:t>
      </w:r>
      <w:r w:rsidR="00DD3D06" w:rsidRPr="00DD3D06">
        <w:t xml:space="preserve"> datę </w:t>
      </w:r>
      <w:r w:rsidR="00EF4C4E">
        <w:t>złożenia</w:t>
      </w:r>
      <w:r w:rsidR="00DD3D06" w:rsidRPr="00DD3D06">
        <w:t xml:space="preserve"> </w:t>
      </w:r>
      <w:r w:rsidR="004F4218">
        <w:t xml:space="preserve">oferty </w:t>
      </w:r>
      <w:r w:rsidR="00F319CE">
        <w:t>należy</w:t>
      </w:r>
      <w:r w:rsidR="00DD3D06" w:rsidRPr="00DD3D06">
        <w:t xml:space="preserve"> przyj</w:t>
      </w:r>
      <w:r w:rsidR="004F4218">
        <w:t>ąć</w:t>
      </w:r>
      <w:r w:rsidR="00DD3D06" w:rsidRPr="00DD3D06">
        <w:t xml:space="preserve"> datę stempla pocztowego.</w:t>
      </w:r>
    </w:p>
    <w:p w14:paraId="4E62D0B7" w14:textId="77777777" w:rsidR="00B97A95" w:rsidRPr="00A22784" w:rsidRDefault="00B97A95" w:rsidP="00B97A95">
      <w:pPr>
        <w:pStyle w:val="Nagwek3"/>
        <w:rPr>
          <w:rFonts w:ascii="Calibri" w:hAnsi="Calibri" w:cs="Calibri"/>
        </w:rPr>
      </w:pPr>
      <w:bookmarkStart w:id="6" w:name="_Toc170817703"/>
      <w:r w:rsidRPr="00A22784">
        <w:rPr>
          <w:rFonts w:ascii="Calibri" w:hAnsi="Calibri" w:cs="Calibri"/>
        </w:rPr>
        <w:t>Dzielenie zamówienia</w:t>
      </w:r>
      <w:bookmarkEnd w:id="6"/>
    </w:p>
    <w:p w14:paraId="3FEDD5DF" w14:textId="77777777" w:rsidR="00B97A95" w:rsidRPr="00D674C6" w:rsidRDefault="00B97A95" w:rsidP="00BD5FF0">
      <w:pPr>
        <w:contextualSpacing w:val="0"/>
      </w:pPr>
      <w:r w:rsidRPr="00D674C6">
        <w:t>Zamówienie może zostać podzielone, tzn. możesz je powierzyć kilku wykonawcom.</w:t>
      </w:r>
    </w:p>
    <w:p w14:paraId="22329A3D" w14:textId="631469DF" w:rsidR="00B97A95" w:rsidRPr="00D674C6" w:rsidRDefault="00B97A95" w:rsidP="00BD5FF0">
      <w:pPr>
        <w:contextualSpacing w:val="0"/>
      </w:pPr>
      <w:r w:rsidRPr="00D674C6">
        <w:t>Jeżeli suma części zamówienia przekracza kwotę 130 000,00 złotych netto (tj. bez podatku VAT), musisz zastosować zasadę konkurencyjności oraz</w:t>
      </w:r>
      <w:r w:rsidR="001C27FA">
        <w:t xml:space="preserve"> </w:t>
      </w:r>
      <w:r w:rsidRPr="00D674C6">
        <w:t>wskazać w zapytaniu ofertowym, że dotyczy ono realizacji częściowych zamówień przez wykonawców.</w:t>
      </w:r>
    </w:p>
    <w:p w14:paraId="0A53E1EB" w14:textId="77777777" w:rsidR="00B97A95" w:rsidRPr="00D674C6" w:rsidRDefault="00B97A95" w:rsidP="00BD5FF0">
      <w:pPr>
        <w:contextualSpacing w:val="0"/>
      </w:pPr>
      <w:r w:rsidRPr="00D674C6">
        <w:t>Jeżeli możliwe jest składanie ofert częściowych postępowanie może zakończyć się wyborem kilku wykonawców.</w:t>
      </w:r>
    </w:p>
    <w:p w14:paraId="4F0E99FC" w14:textId="77777777" w:rsidR="00B97A95" w:rsidRPr="00A22784" w:rsidRDefault="00B97A95" w:rsidP="00B97A95">
      <w:pPr>
        <w:pStyle w:val="Nagwek3"/>
        <w:rPr>
          <w:rFonts w:ascii="Calibri" w:hAnsi="Calibri" w:cs="Calibri"/>
        </w:rPr>
      </w:pPr>
      <w:bookmarkStart w:id="7" w:name="_Toc170817704"/>
      <w:r w:rsidRPr="00A22784">
        <w:rPr>
          <w:rFonts w:ascii="Calibri" w:hAnsi="Calibri" w:cs="Calibri"/>
        </w:rPr>
        <w:t>Wyłączenia kapitałowe i osobowe</w:t>
      </w:r>
      <w:bookmarkEnd w:id="7"/>
    </w:p>
    <w:p w14:paraId="7E36396D" w14:textId="77777777" w:rsidR="00B97A95" w:rsidRPr="00D674C6" w:rsidRDefault="00B97A95" w:rsidP="00B97A95">
      <w:r w:rsidRPr="00D674C6">
        <w:t>Nie możesz udzielić zamówienia podmiotom, które są powiązane osobowo lub kapitałowo z:</w:t>
      </w:r>
    </w:p>
    <w:p w14:paraId="0146057C" w14:textId="77777777" w:rsidR="00B97A95" w:rsidRPr="00D674C6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D674C6">
        <w:rPr>
          <w:rFonts w:cstheme="minorHAnsi"/>
        </w:rPr>
        <w:t>Twoją organizacją; lub</w:t>
      </w:r>
    </w:p>
    <w:p w14:paraId="764D1553" w14:textId="77777777" w:rsidR="00B97A95" w:rsidRPr="00D674C6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D674C6">
        <w:rPr>
          <w:rFonts w:cstheme="minorHAnsi"/>
        </w:rPr>
        <w:t>osobami upoważnionymi do zaciągania zobowiązań w imieniu Twojej organizacji; lub</w:t>
      </w:r>
    </w:p>
    <w:p w14:paraId="06380299" w14:textId="77777777" w:rsidR="00B97A95" w:rsidRPr="00D674C6" w:rsidRDefault="00B97A95" w:rsidP="00B97A95">
      <w:pPr>
        <w:pStyle w:val="Akapitzlist"/>
        <w:numPr>
          <w:ilvl w:val="0"/>
          <w:numId w:val="20"/>
        </w:numPr>
        <w:ind w:left="357" w:hanging="357"/>
        <w:contextualSpacing w:val="0"/>
        <w:rPr>
          <w:rFonts w:cstheme="minorHAnsi"/>
        </w:rPr>
      </w:pPr>
      <w:r w:rsidRPr="00D674C6">
        <w:rPr>
          <w:rFonts w:cstheme="minorHAnsi"/>
        </w:rPr>
        <w:t>osobami wykonującymi w imieniu Twojej organizacji czynności związane z przygotowaniem i przeprowadzeniem procedury wyboru wykonawcy.</w:t>
      </w:r>
    </w:p>
    <w:p w14:paraId="2DC866BF" w14:textId="77777777" w:rsidR="00B97A95" w:rsidRPr="00D674C6" w:rsidRDefault="00B97A95" w:rsidP="003E19DA">
      <w:pPr>
        <w:contextualSpacing w:val="0"/>
      </w:pPr>
      <w:r w:rsidRPr="00D674C6">
        <w:t>„Powiązanie osobowe lub kapitałowe” oznacza w szczególności:</w:t>
      </w:r>
    </w:p>
    <w:p w14:paraId="7C1A8BF1" w14:textId="77777777" w:rsidR="00B97A95" w:rsidRPr="00D674C6" w:rsidRDefault="00B97A95" w:rsidP="00B97A95">
      <w:pPr>
        <w:numPr>
          <w:ilvl w:val="0"/>
          <w:numId w:val="21"/>
        </w:numPr>
        <w:autoSpaceDE w:val="0"/>
        <w:autoSpaceDN w:val="0"/>
        <w:adjustRightInd w:val="0"/>
        <w:contextualSpacing w:val="0"/>
      </w:pPr>
      <w:r w:rsidRPr="00D674C6">
        <w:t>uczestnictwo w spółce jako wspólnik spółki cywilnej lub spółki osobowej;</w:t>
      </w:r>
    </w:p>
    <w:p w14:paraId="2177A599" w14:textId="77777777" w:rsidR="00B97A95" w:rsidRPr="00D674C6" w:rsidRDefault="00B97A95" w:rsidP="00B97A95">
      <w:pPr>
        <w:numPr>
          <w:ilvl w:val="0"/>
          <w:numId w:val="21"/>
        </w:numPr>
        <w:autoSpaceDE w:val="0"/>
        <w:autoSpaceDN w:val="0"/>
        <w:adjustRightInd w:val="0"/>
        <w:contextualSpacing w:val="0"/>
      </w:pPr>
      <w:r w:rsidRPr="00D674C6">
        <w:t>posiadanie udziałów lub co najmniej 10% akcji;</w:t>
      </w:r>
    </w:p>
    <w:p w14:paraId="06189A9A" w14:textId="77777777" w:rsidR="00B97A95" w:rsidRPr="00D674C6" w:rsidRDefault="00B97A95" w:rsidP="00B97A95">
      <w:pPr>
        <w:numPr>
          <w:ilvl w:val="0"/>
          <w:numId w:val="21"/>
        </w:numPr>
        <w:autoSpaceDE w:val="0"/>
        <w:autoSpaceDN w:val="0"/>
        <w:adjustRightInd w:val="0"/>
        <w:contextualSpacing w:val="0"/>
      </w:pPr>
      <w:r w:rsidRPr="00D674C6">
        <w:t>pełnienie funkcji członka organu nadzorczego lub zarządzającego, prokurenta, pełnomocnika;</w:t>
      </w:r>
    </w:p>
    <w:p w14:paraId="78EFCC60" w14:textId="77777777" w:rsidR="00B97A95" w:rsidRPr="00D674C6" w:rsidRDefault="00B97A95" w:rsidP="00B97A95">
      <w:pPr>
        <w:numPr>
          <w:ilvl w:val="0"/>
          <w:numId w:val="21"/>
        </w:numPr>
        <w:autoSpaceDE w:val="0"/>
        <w:autoSpaceDN w:val="0"/>
        <w:adjustRightInd w:val="0"/>
        <w:contextualSpacing w:val="0"/>
      </w:pPr>
      <w:r w:rsidRPr="00D674C6"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22807530" w14:textId="77777777" w:rsidR="00B97A95" w:rsidRPr="00D674C6" w:rsidRDefault="00B97A95" w:rsidP="00B97A95">
      <w:r w:rsidRPr="00D674C6">
        <w:t>Potencjalny wykonawca musi załączyć do oferty oświadczenie o braku powiązań kapitałowych lub osobowych.</w:t>
      </w:r>
    </w:p>
    <w:p w14:paraId="351C8516" w14:textId="77777777" w:rsidR="00B97A95" w:rsidRPr="00D674C6" w:rsidRDefault="00B97A95" w:rsidP="00BE6DB3">
      <w:pPr>
        <w:contextualSpacing w:val="0"/>
      </w:pPr>
      <w:r w:rsidRPr="00D674C6">
        <w:lastRenderedPageBreak/>
        <w:t>Wyłączeń kapitałowych lub osobowych nie stosujemy do zamówień dotyczących zadań wykonywanych przez personel administracyjny lub merytoryczny projektu.</w:t>
      </w:r>
    </w:p>
    <w:p w14:paraId="222A5DE2" w14:textId="4D71EEA3" w:rsidR="00B97A95" w:rsidRPr="00D674C6" w:rsidRDefault="00B97A95" w:rsidP="00B97A95">
      <w:r w:rsidRPr="00D674C6">
        <w:t>Nie musisz stosować wyłączeń osobowych i kapitałowych, jeżeli udzielisz zamówienia podmiotowi działającemu non profit.</w:t>
      </w:r>
    </w:p>
    <w:p w14:paraId="4E60661E" w14:textId="77777777" w:rsidR="00B97A95" w:rsidRPr="00A22784" w:rsidRDefault="00B97A95" w:rsidP="00B97A95">
      <w:pPr>
        <w:pStyle w:val="Nagwek3"/>
        <w:rPr>
          <w:rFonts w:ascii="Calibri" w:hAnsi="Calibri" w:cs="Calibri"/>
        </w:rPr>
      </w:pPr>
      <w:bookmarkStart w:id="8" w:name="_Toc170817705"/>
      <w:r w:rsidRPr="00A22784">
        <w:rPr>
          <w:rFonts w:ascii="Calibri" w:hAnsi="Calibri" w:cs="Calibri"/>
        </w:rPr>
        <w:t>Wybór oferty</w:t>
      </w:r>
      <w:bookmarkEnd w:id="8"/>
    </w:p>
    <w:p w14:paraId="633A5D85" w14:textId="77777777" w:rsidR="00B97A95" w:rsidRPr="00D674C6" w:rsidRDefault="00B97A95" w:rsidP="003E19DA">
      <w:pPr>
        <w:contextualSpacing w:val="0"/>
      </w:pPr>
      <w:r w:rsidRPr="00D674C6">
        <w:t>Wyboru najkorzystniejszej oferty musisz dokonać w oparciu o kryteria ustalone w zapytaniu ofertowym.</w:t>
      </w:r>
    </w:p>
    <w:p w14:paraId="5122A23D" w14:textId="77777777" w:rsidR="00B97A95" w:rsidRPr="00D674C6" w:rsidRDefault="00B97A95" w:rsidP="003E19DA">
      <w:pPr>
        <w:contextualSpacing w:val="0"/>
      </w:pPr>
      <w:r w:rsidRPr="00D674C6">
        <w:t>Wybór oferty musisz udokumentować pisemnie w formie protokołu.</w:t>
      </w:r>
    </w:p>
    <w:p w14:paraId="38B6DFB8" w14:textId="411E0FD5" w:rsidR="00B97A95" w:rsidRPr="00D674C6" w:rsidRDefault="00B97A95" w:rsidP="003E19DA">
      <w:pPr>
        <w:contextualSpacing w:val="0"/>
      </w:pPr>
      <w:r w:rsidRPr="00D674C6">
        <w:t>Protokół potwierdza prawidłowość wyboru wykonawcy zgodnie z zasadą konkurencyjności i</w:t>
      </w:r>
      <w:r w:rsidR="003E19DA">
        <w:t> </w:t>
      </w:r>
      <w:r w:rsidRPr="00D674C6">
        <w:t>musi zawierać co najmniej:</w:t>
      </w:r>
    </w:p>
    <w:p w14:paraId="5AB15C5A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informację do jakich co najmniej trzech potencjalnych wykonawców wysłałeś zapytanie ofertowe lub informację o tym, że na rynku nie istnieje trzech potencjalnych wykonawców wraz z uzasadnieniem wskazującym na obiektywne przesłanki potwierdzające ten fakt;</w:t>
      </w:r>
    </w:p>
    <w:p w14:paraId="6130BF9C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informację, w jaki sposób upubliczniłeś zapytanie ofertowe;</w:t>
      </w:r>
    </w:p>
    <w:p w14:paraId="2633B87D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wykaz ofert, które wpłynęły w odpowiedzi na zapytanie ofertowe wraz ze wskazaniem daty wpływu oferty oraz z podaniem tych danych z ofert, które stanowią odpowiedź na kryteria oceny ofert;</w:t>
      </w:r>
    </w:p>
    <w:p w14:paraId="29394DB5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informację o wagach punktowych lub procentowych przypisanych do poszczególnych kryteriów oceny, sposobu przyznawania punktacji za spełnienie danego kryterium;</w:t>
      </w:r>
    </w:p>
    <w:p w14:paraId="1666D85F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wskazanie wybranej oferty wraz z uzasadnieniem wyboru;</w:t>
      </w:r>
    </w:p>
    <w:p w14:paraId="02877029" w14:textId="77777777" w:rsidR="00B97A95" w:rsidRPr="00D674C6" w:rsidRDefault="00B97A95" w:rsidP="00B97A95">
      <w:pPr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D674C6">
        <w:t>datę sporządzenia protokołu i podpis osoby upoważnionej w Twojej organizacji lub osoby upoważnionej przez Twoją organizację do podejmowania czynności w jej imieniu.</w:t>
      </w:r>
    </w:p>
    <w:p w14:paraId="20E6787D" w14:textId="77777777" w:rsidR="00B97A95" w:rsidRPr="00D674C6" w:rsidRDefault="00B97A95" w:rsidP="003E19DA">
      <w:pPr>
        <w:contextualSpacing w:val="0"/>
      </w:pPr>
      <w:r w:rsidRPr="00D674C6">
        <w:t>Do protokołu musisz załączyć:</w:t>
      </w:r>
    </w:p>
    <w:p w14:paraId="44A9119A" w14:textId="77777777" w:rsidR="00B97A95" w:rsidRPr="00D674C6" w:rsidRDefault="00B97A95" w:rsidP="00B97A95">
      <w:pPr>
        <w:numPr>
          <w:ilvl w:val="0"/>
          <w:numId w:val="23"/>
        </w:numPr>
        <w:autoSpaceDE w:val="0"/>
        <w:autoSpaceDN w:val="0"/>
        <w:adjustRightInd w:val="0"/>
        <w:contextualSpacing w:val="0"/>
      </w:pPr>
      <w:r w:rsidRPr="00D674C6">
        <w:t>materiały potwierdzające, że opublikowałeś zapytanie na stronie internetowej;</w:t>
      </w:r>
    </w:p>
    <w:p w14:paraId="251528A6" w14:textId="77777777" w:rsidR="00B97A95" w:rsidRPr="00D674C6" w:rsidRDefault="00B97A95" w:rsidP="00B97A95">
      <w:pPr>
        <w:numPr>
          <w:ilvl w:val="0"/>
          <w:numId w:val="23"/>
        </w:numPr>
        <w:autoSpaceDE w:val="0"/>
        <w:autoSpaceDN w:val="0"/>
        <w:adjustRightInd w:val="0"/>
        <w:contextualSpacing w:val="0"/>
      </w:pPr>
      <w:r w:rsidRPr="00D674C6">
        <w:t>złożone oferty wraz z oświadczeniami wykonawców o braku powiązań kapitałowych lub osobowych;</w:t>
      </w:r>
    </w:p>
    <w:p w14:paraId="37C52AC4" w14:textId="77777777" w:rsidR="00B97A95" w:rsidRPr="00D674C6" w:rsidRDefault="00B97A95" w:rsidP="00B97A95">
      <w:pPr>
        <w:numPr>
          <w:ilvl w:val="0"/>
          <w:numId w:val="23"/>
        </w:numPr>
        <w:autoSpaceDE w:val="0"/>
        <w:autoSpaceDN w:val="0"/>
        <w:adjustRightInd w:val="0"/>
        <w:contextualSpacing w:val="0"/>
      </w:pPr>
      <w:r w:rsidRPr="00D674C6">
        <w:t>oświadczenie/oświadczenia Twojej organizacji o braku powiązań z wykonawcami, którzy złożyli oferty – podpisane przez osoby upoważnione do zaciągania zobowiązań w imieniu Twojej organizacji lub osoby wykonujące w imieniu Twojej organizacji czynności związane z przygotowaniem i przeprowadzeniem procedury wyboru wykonawcy.</w:t>
      </w:r>
    </w:p>
    <w:p w14:paraId="22067F77" w14:textId="77777777" w:rsidR="00B97A95" w:rsidRPr="00D674C6" w:rsidRDefault="00B97A95" w:rsidP="00B97A95">
      <w:r w:rsidRPr="00D674C6">
        <w:t>Po zakończeniu postępowania musisz bezzwłocznie poinformować każdego wykonawcę, który złożył ofertę o wyniku postępowania.</w:t>
      </w:r>
    </w:p>
    <w:p w14:paraId="6E54BF09" w14:textId="77777777" w:rsidR="00B97A95" w:rsidRPr="00D674C6" w:rsidRDefault="00B97A95" w:rsidP="00773FF9">
      <w:pPr>
        <w:contextualSpacing w:val="0"/>
      </w:pPr>
      <w:r w:rsidRPr="00D674C6">
        <w:lastRenderedPageBreak/>
        <w:t>Jeżeli Twoja organizacja posiada stronę internetową – musisz zamieścić bezzwłocznie na stronie internetowej informacje dotyczące zakończonego postępowania (w tym o wyborze najkorzystniejszej oferty) oraz ogłoszenia o udzieleniu zamówienia.</w:t>
      </w:r>
    </w:p>
    <w:p w14:paraId="4431AF0F" w14:textId="77777777" w:rsidR="00B97A95" w:rsidRPr="00D674C6" w:rsidRDefault="00B97A95" w:rsidP="00773FF9">
      <w:pPr>
        <w:contextualSpacing w:val="0"/>
      </w:pPr>
      <w:r w:rsidRPr="00D674C6">
        <w:t>Z wykonawcą, który został wybrany zgodnie z zasadą konkurencyjności, Twoja organizacja zawiera pisemną umowę o wykonanie zamówienia.</w:t>
      </w:r>
    </w:p>
    <w:p w14:paraId="29BF7BBB" w14:textId="0178F301" w:rsidR="00B97A95" w:rsidRPr="00D674C6" w:rsidRDefault="00B97A95" w:rsidP="00773FF9">
      <w:pPr>
        <w:contextualSpacing w:val="0"/>
      </w:pPr>
      <w:r w:rsidRPr="00D674C6">
        <w:t>Zasada konkurencyjności jest spełniona, jeżeli Twoja organizacja otrzymała tylko jedną ważną ofertę, pomimo wysłania zapytania ofertowego do trzech potencjalnych wykonawców i upublicznienia zapytania ofertowego.</w:t>
      </w:r>
    </w:p>
    <w:sectPr w:rsidR="00B97A95" w:rsidRPr="00D674C6" w:rsidSect="00FC0F88">
      <w:headerReference w:type="default" r:id="rId7"/>
      <w:footerReference w:type="default" r:id="rId8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9454" w14:textId="77777777" w:rsidR="008E4B9E" w:rsidRDefault="008E4B9E" w:rsidP="00B97A95">
      <w:pPr>
        <w:spacing w:after="0" w:line="240" w:lineRule="auto"/>
      </w:pPr>
      <w:r>
        <w:separator/>
      </w:r>
    </w:p>
  </w:endnote>
  <w:endnote w:type="continuationSeparator" w:id="0">
    <w:p w14:paraId="3C2777C5" w14:textId="77777777" w:rsidR="008E4B9E" w:rsidRDefault="008E4B9E" w:rsidP="00B97A95">
      <w:pPr>
        <w:spacing w:after="0" w:line="240" w:lineRule="auto"/>
      </w:pPr>
      <w:r>
        <w:continuationSeparator/>
      </w:r>
    </w:p>
  </w:endnote>
  <w:endnote w:type="continuationNotice" w:id="1">
    <w:p w14:paraId="691F28B6" w14:textId="77777777" w:rsidR="008E4B9E" w:rsidRDefault="008E4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415588"/>
      <w:docPartObj>
        <w:docPartGallery w:val="Page Numbers (Bottom of Page)"/>
        <w:docPartUnique/>
      </w:docPartObj>
    </w:sdtPr>
    <w:sdtEndPr/>
    <w:sdtContent>
      <w:p w14:paraId="5469BC65" w14:textId="20F00CE5" w:rsidR="00B97A95" w:rsidRPr="00977A7A" w:rsidRDefault="00263561" w:rsidP="00977A7A">
        <w:pPr>
          <w:pStyle w:val="Stopka"/>
          <w:spacing w:after="120"/>
        </w:pPr>
        <w:r>
          <w:t xml:space="preserve">Strona | </w:t>
        </w:r>
        <w:r w:rsidRPr="00D81DD9">
          <w:rPr>
            <w:b/>
            <w:bCs/>
          </w:rPr>
          <w:fldChar w:fldCharType="begin"/>
        </w:r>
        <w:r w:rsidRPr="00D81DD9">
          <w:rPr>
            <w:b/>
            <w:bCs/>
          </w:rPr>
          <w:instrText>PAGE   \* MERGEFORMAT</w:instrText>
        </w:r>
        <w:r w:rsidRPr="00D81DD9">
          <w:rPr>
            <w:b/>
            <w:bCs/>
          </w:rPr>
          <w:fldChar w:fldCharType="separate"/>
        </w:r>
        <w:r w:rsidRPr="00D81DD9">
          <w:rPr>
            <w:b/>
            <w:bCs/>
          </w:rPr>
          <w:t>2</w:t>
        </w:r>
        <w:r w:rsidRPr="00D81DD9">
          <w:rPr>
            <w:b/>
            <w:bCs/>
          </w:rPr>
          <w:fldChar w:fldCharType="end"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C25858F" wp14:editId="75DC7BA2">
              <wp:extent cx="1475105" cy="701040"/>
              <wp:effectExtent l="0" t="0" r="0" b="3810"/>
              <wp:docPr id="502355275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5105" cy="7010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3B1A" w14:textId="77777777" w:rsidR="008E4B9E" w:rsidRDefault="008E4B9E" w:rsidP="00B97A95">
      <w:pPr>
        <w:spacing w:after="0" w:line="240" w:lineRule="auto"/>
      </w:pPr>
      <w:r>
        <w:separator/>
      </w:r>
    </w:p>
  </w:footnote>
  <w:footnote w:type="continuationSeparator" w:id="0">
    <w:p w14:paraId="49D96998" w14:textId="77777777" w:rsidR="008E4B9E" w:rsidRDefault="008E4B9E" w:rsidP="00B97A95">
      <w:pPr>
        <w:spacing w:after="0" w:line="240" w:lineRule="auto"/>
      </w:pPr>
      <w:r>
        <w:continuationSeparator/>
      </w:r>
    </w:p>
  </w:footnote>
  <w:footnote w:type="continuationNotice" w:id="1">
    <w:p w14:paraId="16417D92" w14:textId="77777777" w:rsidR="008E4B9E" w:rsidRDefault="008E4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4FB5" w14:textId="30F3DE52" w:rsidR="00FC0F88" w:rsidRDefault="00FC0F88" w:rsidP="00977A7A">
    <w:pPr>
      <w:pStyle w:val="Nagwek"/>
      <w:ind w:left="-850"/>
    </w:pPr>
    <w:r>
      <w:rPr>
        <w:noProof/>
      </w:rPr>
      <w:drawing>
        <wp:inline distT="0" distB="0" distL="0" distR="0" wp14:anchorId="72D43CFB" wp14:editId="2D79B3CF">
          <wp:extent cx="1579245" cy="664210"/>
          <wp:effectExtent l="0" t="0" r="1905" b="2540"/>
          <wp:docPr id="309430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5330"/>
    <w:multiLevelType w:val="hybridMultilevel"/>
    <w:tmpl w:val="985EBE04"/>
    <w:lvl w:ilvl="0" w:tplc="455644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D6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C7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E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4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8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8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3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21CF"/>
    <w:multiLevelType w:val="hybridMultilevel"/>
    <w:tmpl w:val="7D42DC9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884F75"/>
    <w:multiLevelType w:val="hybridMultilevel"/>
    <w:tmpl w:val="E5FA4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1E1E"/>
    <w:multiLevelType w:val="hybridMultilevel"/>
    <w:tmpl w:val="A984976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221DFA"/>
    <w:multiLevelType w:val="hybridMultilevel"/>
    <w:tmpl w:val="78E69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CEA5551"/>
    <w:multiLevelType w:val="hybridMultilevel"/>
    <w:tmpl w:val="80C44A18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3A47AA"/>
    <w:multiLevelType w:val="hybridMultilevel"/>
    <w:tmpl w:val="FCE2F688"/>
    <w:lvl w:ilvl="0" w:tplc="0415000B">
      <w:start w:val="1"/>
      <w:numFmt w:val="bullet"/>
      <w:lvlText w:val=""/>
      <w:lvlJc w:val="left"/>
      <w:pPr>
        <w:ind w:left="7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AA36C2"/>
    <w:multiLevelType w:val="hybridMultilevel"/>
    <w:tmpl w:val="9C24B2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81E38"/>
    <w:multiLevelType w:val="multilevel"/>
    <w:tmpl w:val="0A6054D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94D89"/>
    <w:multiLevelType w:val="hybridMultilevel"/>
    <w:tmpl w:val="AD94932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67BBF"/>
    <w:multiLevelType w:val="hybridMultilevel"/>
    <w:tmpl w:val="7422C8AE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3DF92D06"/>
    <w:multiLevelType w:val="hybridMultilevel"/>
    <w:tmpl w:val="3000C72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F6A01ED"/>
    <w:multiLevelType w:val="hybridMultilevel"/>
    <w:tmpl w:val="0D84BE7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86336F"/>
    <w:multiLevelType w:val="hybridMultilevel"/>
    <w:tmpl w:val="BC48937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EA859D1"/>
    <w:multiLevelType w:val="hybridMultilevel"/>
    <w:tmpl w:val="C1E2B02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52B2F"/>
    <w:multiLevelType w:val="hybridMultilevel"/>
    <w:tmpl w:val="2FF42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266D"/>
    <w:multiLevelType w:val="hybridMultilevel"/>
    <w:tmpl w:val="9B0470B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A5C35"/>
    <w:multiLevelType w:val="hybridMultilevel"/>
    <w:tmpl w:val="629C7F3E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FF277D0"/>
    <w:multiLevelType w:val="hybridMultilevel"/>
    <w:tmpl w:val="B966FCF6"/>
    <w:lvl w:ilvl="0" w:tplc="C588A7F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3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66843">
    <w:abstractNumId w:val="0"/>
  </w:num>
  <w:num w:numId="2" w16cid:durableId="362441716">
    <w:abstractNumId w:val="12"/>
  </w:num>
  <w:num w:numId="3" w16cid:durableId="611978835">
    <w:abstractNumId w:val="2"/>
  </w:num>
  <w:num w:numId="4" w16cid:durableId="1790317043">
    <w:abstractNumId w:val="8"/>
  </w:num>
  <w:num w:numId="5" w16cid:durableId="1039470909">
    <w:abstractNumId w:val="8"/>
  </w:num>
  <w:num w:numId="6" w16cid:durableId="428432949">
    <w:abstractNumId w:val="2"/>
  </w:num>
  <w:num w:numId="7" w16cid:durableId="1139764484">
    <w:abstractNumId w:val="2"/>
  </w:num>
  <w:num w:numId="8" w16cid:durableId="593712312">
    <w:abstractNumId w:val="6"/>
  </w:num>
  <w:num w:numId="9" w16cid:durableId="1886791774">
    <w:abstractNumId w:val="6"/>
  </w:num>
  <w:num w:numId="10" w16cid:durableId="143473222">
    <w:abstractNumId w:val="3"/>
  </w:num>
  <w:num w:numId="11" w16cid:durableId="1018314556">
    <w:abstractNumId w:val="11"/>
  </w:num>
  <w:num w:numId="12" w16cid:durableId="1179154681">
    <w:abstractNumId w:val="18"/>
  </w:num>
  <w:num w:numId="13" w16cid:durableId="359858715">
    <w:abstractNumId w:val="23"/>
  </w:num>
  <w:num w:numId="14" w16cid:durableId="1568497812">
    <w:abstractNumId w:val="14"/>
  </w:num>
  <w:num w:numId="15" w16cid:durableId="650183700">
    <w:abstractNumId w:val="10"/>
  </w:num>
  <w:num w:numId="16" w16cid:durableId="2014649448">
    <w:abstractNumId w:val="24"/>
  </w:num>
  <w:num w:numId="17" w16cid:durableId="192692163">
    <w:abstractNumId w:val="21"/>
  </w:num>
  <w:num w:numId="18" w16cid:durableId="886255310">
    <w:abstractNumId w:val="13"/>
  </w:num>
  <w:num w:numId="19" w16cid:durableId="140931583">
    <w:abstractNumId w:val="1"/>
  </w:num>
  <w:num w:numId="20" w16cid:durableId="168378285">
    <w:abstractNumId w:val="9"/>
  </w:num>
  <w:num w:numId="21" w16cid:durableId="964846916">
    <w:abstractNumId w:val="5"/>
  </w:num>
  <w:num w:numId="22" w16cid:durableId="422800978">
    <w:abstractNumId w:val="16"/>
  </w:num>
  <w:num w:numId="23" w16cid:durableId="609968365">
    <w:abstractNumId w:val="19"/>
  </w:num>
  <w:num w:numId="24" w16cid:durableId="1758864544">
    <w:abstractNumId w:val="15"/>
  </w:num>
  <w:num w:numId="25" w16cid:durableId="1195848955">
    <w:abstractNumId w:val="20"/>
  </w:num>
  <w:num w:numId="26" w16cid:durableId="579019493">
    <w:abstractNumId w:val="17"/>
  </w:num>
  <w:num w:numId="27" w16cid:durableId="450324646">
    <w:abstractNumId w:val="22"/>
  </w:num>
  <w:num w:numId="28" w16cid:durableId="517037469">
    <w:abstractNumId w:val="4"/>
  </w:num>
  <w:num w:numId="29" w16cid:durableId="1818719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5"/>
    <w:rsid w:val="00001608"/>
    <w:rsid w:val="00002892"/>
    <w:rsid w:val="00024FF8"/>
    <w:rsid w:val="0002788C"/>
    <w:rsid w:val="00072801"/>
    <w:rsid w:val="00077A18"/>
    <w:rsid w:val="0009066E"/>
    <w:rsid w:val="000A45CE"/>
    <w:rsid w:val="000C370A"/>
    <w:rsid w:val="000E1C9D"/>
    <w:rsid w:val="000F1C54"/>
    <w:rsid w:val="000F6775"/>
    <w:rsid w:val="00100B40"/>
    <w:rsid w:val="00104B97"/>
    <w:rsid w:val="001243C6"/>
    <w:rsid w:val="001275B4"/>
    <w:rsid w:val="00137B9B"/>
    <w:rsid w:val="001435F4"/>
    <w:rsid w:val="00154D84"/>
    <w:rsid w:val="001645B1"/>
    <w:rsid w:val="00180D9C"/>
    <w:rsid w:val="00185256"/>
    <w:rsid w:val="001918CB"/>
    <w:rsid w:val="001B2DB2"/>
    <w:rsid w:val="001C1846"/>
    <w:rsid w:val="001C27FA"/>
    <w:rsid w:val="001C31C4"/>
    <w:rsid w:val="001C53C7"/>
    <w:rsid w:val="001D08DA"/>
    <w:rsid w:val="001D47DE"/>
    <w:rsid w:val="001D4F95"/>
    <w:rsid w:val="001F47AE"/>
    <w:rsid w:val="002123A8"/>
    <w:rsid w:val="0022257C"/>
    <w:rsid w:val="00234996"/>
    <w:rsid w:val="002410CD"/>
    <w:rsid w:val="00245238"/>
    <w:rsid w:val="00245D4C"/>
    <w:rsid w:val="00263561"/>
    <w:rsid w:val="00274CD1"/>
    <w:rsid w:val="002A70A6"/>
    <w:rsid w:val="002F51F2"/>
    <w:rsid w:val="002F590C"/>
    <w:rsid w:val="00311E95"/>
    <w:rsid w:val="00317D43"/>
    <w:rsid w:val="0033471F"/>
    <w:rsid w:val="0033726B"/>
    <w:rsid w:val="003535E9"/>
    <w:rsid w:val="003A42E2"/>
    <w:rsid w:val="003A568B"/>
    <w:rsid w:val="003B3F16"/>
    <w:rsid w:val="003C2F0C"/>
    <w:rsid w:val="003D26AB"/>
    <w:rsid w:val="003D46DC"/>
    <w:rsid w:val="003E19DA"/>
    <w:rsid w:val="003F48B1"/>
    <w:rsid w:val="00427B61"/>
    <w:rsid w:val="004435B9"/>
    <w:rsid w:val="00454F4C"/>
    <w:rsid w:val="004921E5"/>
    <w:rsid w:val="004A3F64"/>
    <w:rsid w:val="004A7471"/>
    <w:rsid w:val="004B4CEC"/>
    <w:rsid w:val="004B5C79"/>
    <w:rsid w:val="004C1342"/>
    <w:rsid w:val="004D07C2"/>
    <w:rsid w:val="004D1888"/>
    <w:rsid w:val="004D709B"/>
    <w:rsid w:val="004D7479"/>
    <w:rsid w:val="004E51FC"/>
    <w:rsid w:val="004F4218"/>
    <w:rsid w:val="004F7541"/>
    <w:rsid w:val="0051158F"/>
    <w:rsid w:val="00530605"/>
    <w:rsid w:val="00532598"/>
    <w:rsid w:val="00556FAB"/>
    <w:rsid w:val="005577A8"/>
    <w:rsid w:val="00560867"/>
    <w:rsid w:val="0057188B"/>
    <w:rsid w:val="005C7635"/>
    <w:rsid w:val="00605538"/>
    <w:rsid w:val="00640B94"/>
    <w:rsid w:val="00654098"/>
    <w:rsid w:val="006542D4"/>
    <w:rsid w:val="00663CEE"/>
    <w:rsid w:val="00686FDB"/>
    <w:rsid w:val="00690698"/>
    <w:rsid w:val="00691EE2"/>
    <w:rsid w:val="006939CB"/>
    <w:rsid w:val="006A3E62"/>
    <w:rsid w:val="006C2260"/>
    <w:rsid w:val="006E1242"/>
    <w:rsid w:val="006E799E"/>
    <w:rsid w:val="006F3D5C"/>
    <w:rsid w:val="00705C41"/>
    <w:rsid w:val="007142B4"/>
    <w:rsid w:val="00717339"/>
    <w:rsid w:val="00731C31"/>
    <w:rsid w:val="00735D64"/>
    <w:rsid w:val="0075055B"/>
    <w:rsid w:val="0075261B"/>
    <w:rsid w:val="00763521"/>
    <w:rsid w:val="007729B2"/>
    <w:rsid w:val="00773FF9"/>
    <w:rsid w:val="007746D4"/>
    <w:rsid w:val="007923B3"/>
    <w:rsid w:val="007B48B0"/>
    <w:rsid w:val="007B5D93"/>
    <w:rsid w:val="007F35D0"/>
    <w:rsid w:val="008711AC"/>
    <w:rsid w:val="00885CD8"/>
    <w:rsid w:val="008D06F6"/>
    <w:rsid w:val="008D5001"/>
    <w:rsid w:val="008E0EE7"/>
    <w:rsid w:val="008E4B9E"/>
    <w:rsid w:val="00911C0C"/>
    <w:rsid w:val="00951B92"/>
    <w:rsid w:val="0096691D"/>
    <w:rsid w:val="009767BD"/>
    <w:rsid w:val="00977A7A"/>
    <w:rsid w:val="00990BC4"/>
    <w:rsid w:val="009B5B05"/>
    <w:rsid w:val="009D001B"/>
    <w:rsid w:val="009E5F40"/>
    <w:rsid w:val="00A21548"/>
    <w:rsid w:val="00A22784"/>
    <w:rsid w:val="00A232C8"/>
    <w:rsid w:val="00A266C1"/>
    <w:rsid w:val="00A36A14"/>
    <w:rsid w:val="00A42820"/>
    <w:rsid w:val="00A42E83"/>
    <w:rsid w:val="00A53A5F"/>
    <w:rsid w:val="00A54B20"/>
    <w:rsid w:val="00A5703E"/>
    <w:rsid w:val="00A81789"/>
    <w:rsid w:val="00A910FA"/>
    <w:rsid w:val="00A94AB8"/>
    <w:rsid w:val="00AE39F3"/>
    <w:rsid w:val="00AF4B1E"/>
    <w:rsid w:val="00B021B2"/>
    <w:rsid w:val="00B25134"/>
    <w:rsid w:val="00B43E1E"/>
    <w:rsid w:val="00B97A95"/>
    <w:rsid w:val="00BA7463"/>
    <w:rsid w:val="00BD5FF0"/>
    <w:rsid w:val="00BE1BC7"/>
    <w:rsid w:val="00BE4AC2"/>
    <w:rsid w:val="00BE6DB3"/>
    <w:rsid w:val="00BE7F1F"/>
    <w:rsid w:val="00BF7557"/>
    <w:rsid w:val="00C102A0"/>
    <w:rsid w:val="00C23334"/>
    <w:rsid w:val="00C605A0"/>
    <w:rsid w:val="00C61844"/>
    <w:rsid w:val="00CA1D84"/>
    <w:rsid w:val="00CA6403"/>
    <w:rsid w:val="00CA7330"/>
    <w:rsid w:val="00CB3CA1"/>
    <w:rsid w:val="00CC429D"/>
    <w:rsid w:val="00CC5749"/>
    <w:rsid w:val="00CC623C"/>
    <w:rsid w:val="00CC795E"/>
    <w:rsid w:val="00CD590B"/>
    <w:rsid w:val="00CE1C8B"/>
    <w:rsid w:val="00D04BF9"/>
    <w:rsid w:val="00D16360"/>
    <w:rsid w:val="00D1698D"/>
    <w:rsid w:val="00D17ED9"/>
    <w:rsid w:val="00D41079"/>
    <w:rsid w:val="00D453D8"/>
    <w:rsid w:val="00D64D36"/>
    <w:rsid w:val="00D674C6"/>
    <w:rsid w:val="00D81DD9"/>
    <w:rsid w:val="00D97C2C"/>
    <w:rsid w:val="00DB09CE"/>
    <w:rsid w:val="00DD3D06"/>
    <w:rsid w:val="00DE66B2"/>
    <w:rsid w:val="00DF24B3"/>
    <w:rsid w:val="00E20A14"/>
    <w:rsid w:val="00E2508C"/>
    <w:rsid w:val="00E722DF"/>
    <w:rsid w:val="00E74EB5"/>
    <w:rsid w:val="00E83106"/>
    <w:rsid w:val="00E9297C"/>
    <w:rsid w:val="00EC00C1"/>
    <w:rsid w:val="00EC2E29"/>
    <w:rsid w:val="00EC6263"/>
    <w:rsid w:val="00ED15F6"/>
    <w:rsid w:val="00ED2F0B"/>
    <w:rsid w:val="00EF4C4E"/>
    <w:rsid w:val="00F029DC"/>
    <w:rsid w:val="00F10992"/>
    <w:rsid w:val="00F319CE"/>
    <w:rsid w:val="00F35314"/>
    <w:rsid w:val="00F466D3"/>
    <w:rsid w:val="00F65712"/>
    <w:rsid w:val="00FA5F3B"/>
    <w:rsid w:val="00FB3FCD"/>
    <w:rsid w:val="00FB4A6C"/>
    <w:rsid w:val="00FB5C07"/>
    <w:rsid w:val="00FB612E"/>
    <w:rsid w:val="00FC0F88"/>
    <w:rsid w:val="00FC54DD"/>
    <w:rsid w:val="00FD470B"/>
    <w:rsid w:val="00FF06A9"/>
    <w:rsid w:val="06AAD8D4"/>
    <w:rsid w:val="0A19F953"/>
    <w:rsid w:val="10D230A3"/>
    <w:rsid w:val="11519936"/>
    <w:rsid w:val="171A1C7F"/>
    <w:rsid w:val="1A61CBE2"/>
    <w:rsid w:val="27FFA5B5"/>
    <w:rsid w:val="2C30B992"/>
    <w:rsid w:val="2DCF9599"/>
    <w:rsid w:val="3112F4F5"/>
    <w:rsid w:val="3605C329"/>
    <w:rsid w:val="368FC530"/>
    <w:rsid w:val="428874D1"/>
    <w:rsid w:val="430E9A5B"/>
    <w:rsid w:val="4CEB5DA8"/>
    <w:rsid w:val="510B0267"/>
    <w:rsid w:val="54FE4201"/>
    <w:rsid w:val="55D7059C"/>
    <w:rsid w:val="570919DF"/>
    <w:rsid w:val="570D9D91"/>
    <w:rsid w:val="58C5BE34"/>
    <w:rsid w:val="5A9B9DE5"/>
    <w:rsid w:val="5FF3417C"/>
    <w:rsid w:val="62257C18"/>
    <w:rsid w:val="66046FD4"/>
    <w:rsid w:val="6698C63E"/>
    <w:rsid w:val="68200993"/>
    <w:rsid w:val="6971BEAA"/>
    <w:rsid w:val="7113CEA8"/>
    <w:rsid w:val="7794C2CF"/>
    <w:rsid w:val="78DB8E4C"/>
    <w:rsid w:val="798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8D4A"/>
  <w15:chartTrackingRefBased/>
  <w15:docId w15:val="{FB25E971-208B-4FE1-AE1D-5D4F3699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10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7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A9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A9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A9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A9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97A9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A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A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A9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97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A95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B97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A95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97A9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A95"/>
    <w:pPr>
      <w:spacing w:after="160" w:line="240" w:lineRule="auto"/>
      <w:contextualSpacing w:val="0"/>
    </w:pPr>
    <w:rPr>
      <w:rFonts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A95"/>
    <w:rPr>
      <w:sz w:val="20"/>
      <w:szCs w:val="20"/>
    </w:rPr>
  </w:style>
  <w:style w:type="character" w:customStyle="1" w:styleId="normaltextrun">
    <w:name w:val="normaltextrun"/>
    <w:basedOn w:val="Domylnaczcionkaakapitu"/>
    <w:rsid w:val="00B97A95"/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B97A95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B97A9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97A95"/>
    <w:pPr>
      <w:spacing w:line="480" w:lineRule="auto"/>
      <w:ind w:left="283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7A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A95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A95"/>
    <w:rPr>
      <w:rFonts w:cstheme="minorHAnsi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A95"/>
    <w:pPr>
      <w:spacing w:after="120"/>
      <w:contextualSpacing/>
    </w:pPr>
    <w:rPr>
      <w:rFonts w:cstheme="minorHAns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A95"/>
    <w:rPr>
      <w:rFonts w:cstheme="minorHAns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85256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character" w:styleId="Pogrubienie">
    <w:name w:val="Strong"/>
    <w:qFormat/>
    <w:rsid w:val="001D4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2593</Words>
  <Characters>15564</Characters>
  <Application>Microsoft Office Word</Application>
  <DocSecurity>0</DocSecurity>
  <Lines>129</Lines>
  <Paragraphs>36</Paragraphs>
  <ScaleCrop>false</ScaleCrop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Niedźwiedzki Łukasz</dc:creator>
  <cp:keywords/>
  <dc:description/>
  <cp:lastModifiedBy>Wyszomirska-Salem Małgorzata</cp:lastModifiedBy>
  <cp:revision>94</cp:revision>
  <dcterms:created xsi:type="dcterms:W3CDTF">2025-03-20T00:42:00Z</dcterms:created>
  <dcterms:modified xsi:type="dcterms:W3CDTF">2025-04-30T11:19:00Z</dcterms:modified>
</cp:coreProperties>
</file>