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4373" w14:textId="3DE0B031" w:rsidR="003535E9" w:rsidRPr="0049774D" w:rsidRDefault="00810552" w:rsidP="00810552">
      <w:pPr>
        <w:pStyle w:val="Nagwek1"/>
        <w:spacing w:before="2160"/>
        <w:contextualSpacing w:val="0"/>
        <w:jc w:val="center"/>
      </w:pPr>
      <w:bookmarkStart w:id="1" w:name="_Hlk219899567"/>
      <w:bookmarkEnd w:id="1"/>
      <w:r w:rsidRPr="0049774D">
        <w:t>Raport z konsultacji społecznych wstępnej wersji „Standardu dostępności architektonicznej, cyfrowej i informacyjno-komunikacyjnej dla gabinetów i świadczonych w nich usług stomatologicznych”.</w:t>
      </w:r>
    </w:p>
    <w:p w14:paraId="6AB5702C" w14:textId="00402BF5" w:rsidR="00810552" w:rsidRPr="0049774D" w:rsidRDefault="00810552" w:rsidP="00E6783F">
      <w:pPr>
        <w:tabs>
          <w:tab w:val="left" w:pos="3570"/>
          <w:tab w:val="center" w:pos="4536"/>
        </w:tabs>
        <w:spacing w:before="7080"/>
        <w:contextualSpacing w:val="0"/>
        <w:jc w:val="center"/>
      </w:pPr>
      <w:r w:rsidRPr="0049774D">
        <w:t>styczeń 2026 r.</w:t>
      </w:r>
    </w:p>
    <w:p w14:paraId="646EE382" w14:textId="5ADEC656" w:rsidR="00810552" w:rsidRPr="0049774D" w:rsidRDefault="00810552" w:rsidP="005B6AEF">
      <w:pPr>
        <w:pStyle w:val="Nagwek2"/>
        <w:contextualSpacing w:val="0"/>
      </w:pPr>
      <w:r w:rsidRPr="0049774D">
        <w:lastRenderedPageBreak/>
        <w:t>Wstęp</w:t>
      </w:r>
    </w:p>
    <w:p w14:paraId="65E1BB7A" w14:textId="3EE98338" w:rsidR="005274A4" w:rsidRPr="0049774D" w:rsidRDefault="005274A4" w:rsidP="00955751">
      <w:pPr>
        <w:contextualSpacing w:val="0"/>
      </w:pPr>
      <w:r w:rsidRPr="0049774D">
        <w:t>Przedstawiamy raport z konsultacji społecznych wersji wstępnej „Standardu dostępności architektonicznej, cyfrowej i informacyjno-komunikacyjnej dla gabinetów i świadczonych w nich usług stomatologicznych”, opracowanego w ramach projektu „Dostępna stomatologia”.</w:t>
      </w:r>
    </w:p>
    <w:p w14:paraId="1C924F9D" w14:textId="143239D7" w:rsidR="00955751" w:rsidRPr="0049774D" w:rsidRDefault="00E12BA4" w:rsidP="00955751">
      <w:pPr>
        <w:contextualSpacing w:val="0"/>
      </w:pPr>
      <w:r w:rsidRPr="0049774D">
        <w:t xml:space="preserve">Projekt „Dostępna stomatologia” jest realizowany przez Państwowy Fundusz Rehabilitacji Osób Niepełnosprawnych (PFRON) w partnerstwie z Polskim Towarzystwem Stomatologicznym (PTS) oraz fundacją AVALON – bezpośrednia pomoc niepełnosprawnym. Jego celem jest </w:t>
      </w:r>
      <w:r w:rsidR="00955751" w:rsidRPr="0049774D">
        <w:t>zwiększenie dostępności do usług stomatologicznych pacjentów i pacjentek z niepełnosprawnościami (OzN) oraz ze szczególnymi potrzebami.</w:t>
      </w:r>
      <w:r w:rsidR="009B296A" w:rsidRPr="0049774D">
        <w:t xml:space="preserve"> </w:t>
      </w:r>
      <w:r w:rsidR="002102BF" w:rsidRPr="0049774D">
        <w:t>Pr</w:t>
      </w:r>
      <w:r w:rsidR="00955751" w:rsidRPr="0049774D">
        <w:t>zedsięwzięcie</w:t>
      </w:r>
      <w:r w:rsidR="005B6AEF" w:rsidRPr="0049774D">
        <w:t xml:space="preserve"> jest </w:t>
      </w:r>
      <w:r w:rsidR="002102BF" w:rsidRPr="0049774D">
        <w:t>finansowan</w:t>
      </w:r>
      <w:r w:rsidR="00955751" w:rsidRPr="0049774D">
        <w:t>e</w:t>
      </w:r>
      <w:r w:rsidR="002102BF" w:rsidRPr="0049774D">
        <w:t xml:space="preserve"> z funduszy europejskich w</w:t>
      </w:r>
      <w:r w:rsidR="00543666" w:rsidRPr="0049774D">
        <w:t> </w:t>
      </w:r>
      <w:r w:rsidR="002102BF" w:rsidRPr="0049774D">
        <w:t>ramach priorytetu 03 Dostępność i usługi dla osób z</w:t>
      </w:r>
      <w:r w:rsidR="009B296A" w:rsidRPr="0049774D">
        <w:t> </w:t>
      </w:r>
      <w:r w:rsidR="002102BF" w:rsidRPr="0049774D">
        <w:t>niepełnosprawnościami, działania 03.03 Systemowa poprawa dostępności, Programu Fundusze Europejskie dla Rozwoju Społecznego 2021-2027.</w:t>
      </w:r>
    </w:p>
    <w:p w14:paraId="59E6343D" w14:textId="53979C27" w:rsidR="002102BF" w:rsidRPr="0049774D" w:rsidRDefault="005B6AEF" w:rsidP="00955751">
      <w:pPr>
        <w:contextualSpacing w:val="0"/>
      </w:pPr>
      <w:r w:rsidRPr="0049774D">
        <w:t xml:space="preserve">W </w:t>
      </w:r>
      <w:r w:rsidR="00955751" w:rsidRPr="0049774D">
        <w:t>ramach projektu</w:t>
      </w:r>
      <w:r w:rsidRPr="0049774D">
        <w:t xml:space="preserve"> </w:t>
      </w:r>
      <w:r w:rsidR="00694188" w:rsidRPr="0049774D">
        <w:t>zespół</w:t>
      </w:r>
      <w:r w:rsidR="00FA5545" w:rsidRPr="0049774D">
        <w:t> </w:t>
      </w:r>
      <w:r w:rsidR="00694188" w:rsidRPr="0049774D">
        <w:t>ekspertów</w:t>
      </w:r>
      <w:r w:rsidR="00940640" w:rsidRPr="0049774D">
        <w:t xml:space="preserve"> i ekspertek</w:t>
      </w:r>
      <w:r w:rsidR="00694188" w:rsidRPr="0049774D">
        <w:t xml:space="preserve"> opracował</w:t>
      </w:r>
      <w:r w:rsidR="00C07027" w:rsidRPr="0049774D">
        <w:t xml:space="preserve"> </w:t>
      </w:r>
      <w:r w:rsidR="00F83A56" w:rsidRPr="0049774D">
        <w:t xml:space="preserve">„Standard </w:t>
      </w:r>
      <w:r w:rsidR="00AB5EAB" w:rsidRPr="0049774D">
        <w:t>dostępności architektonicznej, cyfrowej i</w:t>
      </w:r>
      <w:r w:rsidR="00940640" w:rsidRPr="0049774D">
        <w:t> </w:t>
      </w:r>
      <w:r w:rsidR="00AB5EAB" w:rsidRPr="0049774D">
        <w:t>informacyjno-komunikacyjnej dla gabinetów i</w:t>
      </w:r>
      <w:r w:rsidR="00543666" w:rsidRPr="0049774D">
        <w:t> </w:t>
      </w:r>
      <w:r w:rsidR="00AB5EAB" w:rsidRPr="0049774D">
        <w:t>świadczonych w</w:t>
      </w:r>
      <w:r w:rsidR="009B296A" w:rsidRPr="0049774D">
        <w:t> </w:t>
      </w:r>
      <w:r w:rsidR="00AB5EAB" w:rsidRPr="0049774D">
        <w:t>nich usług stomatologicznych</w:t>
      </w:r>
      <w:r w:rsidR="00F83A56" w:rsidRPr="0049774D">
        <w:t>”</w:t>
      </w:r>
      <w:r w:rsidR="00694188" w:rsidRPr="0049774D">
        <w:t xml:space="preserve"> (wersj</w:t>
      </w:r>
      <w:r w:rsidR="002102BF" w:rsidRPr="0049774D">
        <w:t>ę</w:t>
      </w:r>
      <w:r w:rsidR="00694188" w:rsidRPr="0049774D">
        <w:t xml:space="preserve"> wstępną dokumentu)</w:t>
      </w:r>
      <w:r w:rsidR="00AB5EAB" w:rsidRPr="0049774D">
        <w:t>.</w:t>
      </w:r>
    </w:p>
    <w:p w14:paraId="50759CD7" w14:textId="5ACFF7DB" w:rsidR="009B296A" w:rsidRPr="0049774D" w:rsidRDefault="00955751" w:rsidP="00C07027">
      <w:pPr>
        <w:contextualSpacing w:val="0"/>
      </w:pPr>
      <w:r w:rsidRPr="0049774D">
        <w:t>Konsultacje społeczne standardu rozpoczęto z</w:t>
      </w:r>
      <w:r w:rsidR="00C07027" w:rsidRPr="0049774D">
        <w:t xml:space="preserve"> końcem 2025 roku. </w:t>
      </w:r>
      <w:r w:rsidR="008D1748" w:rsidRPr="0049774D">
        <w:t xml:space="preserve">Celem </w:t>
      </w:r>
      <w:r w:rsidR="00FC49CA" w:rsidRPr="0049774D">
        <w:t>ich</w:t>
      </w:r>
      <w:r w:rsidR="007A3D95" w:rsidRPr="0049774D">
        <w:t xml:space="preserve"> </w:t>
      </w:r>
      <w:r w:rsidR="008D1748" w:rsidRPr="0049774D">
        <w:t>było zebranie opinii</w:t>
      </w:r>
      <w:r w:rsidRPr="0049774D">
        <w:t>, uwag</w:t>
      </w:r>
      <w:r w:rsidR="008D1748" w:rsidRPr="0049774D">
        <w:t xml:space="preserve"> </w:t>
      </w:r>
      <w:r w:rsidRPr="0049774D">
        <w:t>oraz</w:t>
      </w:r>
      <w:r w:rsidR="008D1748" w:rsidRPr="0049774D">
        <w:t xml:space="preserve"> propozycji zmian, które pomogą ulepszyć dokument. </w:t>
      </w:r>
      <w:r w:rsidR="00940640" w:rsidRPr="0049774D">
        <w:t xml:space="preserve">Informacje </w:t>
      </w:r>
      <w:r w:rsidR="009B296A" w:rsidRPr="0049774D">
        <w:t>o </w:t>
      </w:r>
      <w:r w:rsidR="008D1748" w:rsidRPr="0049774D">
        <w:t>konsultacj</w:t>
      </w:r>
      <w:r w:rsidR="009B296A" w:rsidRPr="0049774D">
        <w:t>ach</w:t>
      </w:r>
      <w:r w:rsidR="008D1748" w:rsidRPr="0049774D">
        <w:t xml:space="preserve"> </w:t>
      </w:r>
      <w:r w:rsidR="00543666" w:rsidRPr="0049774D">
        <w:t>udostępniono</w:t>
      </w:r>
      <w:r w:rsidR="00940640" w:rsidRPr="0049774D">
        <w:t xml:space="preserve"> na stronie internetowej</w:t>
      </w:r>
      <w:r w:rsidR="007A3D95" w:rsidRPr="0049774D">
        <w:t xml:space="preserve"> oraz w mediach społecznościowych</w:t>
      </w:r>
      <w:r w:rsidR="00940640" w:rsidRPr="0049774D">
        <w:t xml:space="preserve"> PFRON</w:t>
      </w:r>
      <w:r w:rsidR="007A3D95" w:rsidRPr="0049774D">
        <w:t xml:space="preserve"> i</w:t>
      </w:r>
      <w:r w:rsidR="00543666" w:rsidRPr="0049774D">
        <w:t> </w:t>
      </w:r>
      <w:r w:rsidR="007A3D95" w:rsidRPr="0049774D">
        <w:t>partnerów</w:t>
      </w:r>
      <w:r w:rsidR="00940640" w:rsidRPr="0049774D">
        <w:t xml:space="preserve">. </w:t>
      </w:r>
      <w:r w:rsidR="009B296A" w:rsidRPr="0049774D">
        <w:t>Dodatkowo wysyłano</w:t>
      </w:r>
      <w:r w:rsidR="00940640" w:rsidRPr="0049774D">
        <w:t xml:space="preserve"> zaproszenia na </w:t>
      </w:r>
      <w:r w:rsidR="00FE3509" w:rsidRPr="0049774D">
        <w:t>spotkania</w:t>
      </w:r>
      <w:r w:rsidR="00940640" w:rsidRPr="0049774D">
        <w:t xml:space="preserve"> stacjonarne do</w:t>
      </w:r>
      <w:r w:rsidR="008D1748" w:rsidRPr="0049774D">
        <w:t> </w:t>
      </w:r>
      <w:r w:rsidR="00FE3509" w:rsidRPr="0049774D">
        <w:t xml:space="preserve">podmiotów prowadzących działalność w zakresie usług stomatologicznych oraz/lub </w:t>
      </w:r>
      <w:r w:rsidR="009B296A" w:rsidRPr="0049774D">
        <w:t xml:space="preserve">podmiotów </w:t>
      </w:r>
      <w:r w:rsidR="00FE3509" w:rsidRPr="0049774D">
        <w:t>wsp</w:t>
      </w:r>
      <w:r w:rsidR="009B296A" w:rsidRPr="0049774D">
        <w:t>ierających</w:t>
      </w:r>
      <w:r w:rsidR="00FE3509" w:rsidRPr="0049774D">
        <w:t xml:space="preserve"> os</w:t>
      </w:r>
      <w:r w:rsidR="009B296A" w:rsidRPr="0049774D">
        <w:t>o</w:t>
      </w:r>
      <w:r w:rsidR="00FE3509" w:rsidRPr="0049774D">
        <w:t>b</w:t>
      </w:r>
      <w:r w:rsidR="009B296A" w:rsidRPr="0049774D">
        <w:t>y</w:t>
      </w:r>
      <w:r w:rsidR="00FE3509" w:rsidRPr="0049774D">
        <w:t xml:space="preserve"> z niepełnoprawnościami</w:t>
      </w:r>
      <w:r w:rsidR="00940640" w:rsidRPr="0049774D">
        <w:t xml:space="preserve">. </w:t>
      </w:r>
      <w:r w:rsidR="00C07027" w:rsidRPr="0049774D">
        <w:t xml:space="preserve">Do udziału </w:t>
      </w:r>
      <w:r w:rsidR="002102BF" w:rsidRPr="0049774D">
        <w:t>zaproszono</w:t>
      </w:r>
      <w:r w:rsidR="009B296A" w:rsidRPr="0049774D">
        <w:t xml:space="preserve"> przedstawicieli:</w:t>
      </w:r>
    </w:p>
    <w:p w14:paraId="40BA6E43" w14:textId="7884C38C" w:rsidR="009B296A" w:rsidRPr="0049774D" w:rsidRDefault="00C07027" w:rsidP="009B296A">
      <w:pPr>
        <w:pStyle w:val="Akapitzlist"/>
        <w:numPr>
          <w:ilvl w:val="0"/>
          <w:numId w:val="32"/>
        </w:numPr>
        <w:contextualSpacing w:val="0"/>
      </w:pPr>
      <w:r w:rsidRPr="0049774D">
        <w:t>instytucji publicznych (</w:t>
      </w:r>
      <w:r w:rsidR="00543666" w:rsidRPr="0049774D">
        <w:t>w tym:</w:t>
      </w:r>
      <w:r w:rsidRPr="0049774D">
        <w:t xml:space="preserve"> Ministerstwa Zdrowia, Narodowego Funduszu Zdrowia, Ministerstwa Funduszy i Polityki Regionalnej</w:t>
      </w:r>
      <w:r w:rsidR="004347EA" w:rsidRPr="0049774D">
        <w:t xml:space="preserve"> i działającej przy nim Rady Dostępności</w:t>
      </w:r>
      <w:r w:rsidRPr="0049774D">
        <w:t xml:space="preserve">, Biura Pełnomocnika Rządu do Spraw Osób Niepełnosprawnych, </w:t>
      </w:r>
      <w:r w:rsidR="00AF11B6" w:rsidRPr="0049774D">
        <w:t xml:space="preserve">Biura Rzecznika Praw Pacjenta, </w:t>
      </w:r>
      <w:r w:rsidRPr="0049774D">
        <w:t>Komisji Stomatologicznej Naczelnej Izby Lekarskiej</w:t>
      </w:r>
      <w:r w:rsidR="00E271F5" w:rsidRPr="0049774D">
        <w:t>)</w:t>
      </w:r>
      <w:r w:rsidRPr="0049774D">
        <w:t>,</w:t>
      </w:r>
    </w:p>
    <w:p w14:paraId="5762A07D" w14:textId="77777777" w:rsidR="009B296A" w:rsidRPr="0049774D" w:rsidRDefault="00C07027" w:rsidP="009B296A">
      <w:pPr>
        <w:pStyle w:val="Akapitzlist"/>
        <w:numPr>
          <w:ilvl w:val="0"/>
          <w:numId w:val="32"/>
        </w:numPr>
        <w:contextualSpacing w:val="0"/>
      </w:pPr>
      <w:r w:rsidRPr="0049774D">
        <w:t>organizacji zrzeszających lekarzy stomatologów</w:t>
      </w:r>
      <w:r w:rsidR="00E271F5" w:rsidRPr="0049774D">
        <w:t xml:space="preserve"> i</w:t>
      </w:r>
      <w:r w:rsidR="00C75F33" w:rsidRPr="0049774D">
        <w:t> </w:t>
      </w:r>
      <w:r w:rsidR="00E271F5" w:rsidRPr="0049774D">
        <w:t>studentów stomatologii</w:t>
      </w:r>
      <w:r w:rsidRPr="0049774D">
        <w:t>,</w:t>
      </w:r>
    </w:p>
    <w:p w14:paraId="18D1280A" w14:textId="45332D6E" w:rsidR="009B296A" w:rsidRPr="0049774D" w:rsidRDefault="00E271F5" w:rsidP="009B296A">
      <w:pPr>
        <w:pStyle w:val="Akapitzlist"/>
        <w:numPr>
          <w:ilvl w:val="0"/>
          <w:numId w:val="32"/>
        </w:numPr>
        <w:contextualSpacing w:val="0"/>
      </w:pPr>
      <w:r w:rsidRPr="0049774D">
        <w:t>uniwersytetów medycznych,</w:t>
      </w:r>
    </w:p>
    <w:p w14:paraId="7348D06A" w14:textId="40C0BA9F" w:rsidR="00F06B14" w:rsidRPr="0049774D" w:rsidRDefault="00E271F5" w:rsidP="009B296A">
      <w:pPr>
        <w:pStyle w:val="Akapitzlist"/>
        <w:numPr>
          <w:ilvl w:val="0"/>
          <w:numId w:val="32"/>
        </w:numPr>
        <w:contextualSpacing w:val="0"/>
      </w:pPr>
      <w:r w:rsidRPr="0049774D">
        <w:t xml:space="preserve">organizacji pozarządowych </w:t>
      </w:r>
      <w:r w:rsidR="00C07027" w:rsidRPr="0049774D">
        <w:t xml:space="preserve">reprezentujących osoby z </w:t>
      </w:r>
      <w:r w:rsidRPr="0049774D">
        <w:t xml:space="preserve">różnymi </w:t>
      </w:r>
      <w:r w:rsidR="00C07027" w:rsidRPr="0049774D">
        <w:t>niepełnosprawnościami</w:t>
      </w:r>
      <w:r w:rsidR="00940640" w:rsidRPr="0049774D">
        <w:t>.</w:t>
      </w:r>
    </w:p>
    <w:p w14:paraId="6A5B824D" w14:textId="55999E01" w:rsidR="00C75F33" w:rsidRPr="0049774D" w:rsidRDefault="00C75F33" w:rsidP="008D1748">
      <w:pPr>
        <w:contextualSpacing w:val="0"/>
      </w:pPr>
      <w:r w:rsidRPr="0049774D">
        <w:t>Poniższy raport pows</w:t>
      </w:r>
      <w:r w:rsidR="002102BF" w:rsidRPr="0049774D">
        <w:t xml:space="preserve">tał po zakończeniu konsultacji. Jego załącznikiem jest szczegółowy wykaz </w:t>
      </w:r>
      <w:r w:rsidR="009B296A" w:rsidRPr="0049774D">
        <w:t xml:space="preserve">wszystkich </w:t>
      </w:r>
      <w:r w:rsidR="002102BF" w:rsidRPr="0049774D">
        <w:t xml:space="preserve">zgłoszonych uwag wraz z informacją </w:t>
      </w:r>
      <w:r w:rsidR="009B296A" w:rsidRPr="0049774D">
        <w:t>o sposobie ich rozpatrzenia i </w:t>
      </w:r>
      <w:r w:rsidR="002102BF" w:rsidRPr="0049774D">
        <w:t>uwzględnienia w standardzie.</w:t>
      </w:r>
    </w:p>
    <w:p w14:paraId="377EA9A3" w14:textId="0E46967E" w:rsidR="00424C76" w:rsidRPr="0049774D" w:rsidRDefault="00424C76">
      <w:pPr>
        <w:contextualSpacing w:val="0"/>
      </w:pPr>
      <w:r w:rsidRPr="0049774D">
        <w:br w:type="page"/>
      </w:r>
    </w:p>
    <w:p w14:paraId="5262C4AB" w14:textId="1739C884" w:rsidR="00D07ED1" w:rsidRPr="0049774D" w:rsidRDefault="00810552" w:rsidP="005B6AEF">
      <w:pPr>
        <w:pStyle w:val="Nagwek2"/>
        <w:contextualSpacing w:val="0"/>
      </w:pPr>
      <w:r w:rsidRPr="0049774D">
        <w:lastRenderedPageBreak/>
        <w:t>Przebieg konsultacji</w:t>
      </w:r>
    </w:p>
    <w:p w14:paraId="27FB1738" w14:textId="721608F6" w:rsidR="00810552" w:rsidRPr="0049774D" w:rsidRDefault="00810552" w:rsidP="005B6AEF">
      <w:pPr>
        <w:pStyle w:val="Nagwek3"/>
        <w:contextualSpacing w:val="0"/>
      </w:pPr>
      <w:r w:rsidRPr="0049774D">
        <w:t>Terminy i miejsca konsultacji</w:t>
      </w:r>
    </w:p>
    <w:p w14:paraId="03A139BC" w14:textId="4DC13B61" w:rsidR="009469A1" w:rsidRPr="0049774D" w:rsidRDefault="00E706D0" w:rsidP="009469A1">
      <w:pPr>
        <w:contextualSpacing w:val="0"/>
      </w:pPr>
      <w:r w:rsidRPr="0049774D">
        <w:t xml:space="preserve">Uwagi do standardu zbierano </w:t>
      </w:r>
      <w:r w:rsidR="009469A1" w:rsidRPr="0049774D">
        <w:t>w okresie listopad – grudzień 2025 roku poprzez:</w:t>
      </w:r>
    </w:p>
    <w:p w14:paraId="58ACDE46" w14:textId="5CA5990E" w:rsidR="009469A1" w:rsidRPr="0049774D" w:rsidRDefault="009469A1" w:rsidP="00F32470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49774D">
        <w:t>spotkania stacjonarne – w Warszawie oraz we Wrocławiu</w:t>
      </w:r>
      <w:r w:rsidR="005B6AEF" w:rsidRPr="0049774D">
        <w:t>,</w:t>
      </w:r>
    </w:p>
    <w:p w14:paraId="0D29D47A" w14:textId="6067F273" w:rsidR="009469A1" w:rsidRPr="0049774D" w:rsidRDefault="00F83A56" w:rsidP="00F32470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49774D">
        <w:t xml:space="preserve">zamieszczony na stronie PFRON </w:t>
      </w:r>
      <w:r w:rsidR="009469A1" w:rsidRPr="0049774D">
        <w:t>formularz</w:t>
      </w:r>
      <w:r w:rsidRPr="0049774D">
        <w:t>.</w:t>
      </w:r>
    </w:p>
    <w:p w14:paraId="0C81F040" w14:textId="7584C290" w:rsidR="00810552" w:rsidRPr="0049774D" w:rsidRDefault="007436C0" w:rsidP="00D07ED1">
      <w:pPr>
        <w:pStyle w:val="Nagwek3"/>
      </w:pPr>
      <w:r w:rsidRPr="0049774D">
        <w:t>Uczestnicy</w:t>
      </w:r>
    </w:p>
    <w:p w14:paraId="2015DC71" w14:textId="77777777" w:rsidR="004A641D" w:rsidRPr="0049774D" w:rsidRDefault="00105E33" w:rsidP="007436C0">
      <w:r w:rsidRPr="0049774D">
        <w:rPr>
          <w:noProof/>
        </w:rPr>
        <w:drawing>
          <wp:inline distT="0" distB="0" distL="0" distR="0" wp14:anchorId="7ABBB9B2" wp14:editId="6F60B187">
            <wp:extent cx="5486400" cy="3200400"/>
            <wp:effectExtent l="0" t="0" r="0" b="0"/>
            <wp:docPr id="1483443426" name="Wykres 5" descr="Wykres kołowy przedstawia rozkład liczebności uczestników konsultacji. Najwięcej przedstawicieli podmiotów uczestniczyło konsultacjach w Warszawie (50% wszystkich podmiotów), w drugiej kolejności w konsultacjach stacjonarnych we Wrocławiu (30% wszystkich podmiotów), najmniej w konsultacjach online (20% podmiotów)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1201BA" w14:textId="7170CAEB" w:rsidR="007436C0" w:rsidRPr="0049774D" w:rsidRDefault="00105E33" w:rsidP="00E706D0">
      <w:pPr>
        <w:spacing w:before="240"/>
        <w:contextualSpacing w:val="0"/>
      </w:pPr>
      <w:r w:rsidRPr="0049774D">
        <w:t xml:space="preserve">W </w:t>
      </w:r>
      <w:r w:rsidR="007436C0" w:rsidRPr="0049774D">
        <w:t>konsultacjach wzięły udział 23 podmioty:</w:t>
      </w:r>
    </w:p>
    <w:p w14:paraId="30D910CA" w14:textId="009BB9B9" w:rsidR="007436C0" w:rsidRPr="0049774D" w:rsidRDefault="007436C0" w:rsidP="007436C0">
      <w:pPr>
        <w:numPr>
          <w:ilvl w:val="0"/>
          <w:numId w:val="26"/>
        </w:numPr>
        <w:contextualSpacing w:val="0"/>
      </w:pPr>
      <w:r w:rsidRPr="0049774D">
        <w:t>instytucje publiczne (w tym: Ministerstwo Funduszy i Polityki Regionalnej, Narodowy Fundusz Zdrowia, Biuro Rzecznika Praw Pacjenta, Ośrodek Wsparcia i Testów, Dolnośląska Izba Lekarska</w:t>
      </w:r>
      <w:r w:rsidR="007A3D95" w:rsidRPr="0049774D">
        <w:t>)</w:t>
      </w:r>
      <w:r w:rsidRPr="0049774D">
        <w:t>;</w:t>
      </w:r>
    </w:p>
    <w:p w14:paraId="1265F585" w14:textId="1CF238E3" w:rsidR="007436C0" w:rsidRPr="0049774D" w:rsidRDefault="00F83A56" w:rsidP="007436C0">
      <w:pPr>
        <w:numPr>
          <w:ilvl w:val="0"/>
          <w:numId w:val="26"/>
        </w:numPr>
        <w:contextualSpacing w:val="0"/>
      </w:pPr>
      <w:r w:rsidRPr="0049774D">
        <w:t>uczelnie</w:t>
      </w:r>
      <w:r w:rsidR="005B6AEF" w:rsidRPr="0049774D">
        <w:t>, w tym</w:t>
      </w:r>
      <w:r w:rsidR="00940640" w:rsidRPr="0049774D">
        <w:t xml:space="preserve"> </w:t>
      </w:r>
      <w:r w:rsidR="00F32470" w:rsidRPr="0049774D">
        <w:t xml:space="preserve">uczelnie </w:t>
      </w:r>
      <w:r w:rsidR="007436C0" w:rsidRPr="0049774D">
        <w:t>medyczne (Uniwersytet Medyczny we Wrocławiu, Uniwersytet Wrocławski, Warszawski Uniwersytet Medyczny);</w:t>
      </w:r>
    </w:p>
    <w:p w14:paraId="6C88A483" w14:textId="0529C5E0" w:rsidR="007436C0" w:rsidRPr="0049774D" w:rsidRDefault="007436C0" w:rsidP="007436C0">
      <w:pPr>
        <w:numPr>
          <w:ilvl w:val="0"/>
          <w:numId w:val="26"/>
        </w:numPr>
        <w:contextualSpacing w:val="0"/>
      </w:pPr>
      <w:r w:rsidRPr="0049774D">
        <w:t>organizacje pozarządowe reprezentujące osoby z niepełnosprawnościami (</w:t>
      </w:r>
      <w:r w:rsidR="005274A4" w:rsidRPr="0049774D">
        <w:t>w tym:</w:t>
      </w:r>
      <w:r w:rsidRPr="0049774D">
        <w:t xml:space="preserve"> Polski Związek Głuchych, Towarzystwo Opieki nad Ociemniałymi, Fundacja SYNAPSIS oraz Porozumienie AUTYZM-POLSKA, Fundacja Aktywnej Rehabilitacji FAR, Fundacja Centrum Edukacji i Wdrażania Innowacji, Fundacja Instytut Rozwoju Regionalnego);</w:t>
      </w:r>
    </w:p>
    <w:p w14:paraId="511C3471" w14:textId="77777777" w:rsidR="007436C0" w:rsidRPr="0049774D" w:rsidRDefault="007436C0" w:rsidP="007436C0">
      <w:pPr>
        <w:numPr>
          <w:ilvl w:val="0"/>
          <w:numId w:val="26"/>
        </w:numPr>
        <w:contextualSpacing w:val="0"/>
      </w:pPr>
      <w:r w:rsidRPr="0049774D">
        <w:t>podmioty świadczące usługi stomatologiczne.</w:t>
      </w:r>
    </w:p>
    <w:p w14:paraId="371AA261" w14:textId="504C1908" w:rsidR="00527E69" w:rsidRPr="0049774D" w:rsidRDefault="00527E69" w:rsidP="00527E69">
      <w:r w:rsidRPr="0049774D">
        <w:rPr>
          <w:noProof/>
        </w:rPr>
        <w:lastRenderedPageBreak/>
        <w:drawing>
          <wp:inline distT="0" distB="0" distL="0" distR="0" wp14:anchorId="12692AD1" wp14:editId="55239838">
            <wp:extent cx="6219825" cy="5467350"/>
            <wp:effectExtent l="0" t="0" r="9525" b="0"/>
            <wp:docPr id="1012638807" name="Wykres 4" descr="Wykres kołowy przedstawia uczestników konsultacji pod względem rodzaju podmiotu, jaki reprezentowali. Najwięcej uczestników stanowiły podmioty świadczące usługi stomatologiczne (35% wszystkich podmiotów), następnie organizacje pozarządowe reprezentujące osoby z niepełnosprawnościami (31%), instytucje publiczne (17%) oraz uczelnie, w tym uczelnie medyczne (13%). Najmniej podmiotów stanowiły organizacje zrzeszające lekarzy stomatologów (4%)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09ACE32" w14:textId="1AE66870" w:rsidR="00810552" w:rsidRPr="0049774D" w:rsidRDefault="00810552" w:rsidP="00D07ED1">
      <w:pPr>
        <w:pStyle w:val="Nagwek3"/>
      </w:pPr>
      <w:r w:rsidRPr="0049774D">
        <w:t>Liczba</w:t>
      </w:r>
      <w:r w:rsidR="00291A5A" w:rsidRPr="0049774D">
        <w:t>, źródło i charakter</w:t>
      </w:r>
      <w:r w:rsidRPr="0049774D">
        <w:t xml:space="preserve"> zgłoszonych uwag</w:t>
      </w:r>
    </w:p>
    <w:p w14:paraId="6CE55C07" w14:textId="03ED0D7D" w:rsidR="007436C0" w:rsidRPr="0049774D" w:rsidRDefault="005274A4" w:rsidP="007436C0">
      <w:pPr>
        <w:contextualSpacing w:val="0"/>
      </w:pPr>
      <w:r w:rsidRPr="0049774D">
        <w:t>Wpłynęło</w:t>
      </w:r>
      <w:r w:rsidR="002F7570" w:rsidRPr="0049774D">
        <w:t xml:space="preserve"> </w:t>
      </w:r>
      <w:r w:rsidR="005B6AEF" w:rsidRPr="0049774D">
        <w:t>309</w:t>
      </w:r>
      <w:r w:rsidR="007436C0" w:rsidRPr="0049774D">
        <w:t xml:space="preserve"> uwag/rekomendacji do standardu.</w:t>
      </w:r>
    </w:p>
    <w:p w14:paraId="36085874" w14:textId="10DE1D8A" w:rsidR="007436C0" w:rsidRPr="0049774D" w:rsidRDefault="007436C0" w:rsidP="007436C0">
      <w:pPr>
        <w:contextualSpacing w:val="0"/>
      </w:pPr>
      <w:r w:rsidRPr="0049774D">
        <w:t xml:space="preserve">Najwięcej </w:t>
      </w:r>
      <w:r w:rsidR="005274A4" w:rsidRPr="0049774D">
        <w:t xml:space="preserve">propozycji </w:t>
      </w:r>
      <w:r w:rsidRPr="0049774D">
        <w:t>zgłosiły</w:t>
      </w:r>
      <w:r w:rsidR="004414C9" w:rsidRPr="0049774D">
        <w:t xml:space="preserve"> </w:t>
      </w:r>
      <w:r w:rsidRPr="0049774D">
        <w:t>organizacje pozarządowe reprezentujące osoby z</w:t>
      </w:r>
      <w:r w:rsidR="00832D87" w:rsidRPr="0049774D">
        <w:t> </w:t>
      </w:r>
      <w:r w:rsidRPr="0049774D">
        <w:t xml:space="preserve">niepełnosprawnościami, a w drugiej kolejności </w:t>
      </w:r>
      <w:r w:rsidR="00832D87" w:rsidRPr="0049774D">
        <w:t>–</w:t>
      </w:r>
      <w:r w:rsidRPr="0049774D">
        <w:t xml:space="preserve"> instytucje publiczne. Najmniej aktywne były organizacje zrzeszające lekarzy stomatologów, podmioty świadczące usługi stomatologiczne i uczelnie medyczne.</w:t>
      </w:r>
    </w:p>
    <w:p w14:paraId="70811618" w14:textId="77777777" w:rsidR="007859B1" w:rsidRPr="0049774D" w:rsidRDefault="00971DE3" w:rsidP="007859B1">
      <w:pPr>
        <w:keepNext/>
      </w:pPr>
      <w:r w:rsidRPr="0049774D">
        <w:rPr>
          <w:noProof/>
        </w:rPr>
        <w:lastRenderedPageBreak/>
        <w:drawing>
          <wp:inline distT="0" distB="0" distL="0" distR="0" wp14:anchorId="1543A4D5" wp14:editId="3CEA0B36">
            <wp:extent cx="6424295" cy="6409789"/>
            <wp:effectExtent l="0" t="0" r="14605" b="10160"/>
            <wp:docPr id="1285013228" name="Wykres 3" descr="Wykres kołowy przedstawia, kto zgłaszał uwagi do standardu. Najwięcej uwag (59% wszystkich uwag) zgłosili przedstawiciele organizacji pozarządowych zrzeszających osoby z niepełnosprawnościami, następnie przedstawiciele instytucji publicznych (23% wszystkich uwag). Uczestnicy konsultacji stacjonarnych w Warszawie i we Wrocławiu zgłosili odpowiednio 10% i 6% wszystkich uwag. Niewielki procent stanowiły uwagi od organizacji zrzeszających lekarzy stomatologów (2% wszystkich uwag) oraz od osób prywatnych (mniej niż 1% wszystkich uwag)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3620CB" w14:textId="7DB73350" w:rsidR="007436C0" w:rsidRPr="0049774D" w:rsidRDefault="007436C0" w:rsidP="00424C76">
      <w:pPr>
        <w:spacing w:before="240"/>
        <w:contextualSpacing w:val="0"/>
      </w:pPr>
      <w:r w:rsidRPr="0049774D">
        <w:t>Uwagi dotyczyły takich</w:t>
      </w:r>
      <w:r w:rsidR="00F32470" w:rsidRPr="0049774D">
        <w:t xml:space="preserve"> kwestii</w:t>
      </w:r>
      <w:r w:rsidRPr="0049774D">
        <w:t>, jak:</w:t>
      </w:r>
    </w:p>
    <w:p w14:paraId="2C9516F7" w14:textId="13C5308A" w:rsidR="007436C0" w:rsidRPr="0049774D" w:rsidRDefault="007436C0" w:rsidP="007436C0">
      <w:pPr>
        <w:numPr>
          <w:ilvl w:val="0"/>
          <w:numId w:val="27"/>
        </w:numPr>
        <w:contextualSpacing w:val="0"/>
      </w:pPr>
      <w:r w:rsidRPr="0049774D">
        <w:t>zapewnienie dostępności cyfrowej i informacyjno-komunikacyjnej gabinetu (te dwa obszary często się przenikały), szczególnie w zakresie informacji/dokumentów zawartych na stronie internetowej gabinetu czy rejestracji na wizytę (zgłoszono n</w:t>
      </w:r>
      <w:r w:rsidR="005B6AEF" w:rsidRPr="0049774D">
        <w:t>a przykład</w:t>
      </w:r>
      <w:r w:rsidRPr="0049774D">
        <w:t xml:space="preserve"> potrzebę zamieszczenia zdjęć personelu i pomieszczeń na stronie gabinetu</w:t>
      </w:r>
      <w:r w:rsidR="007A3D95" w:rsidRPr="0049774D">
        <w:t xml:space="preserve"> oraz</w:t>
      </w:r>
      <w:r w:rsidRPr="0049774D">
        <w:t xml:space="preserve"> uwzględnienie możliwości spaceru wirtualnego);</w:t>
      </w:r>
    </w:p>
    <w:p w14:paraId="6E9EC816" w14:textId="02064ADD" w:rsidR="007436C0" w:rsidRPr="0049774D" w:rsidRDefault="007436C0" w:rsidP="007436C0">
      <w:pPr>
        <w:numPr>
          <w:ilvl w:val="0"/>
          <w:numId w:val="27"/>
        </w:numPr>
        <w:contextualSpacing w:val="0"/>
      </w:pPr>
      <w:r w:rsidRPr="0049774D">
        <w:t>dostosowani</w:t>
      </w:r>
      <w:r w:rsidR="004414C9" w:rsidRPr="0049774D">
        <w:t>e</w:t>
      </w:r>
      <w:r w:rsidRPr="0049774D">
        <w:t xml:space="preserve"> gabinetu stomatologicznego do potrzeb osób z </w:t>
      </w:r>
      <w:r w:rsidR="00EE4E82" w:rsidRPr="0049774D">
        <w:t xml:space="preserve">problemami </w:t>
      </w:r>
      <w:r w:rsidRPr="0049774D">
        <w:t>sensorycznymi (ograniczenie hałasu/specyficznych dźwięków, światła, rozpraszających bodźców);</w:t>
      </w:r>
    </w:p>
    <w:p w14:paraId="6A270322" w14:textId="0716229B" w:rsidR="007436C0" w:rsidRPr="0049774D" w:rsidRDefault="007436C0" w:rsidP="007436C0">
      <w:pPr>
        <w:numPr>
          <w:ilvl w:val="0"/>
          <w:numId w:val="27"/>
        </w:numPr>
        <w:contextualSpacing w:val="0"/>
      </w:pPr>
      <w:r w:rsidRPr="0049774D">
        <w:lastRenderedPageBreak/>
        <w:t xml:space="preserve">dojścia i wejścia do gabinetu, potrzeby </w:t>
      </w:r>
      <w:r w:rsidR="004414C9" w:rsidRPr="0049774D">
        <w:t xml:space="preserve">zapewnienia: </w:t>
      </w:r>
      <w:r w:rsidRPr="0049774D">
        <w:t xml:space="preserve">parkingu, </w:t>
      </w:r>
      <w:r w:rsidR="004414C9" w:rsidRPr="0049774D">
        <w:t xml:space="preserve">odpowiedniej </w:t>
      </w:r>
      <w:r w:rsidRPr="0049774D">
        <w:t>szerokości drzwi</w:t>
      </w:r>
      <w:r w:rsidR="004414C9" w:rsidRPr="0049774D">
        <w:t xml:space="preserve"> i </w:t>
      </w:r>
      <w:r w:rsidRPr="0049774D">
        <w:t>przejś</w:t>
      </w:r>
      <w:r w:rsidR="004414C9" w:rsidRPr="0049774D">
        <w:t>ć</w:t>
      </w:r>
      <w:r w:rsidRPr="0049774D">
        <w:t xml:space="preserve">, </w:t>
      </w:r>
      <w:r w:rsidR="00C877AE" w:rsidRPr="0049774D">
        <w:t>w</w:t>
      </w:r>
      <w:r w:rsidRPr="0049774D">
        <w:t>yposażenia i umiejscowienia komfortki itp.;</w:t>
      </w:r>
    </w:p>
    <w:p w14:paraId="75B020DD" w14:textId="773A41C9" w:rsidR="007436C0" w:rsidRPr="0049774D" w:rsidRDefault="007436C0" w:rsidP="00424C76">
      <w:pPr>
        <w:numPr>
          <w:ilvl w:val="0"/>
          <w:numId w:val="27"/>
        </w:numPr>
        <w:ind w:left="714" w:hanging="357"/>
        <w:contextualSpacing w:val="0"/>
      </w:pPr>
      <w:r w:rsidRPr="0049774D">
        <w:t>uwzględnienia możliwości skorzystania z tłumacza</w:t>
      </w:r>
      <w:r w:rsidR="00C877AE" w:rsidRPr="0049774D">
        <w:t xml:space="preserve"> polskiego języka mówionego</w:t>
      </w:r>
      <w:r w:rsidRPr="0049774D">
        <w:t xml:space="preserve"> </w:t>
      </w:r>
      <w:r w:rsidR="00C877AE" w:rsidRPr="0049774D">
        <w:t>(</w:t>
      </w:r>
      <w:r w:rsidRPr="0049774D">
        <w:t>PJM</w:t>
      </w:r>
      <w:r w:rsidR="00C877AE" w:rsidRPr="0049774D">
        <w:t>)</w:t>
      </w:r>
      <w:r w:rsidRPr="0049774D">
        <w:t xml:space="preserve"> na każdym etapie wizyty, a także przetłumaczenia</w:t>
      </w:r>
      <w:r w:rsidR="00EE4E82" w:rsidRPr="0049774D">
        <w:t xml:space="preserve"> na PJM</w:t>
      </w:r>
      <w:r w:rsidRPr="0049774D">
        <w:t xml:space="preserve"> deklaracji dostępności i</w:t>
      </w:r>
      <w:r w:rsidR="00C877AE" w:rsidRPr="0049774D">
        <w:t> </w:t>
      </w:r>
      <w:r w:rsidRPr="0049774D">
        <w:t xml:space="preserve">innych istotnych dokumentów zamieszczonych na stronie </w:t>
      </w:r>
      <w:r w:rsidR="00EE4E82" w:rsidRPr="0049774D">
        <w:t>internetowej gabinetu</w:t>
      </w:r>
      <w:r w:rsidRPr="0049774D">
        <w:t>;</w:t>
      </w:r>
    </w:p>
    <w:p w14:paraId="00E9C59C" w14:textId="208404D0" w:rsidR="007436C0" w:rsidRPr="0049774D" w:rsidRDefault="007436C0" w:rsidP="00424C76">
      <w:pPr>
        <w:numPr>
          <w:ilvl w:val="0"/>
          <w:numId w:val="27"/>
        </w:numPr>
        <w:ind w:left="714" w:hanging="357"/>
        <w:contextualSpacing w:val="0"/>
      </w:pPr>
      <w:r w:rsidRPr="0049774D">
        <w:t xml:space="preserve">uwzględnienia rozwiązań dla osób słabosłyszących </w:t>
      </w:r>
      <w:r w:rsidR="00424C76" w:rsidRPr="0049774D">
        <w:t>–</w:t>
      </w:r>
      <w:r w:rsidRPr="0049774D">
        <w:t xml:space="preserve"> pętli indukcyjnej/systemów FM (dyskutowano</w:t>
      </w:r>
      <w:r w:rsidR="00EE4E82" w:rsidRPr="0049774D">
        <w:t xml:space="preserve"> nad odpowiednim doborem urządzenia i miejscem, gdzie powinno być umieszczone</w:t>
      </w:r>
      <w:r w:rsidRPr="0049774D">
        <w:t>);</w:t>
      </w:r>
    </w:p>
    <w:p w14:paraId="234EA6F3" w14:textId="6BA24EEF" w:rsidR="007436C0" w:rsidRPr="0049774D" w:rsidRDefault="007436C0" w:rsidP="00424C76">
      <w:pPr>
        <w:numPr>
          <w:ilvl w:val="0"/>
          <w:numId w:val="27"/>
        </w:numPr>
        <w:ind w:left="714" w:hanging="357"/>
        <w:contextualSpacing w:val="0"/>
      </w:pPr>
      <w:r w:rsidRPr="0049774D">
        <w:t xml:space="preserve">nazewnictwa i rodzajów rozwiązań w zakresie technologii wspomagających </w:t>
      </w:r>
      <w:r w:rsidR="0079055B" w:rsidRPr="0049774D">
        <w:t xml:space="preserve">komunikację </w:t>
      </w:r>
      <w:r w:rsidRPr="0049774D">
        <w:t>czy alternatywnych metod komunikacji;</w:t>
      </w:r>
    </w:p>
    <w:p w14:paraId="1B677160" w14:textId="4206F0A1" w:rsidR="007436C0" w:rsidRPr="0049774D" w:rsidRDefault="007436C0" w:rsidP="00424C76">
      <w:pPr>
        <w:numPr>
          <w:ilvl w:val="0"/>
          <w:numId w:val="27"/>
        </w:numPr>
        <w:ind w:left="714" w:hanging="357"/>
        <w:contextualSpacing w:val="0"/>
      </w:pPr>
      <w:r w:rsidRPr="0049774D">
        <w:t>problemu zgody na leczenie, szczególnie w przypadku osób niesamodzielnych i</w:t>
      </w:r>
      <w:r w:rsidR="00C877AE" w:rsidRPr="0049774D">
        <w:t> </w:t>
      </w:r>
      <w:r w:rsidRPr="0049774D">
        <w:t>nieubezwłasnowolnionych, korzystających z</w:t>
      </w:r>
      <w:r w:rsidR="00C877AE" w:rsidRPr="0049774D">
        <w:t xml:space="preserve"> usług z udziałem</w:t>
      </w:r>
      <w:r w:rsidRPr="0049774D">
        <w:t xml:space="preserve"> osób wspierających;</w:t>
      </w:r>
    </w:p>
    <w:p w14:paraId="49B6A6E1" w14:textId="77777777" w:rsidR="007436C0" w:rsidRPr="0049774D" w:rsidRDefault="007436C0" w:rsidP="00424C76">
      <w:pPr>
        <w:numPr>
          <w:ilvl w:val="0"/>
          <w:numId w:val="27"/>
        </w:numPr>
        <w:ind w:left="714" w:hanging="357"/>
        <w:contextualSpacing w:val="0"/>
      </w:pPr>
      <w:r w:rsidRPr="0049774D">
        <w:t>możliwości wejścia do gabinetu z psem asystującym i określenia miejsc, do których mógłby mieć dostęp;</w:t>
      </w:r>
    </w:p>
    <w:p w14:paraId="7F2CE05C" w14:textId="10FAC60A" w:rsidR="007436C0" w:rsidRPr="0049774D" w:rsidRDefault="007436C0" w:rsidP="00424C76">
      <w:pPr>
        <w:numPr>
          <w:ilvl w:val="0"/>
          <w:numId w:val="27"/>
        </w:numPr>
        <w:ind w:left="714" w:hanging="357"/>
        <w:contextualSpacing w:val="0"/>
      </w:pPr>
      <w:r w:rsidRPr="0049774D">
        <w:t xml:space="preserve">konieczności szkoleń personelu, zarówno z </w:t>
      </w:r>
      <w:r w:rsidR="00C877AE" w:rsidRPr="0049774D">
        <w:t xml:space="preserve">potrzeb osób z różnymi rodzajami </w:t>
      </w:r>
      <w:r w:rsidRPr="0049774D">
        <w:t>niepełnosprawności, komunikacji z osobami z różnymi potrzebami czy obsługi sprzętu wspomagającego komunikację, który jest dostępny w gabinecie;</w:t>
      </w:r>
    </w:p>
    <w:p w14:paraId="77A8310A" w14:textId="77777777" w:rsidR="007436C0" w:rsidRPr="0049774D" w:rsidRDefault="007436C0" w:rsidP="00424C76">
      <w:pPr>
        <w:numPr>
          <w:ilvl w:val="0"/>
          <w:numId w:val="27"/>
        </w:numPr>
        <w:ind w:left="714" w:hanging="357"/>
        <w:contextualSpacing w:val="0"/>
      </w:pPr>
      <w:r w:rsidRPr="0049774D">
        <w:t>uwzględnienia w standardzie dobrych praktyk z zakresu szkolenia lekarzy dentystów oraz opisu dobrych praktyk/doświadczeń danego gabinetu stomatologicznego;</w:t>
      </w:r>
    </w:p>
    <w:p w14:paraId="0A6E4426" w14:textId="2064936E" w:rsidR="007436C0" w:rsidRPr="0049774D" w:rsidRDefault="007436C0" w:rsidP="00424C76">
      <w:pPr>
        <w:numPr>
          <w:ilvl w:val="0"/>
          <w:numId w:val="27"/>
        </w:numPr>
        <w:ind w:left="714" w:hanging="357"/>
        <w:contextualSpacing w:val="0"/>
      </w:pPr>
      <w:r w:rsidRPr="0049774D">
        <w:t>perspektywy medycznej dostępnej usługi, kwestii leczenia w znieczuleniu ogólnym osób z różnymi niepełnoprawnościami oraz ograniczonego dostępu do leczenia w</w:t>
      </w:r>
      <w:r w:rsidR="00C21938" w:rsidRPr="0049774D">
        <w:t> </w:t>
      </w:r>
      <w:r w:rsidRPr="0049774D">
        <w:t>warunkach szpitalnych;</w:t>
      </w:r>
    </w:p>
    <w:p w14:paraId="43390E7E" w14:textId="4CB0961B" w:rsidR="007436C0" w:rsidRPr="0049774D" w:rsidRDefault="007436C0" w:rsidP="00424C76">
      <w:pPr>
        <w:numPr>
          <w:ilvl w:val="0"/>
          <w:numId w:val="27"/>
        </w:numPr>
        <w:ind w:left="714" w:hanging="357"/>
        <w:contextualSpacing w:val="0"/>
      </w:pPr>
      <w:r w:rsidRPr="0049774D">
        <w:t>charakteru</w:t>
      </w:r>
      <w:r w:rsidR="00AE0E26" w:rsidRPr="0049774D">
        <w:t xml:space="preserve"> </w:t>
      </w:r>
      <w:r w:rsidRPr="0049774D">
        <w:t xml:space="preserve">standardu – </w:t>
      </w:r>
      <w:r w:rsidR="00AE0E26" w:rsidRPr="0049774D">
        <w:t>obaw</w:t>
      </w:r>
      <w:r w:rsidRPr="0049774D">
        <w:t xml:space="preserve">, że będzie to kolejny dokument narzucający obowiązki lekarzom dentystom i ograniczający dostęp do finansowania publicznego (jeśli nie wszystkie wymogi ze standardu będą spełnione). </w:t>
      </w:r>
      <w:r w:rsidR="00AE0E26" w:rsidRPr="0049774D">
        <w:t>Środowisko medyczne p</w:t>
      </w:r>
      <w:r w:rsidRPr="0049774D">
        <w:t>ostulowa</w:t>
      </w:r>
      <w:r w:rsidR="00AE0E26" w:rsidRPr="0049774D">
        <w:t>ło</w:t>
      </w:r>
      <w:r w:rsidRPr="0049774D">
        <w:t>, by standard miał charakter poradniczy, dobrych praktyk.</w:t>
      </w:r>
    </w:p>
    <w:p w14:paraId="1D4A2087" w14:textId="4FD72FAC" w:rsidR="00424C76" w:rsidRPr="0049774D" w:rsidRDefault="00424C76" w:rsidP="00424C76">
      <w:pPr>
        <w:pStyle w:val="Nagwek3"/>
      </w:pPr>
      <w:r w:rsidRPr="0049774D">
        <w:t>Analiza uwag</w:t>
      </w:r>
    </w:p>
    <w:p w14:paraId="63EE6D2F" w14:textId="7F8C3795" w:rsidR="00810552" w:rsidRPr="0049774D" w:rsidRDefault="00424C76" w:rsidP="004A641D">
      <w:pPr>
        <w:contextualSpacing w:val="0"/>
      </w:pPr>
      <w:r w:rsidRPr="0049774D">
        <w:t>Zebrane uwagi zostały przekazane ekspertom</w:t>
      </w:r>
      <w:r w:rsidR="00283E90" w:rsidRPr="0049774D">
        <w:t xml:space="preserve"> i ekspertkom</w:t>
      </w:r>
      <w:r w:rsidRPr="0049774D">
        <w:t xml:space="preserve"> ds. standardu</w:t>
      </w:r>
      <w:r w:rsidR="004A641D" w:rsidRPr="0049774D">
        <w:t xml:space="preserve"> do szczegółowej analizy</w:t>
      </w:r>
      <w:r w:rsidRPr="0049774D">
        <w:t>. Kwestie wątpliwe</w:t>
      </w:r>
      <w:r w:rsidR="004A641D" w:rsidRPr="0049774D">
        <w:t>, dotyczące jednocześnie kilku obszarów dostępności</w:t>
      </w:r>
      <w:r w:rsidRPr="0049774D">
        <w:t xml:space="preserve"> lub sporne były analizowane podczas spotkań zespołu</w:t>
      </w:r>
      <w:r w:rsidR="00283E90" w:rsidRPr="0049774D">
        <w:t xml:space="preserve">. </w:t>
      </w:r>
      <w:r w:rsidR="004A641D" w:rsidRPr="0049774D">
        <w:t>Równolegle do formułowania stanowiska</w:t>
      </w:r>
      <w:r w:rsidR="00AE0E26" w:rsidRPr="0049774D">
        <w:t xml:space="preserve"> ekspertów</w:t>
      </w:r>
      <w:r w:rsidR="004A641D" w:rsidRPr="0049774D">
        <w:t>, wprowadzane były zmiany do wersji wstępnej „Standardu dostępności architektonicznej, cyfrowej i informacyjno-komunikacyjnej dla gabinetów i świadczonych w</w:t>
      </w:r>
      <w:r w:rsidR="005B6AEF" w:rsidRPr="0049774D">
        <w:t> </w:t>
      </w:r>
      <w:r w:rsidR="004A641D" w:rsidRPr="0049774D">
        <w:t xml:space="preserve">nich usług stomatologicznych”. Prace nad uwagami i </w:t>
      </w:r>
      <w:r w:rsidR="00FA5545" w:rsidRPr="0049774D">
        <w:t xml:space="preserve">standardem </w:t>
      </w:r>
      <w:r w:rsidR="004A641D" w:rsidRPr="0049774D">
        <w:t>ostatecznie zakończyły się z końcem stycznia</w:t>
      </w:r>
      <w:r w:rsidR="00E706D0" w:rsidRPr="0049774D">
        <w:t>.</w:t>
      </w:r>
    </w:p>
    <w:p w14:paraId="3EA22FA0" w14:textId="19BC5E21" w:rsidR="00FA5545" w:rsidRPr="00C21938" w:rsidRDefault="00FA5545" w:rsidP="004A641D">
      <w:pPr>
        <w:contextualSpacing w:val="0"/>
      </w:pPr>
      <w:r w:rsidRPr="0049774D">
        <w:t>Załącznikiem do raportu jest zestawienie uwag.</w:t>
      </w:r>
    </w:p>
    <w:sectPr w:rsidR="00FA5545" w:rsidRPr="00C21938" w:rsidSect="00E6783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2030" w14:textId="77777777" w:rsidR="00BB5B20" w:rsidRDefault="00BB5B20" w:rsidP="00E41BB5">
      <w:pPr>
        <w:spacing w:after="0" w:line="240" w:lineRule="auto"/>
      </w:pPr>
      <w:r>
        <w:separator/>
      </w:r>
    </w:p>
  </w:endnote>
  <w:endnote w:type="continuationSeparator" w:id="0">
    <w:p w14:paraId="6D9A10E8" w14:textId="77777777" w:rsidR="00BB5B20" w:rsidRDefault="00BB5B20" w:rsidP="00E4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4339" w14:textId="5ED542DF" w:rsidR="00E41BB5" w:rsidRPr="00C21938" w:rsidRDefault="00BB5B20" w:rsidP="00820C60">
    <w:pPr>
      <w:pStyle w:val="Stopka"/>
      <w:jc w:val="right"/>
    </w:pPr>
    <w:sdt>
      <w:sdtPr>
        <w:id w:val="-316649026"/>
        <w:docPartObj>
          <w:docPartGallery w:val="Page Numbers (Bottom of Page)"/>
          <w:docPartUnique/>
        </w:docPartObj>
      </w:sdtPr>
      <w:sdtEndPr/>
      <w:sdtContent>
        <w:sdt>
          <w:sdtPr>
            <w:id w:val="886684064"/>
            <w:docPartObj>
              <w:docPartGallery w:val="Page Numbers (Top of Page)"/>
              <w:docPartUnique/>
            </w:docPartObj>
          </w:sdtPr>
          <w:sdtEndPr/>
          <w:sdtContent>
            <w:r w:rsidR="00820C60" w:rsidRPr="00C21938">
              <w:t xml:space="preserve">Strona </w:t>
            </w:r>
            <w:r w:rsidR="00820C60" w:rsidRPr="00C21938">
              <w:fldChar w:fldCharType="begin"/>
            </w:r>
            <w:r w:rsidR="00820C60" w:rsidRPr="0049774D">
              <w:instrText>PAGE</w:instrText>
            </w:r>
            <w:r w:rsidR="00820C60" w:rsidRPr="00C21938">
              <w:fldChar w:fldCharType="separate"/>
            </w:r>
            <w:r w:rsidR="00820C60" w:rsidRPr="0049774D">
              <w:t>1</w:t>
            </w:r>
            <w:r w:rsidR="00820C60" w:rsidRPr="00C21938">
              <w:fldChar w:fldCharType="end"/>
            </w:r>
            <w:r w:rsidR="00820C60" w:rsidRPr="00C21938">
              <w:t xml:space="preserve"> z </w:t>
            </w:r>
            <w:r w:rsidR="00820C60" w:rsidRPr="00C21938">
              <w:fldChar w:fldCharType="begin"/>
            </w:r>
            <w:r w:rsidR="00820C60" w:rsidRPr="0049774D">
              <w:instrText>NUMPAGES</w:instrText>
            </w:r>
            <w:r w:rsidR="00820C60" w:rsidRPr="00C21938">
              <w:fldChar w:fldCharType="separate"/>
            </w:r>
            <w:r w:rsidR="00820C60" w:rsidRPr="0049774D">
              <w:t>3</w:t>
            </w:r>
            <w:r w:rsidR="00820C60" w:rsidRPr="00C21938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215731136"/>
  <w:p w14:paraId="430E5995" w14:textId="77777777" w:rsidR="00E6783F" w:rsidRPr="00A6492D" w:rsidRDefault="00E6783F" w:rsidP="009469A1">
    <w:pPr>
      <w:pStyle w:val="Stopka"/>
      <w:tabs>
        <w:tab w:val="clear" w:pos="4536"/>
        <w:tab w:val="clear" w:pos="9072"/>
        <w:tab w:val="left" w:pos="3261"/>
      </w:tabs>
      <w:spacing w:before="120" w:after="120"/>
      <w:ind w:left="28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8F7077" wp14:editId="51DA435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825184028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2ADBBC" id="Łącznik prosty 1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" strokecolor="black [3200]" strokeweight=".5pt">
              <v:stroke joinstyle="miter"/>
            </v:line>
          </w:pict>
        </mc:Fallback>
      </mc:AlternateContent>
    </w:r>
    <w:r>
      <w:t>Lider</w:t>
    </w:r>
    <w:r>
      <w:tab/>
      <w:t>Partnerzy</w:t>
    </w:r>
  </w:p>
  <w:bookmarkEnd w:id="4"/>
  <w:p w14:paraId="6473004A" w14:textId="7243A8B0" w:rsidR="00E41BB5" w:rsidRDefault="00E6783F">
    <w:pPr>
      <w:pStyle w:val="Stopka"/>
    </w:pPr>
    <w:r w:rsidRPr="00971028">
      <w:rPr>
        <w:rFonts w:ascii="Times New Roman" w:hAnsi="Times New Roman"/>
        <w:b/>
        <w:bCs/>
        <w:noProof/>
        <w:lang w:eastAsia="pl-PL"/>
      </w:rPr>
      <w:drawing>
        <wp:inline distT="0" distB="0" distL="0" distR="0" wp14:anchorId="28AB5436" wp14:editId="4625DA63">
          <wp:extent cx="5760720" cy="718005"/>
          <wp:effectExtent l="0" t="0" r="0" b="6350"/>
          <wp:docPr id="1625892256" name="Obraz 1" descr="Zestaw logotypów: Lider Państwowy Fundusz Rehabilitacji Osób Niepełnosprawnych oraz partnerów: Avalon – bezpośrednia pomoc niepełnosprawnym i Polskiego Towarzystwa Stomatologi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79571" name="Obraz 1" descr="Zestaw logotypów: Lider Państwowy Fundusz Rehabilitacji Osób Niepełnosprawnych oraz partnerów: Avalon – bezpośrednia pomoc niepełnosprawnym i Polskiego Towarzystwa Stomatologiczneg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5572" w14:textId="77777777" w:rsidR="00BB5B20" w:rsidRDefault="00BB5B20" w:rsidP="00E41BB5">
      <w:pPr>
        <w:spacing w:after="0" w:line="240" w:lineRule="auto"/>
      </w:pPr>
      <w:bookmarkStart w:id="0" w:name="_Hlk215647926"/>
      <w:bookmarkEnd w:id="0"/>
      <w:r>
        <w:separator/>
      </w:r>
    </w:p>
  </w:footnote>
  <w:footnote w:type="continuationSeparator" w:id="0">
    <w:p w14:paraId="0171EC7B" w14:textId="77777777" w:rsidR="00BB5B20" w:rsidRDefault="00BB5B20" w:rsidP="00E4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413" w14:textId="49449604" w:rsidR="00E41BB5" w:rsidRPr="00E41BB5" w:rsidRDefault="00E41BB5" w:rsidP="00DB1B45">
    <w:pPr>
      <w:pStyle w:val="Podstawowyakapitowy"/>
      <w:spacing w:after="120" w:line="276" w:lineRule="auto"/>
      <w:rPr>
        <w:rFonts w:asciiTheme="minorHAnsi" w:hAnsiTheme="minorHAnsi" w:cstheme="minorHAnsi"/>
        <w:noProof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BB3D" w14:textId="416502E1" w:rsidR="00E41BB5" w:rsidRDefault="00E41BB5" w:rsidP="00E41BB5">
    <w:pPr>
      <w:pStyle w:val="Podstawowyakapitowy"/>
      <w:ind w:left="-284"/>
      <w:jc w:val="center"/>
      <w:rPr>
        <w:rFonts w:asciiTheme="minorHAnsi" w:hAnsiTheme="minorHAnsi" w:cstheme="minorHAnsi"/>
        <w:noProof/>
        <w:lang w:eastAsia="pl-PL"/>
      </w:rPr>
    </w:pPr>
    <w:bookmarkStart w:id="2" w:name="_Hlk215731109"/>
    <w:bookmarkStart w:id="3" w:name="_Hlk215731110"/>
    <w:r>
      <w:rPr>
        <w:noProof/>
        <w:lang w:eastAsia="pl-PL"/>
      </w:rPr>
      <w:drawing>
        <wp:inline distT="0" distB="0" distL="0" distR="0" wp14:anchorId="5B2C44E8" wp14:editId="1D08CD74">
          <wp:extent cx="5760720" cy="797186"/>
          <wp:effectExtent l="0" t="0" r="0" b="3175"/>
          <wp:docPr id="1417606977" name="Obraz 2" descr="Zestaw logotypów: symbol graficzny Funduszy Europejskich z napisem Fundusze Europejskie dla Rozwoju Społecznego; flaga Polski z napisem Rzeczpospolita Polska;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421276" name="Obraz 2" descr="Zestaw logotypów: symbol graficzny Funduszy Europejskich z napisem Fundusze Europejskie dla Rozwoju Społecznego; flaga Polski z napisem Rzeczpospolita Polska;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71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0F0FC3" w14:textId="28B97241" w:rsidR="00E41BB5" w:rsidRPr="00E41BB5" w:rsidRDefault="00E41BB5" w:rsidP="00E41BB5">
    <w:pPr>
      <w:pStyle w:val="Podstawowyakapitowy"/>
      <w:spacing w:after="120" w:line="276" w:lineRule="auto"/>
      <w:ind w:left="-284"/>
      <w:jc w:val="center"/>
      <w:rPr>
        <w:rFonts w:asciiTheme="minorHAnsi" w:hAnsiTheme="minorHAnsi" w:cstheme="minorHAnsi"/>
        <w:noProof/>
        <w:lang w:eastAsia="pl-PL"/>
      </w:rPr>
    </w:pPr>
    <w:r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CCF4" wp14:editId="33176823">
              <wp:simplePos x="0" y="0"/>
              <wp:positionH relativeFrom="column">
                <wp:posOffset>-205105</wp:posOffset>
              </wp:positionH>
              <wp:positionV relativeFrom="paragraph">
                <wp:posOffset>240030</wp:posOffset>
              </wp:positionV>
              <wp:extent cx="6172200" cy="0"/>
              <wp:effectExtent l="0" t="0" r="0" b="0"/>
              <wp:wrapNone/>
              <wp:docPr id="2034172011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5835565" id="Łącznik prosty 1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5pt,18.9pt" to="469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" strokecolor="windowText" strokeweight=".5pt">
              <v:stroke joinstyle="miter"/>
            </v:line>
          </w:pict>
        </mc:Fallback>
      </mc:AlternateContent>
    </w:r>
    <w:r w:rsidRPr="0071725D">
      <w:rPr>
        <w:rFonts w:asciiTheme="minorHAnsi" w:hAnsiTheme="minorHAnsi" w:cstheme="minorHAnsi"/>
        <w:noProof/>
        <w:lang w:eastAsia="pl-PL"/>
      </w:rPr>
      <w:t>Dostępna stomatologi</w:t>
    </w:r>
    <w:r>
      <w:rPr>
        <w:rFonts w:asciiTheme="minorHAnsi" w:hAnsiTheme="minorHAnsi" w:cstheme="minorHAnsi"/>
        <w:noProof/>
        <w:lang w:eastAsia="pl-PL"/>
      </w:rPr>
      <w:t>a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007"/>
    <w:multiLevelType w:val="hybridMultilevel"/>
    <w:tmpl w:val="FE689CC0"/>
    <w:lvl w:ilvl="0" w:tplc="104EE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4C5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AF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36C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A8C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FAA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2A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4C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47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83485B"/>
    <w:multiLevelType w:val="multilevel"/>
    <w:tmpl w:val="961C26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15C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60503D8"/>
    <w:multiLevelType w:val="hybridMultilevel"/>
    <w:tmpl w:val="67B29A50"/>
    <w:lvl w:ilvl="0" w:tplc="BD306FBE">
      <w:start w:val="2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D3DA2"/>
    <w:multiLevelType w:val="hybridMultilevel"/>
    <w:tmpl w:val="EA80D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6164D"/>
    <w:multiLevelType w:val="hybridMultilevel"/>
    <w:tmpl w:val="5DDE6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71A04"/>
    <w:multiLevelType w:val="hybridMultilevel"/>
    <w:tmpl w:val="5DDE6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58C1269"/>
    <w:multiLevelType w:val="hybridMultilevel"/>
    <w:tmpl w:val="D8CE1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C185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5162806"/>
    <w:multiLevelType w:val="multilevel"/>
    <w:tmpl w:val="4C887C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EFC5667"/>
    <w:multiLevelType w:val="hybridMultilevel"/>
    <w:tmpl w:val="E36A1566"/>
    <w:lvl w:ilvl="0" w:tplc="51B01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F8E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42C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AF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C4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CE6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EA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8AC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48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5817680"/>
    <w:multiLevelType w:val="hybridMultilevel"/>
    <w:tmpl w:val="A5B0F184"/>
    <w:lvl w:ilvl="0" w:tplc="1BC6E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7CE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04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25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286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0F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CF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5AA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D22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7035367"/>
    <w:multiLevelType w:val="multilevel"/>
    <w:tmpl w:val="B7746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772513"/>
    <w:multiLevelType w:val="hybridMultilevel"/>
    <w:tmpl w:val="05BA2B28"/>
    <w:lvl w:ilvl="0" w:tplc="43F4750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320F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5894F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E40466"/>
    <w:multiLevelType w:val="hybridMultilevel"/>
    <w:tmpl w:val="A586B430"/>
    <w:lvl w:ilvl="0" w:tplc="5420E7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865AB"/>
    <w:multiLevelType w:val="multilevel"/>
    <w:tmpl w:val="0D76C6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75000C1"/>
    <w:multiLevelType w:val="hybridMultilevel"/>
    <w:tmpl w:val="454CDC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85C8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42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227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A4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82C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C67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B8E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243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8900BE4"/>
    <w:multiLevelType w:val="hybridMultilevel"/>
    <w:tmpl w:val="078E5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7677E"/>
    <w:multiLevelType w:val="hybridMultilevel"/>
    <w:tmpl w:val="8FAA00A8"/>
    <w:lvl w:ilvl="0" w:tplc="0A0240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41716">
    <w:abstractNumId w:val="14"/>
  </w:num>
  <w:num w:numId="2" w16cid:durableId="611978835">
    <w:abstractNumId w:val="2"/>
  </w:num>
  <w:num w:numId="3" w16cid:durableId="1790317043">
    <w:abstractNumId w:val="10"/>
  </w:num>
  <w:num w:numId="4" w16cid:durableId="1039470909">
    <w:abstractNumId w:val="10"/>
  </w:num>
  <w:num w:numId="5" w16cid:durableId="428432949">
    <w:abstractNumId w:val="2"/>
  </w:num>
  <w:num w:numId="6" w16cid:durableId="1139764484">
    <w:abstractNumId w:val="2"/>
  </w:num>
  <w:num w:numId="7" w16cid:durableId="593712312">
    <w:abstractNumId w:val="6"/>
  </w:num>
  <w:num w:numId="8" w16cid:durableId="1886791774">
    <w:abstractNumId w:val="6"/>
  </w:num>
  <w:num w:numId="9" w16cid:durableId="143473222">
    <w:abstractNumId w:val="4"/>
  </w:num>
  <w:num w:numId="10" w16cid:durableId="1018314556">
    <w:abstractNumId w:val="12"/>
  </w:num>
  <w:num w:numId="11" w16cid:durableId="458573287">
    <w:abstractNumId w:val="27"/>
  </w:num>
  <w:num w:numId="12" w16cid:durableId="512115465">
    <w:abstractNumId w:val="23"/>
  </w:num>
  <w:num w:numId="13" w16cid:durableId="1483816797">
    <w:abstractNumId w:val="26"/>
  </w:num>
  <w:num w:numId="14" w16cid:durableId="192348489">
    <w:abstractNumId w:val="1"/>
  </w:num>
  <w:num w:numId="15" w16cid:durableId="445972511">
    <w:abstractNumId w:val="16"/>
  </w:num>
  <w:num w:numId="16" w16cid:durableId="796605307">
    <w:abstractNumId w:val="3"/>
  </w:num>
  <w:num w:numId="17" w16cid:durableId="851333915">
    <w:abstractNumId w:val="20"/>
  </w:num>
  <w:num w:numId="18" w16cid:durableId="714040223">
    <w:abstractNumId w:val="5"/>
  </w:num>
  <w:num w:numId="19" w16cid:durableId="674190868">
    <w:abstractNumId w:val="7"/>
  </w:num>
  <w:num w:numId="20" w16cid:durableId="265040037">
    <w:abstractNumId w:val="19"/>
  </w:num>
  <w:num w:numId="21" w16cid:durableId="1074357704">
    <w:abstractNumId w:val="24"/>
  </w:num>
  <w:num w:numId="22" w16cid:durableId="107090103">
    <w:abstractNumId w:val="22"/>
  </w:num>
  <w:num w:numId="23" w16cid:durableId="1982149100">
    <w:abstractNumId w:val="21"/>
  </w:num>
  <w:num w:numId="24" w16cid:durableId="2030452274">
    <w:abstractNumId w:val="13"/>
  </w:num>
  <w:num w:numId="25" w16cid:durableId="382414192">
    <w:abstractNumId w:val="15"/>
  </w:num>
  <w:num w:numId="26" w16cid:durableId="864757945">
    <w:abstractNumId w:val="18"/>
  </w:num>
  <w:num w:numId="27" w16cid:durableId="80104354">
    <w:abstractNumId w:val="25"/>
  </w:num>
  <w:num w:numId="28" w16cid:durableId="1210070847">
    <w:abstractNumId w:val="17"/>
  </w:num>
  <w:num w:numId="29" w16cid:durableId="1729767907">
    <w:abstractNumId w:val="0"/>
  </w:num>
  <w:num w:numId="30" w16cid:durableId="1594783582">
    <w:abstractNumId w:val="8"/>
  </w:num>
  <w:num w:numId="31" w16cid:durableId="948047525">
    <w:abstractNumId w:val="9"/>
  </w:num>
  <w:num w:numId="32" w16cid:durableId="384108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EC"/>
    <w:rsid w:val="00017342"/>
    <w:rsid w:val="00036480"/>
    <w:rsid w:val="000A3655"/>
    <w:rsid w:val="000B27EF"/>
    <w:rsid w:val="000B6AF7"/>
    <w:rsid w:val="00105E33"/>
    <w:rsid w:val="00154D84"/>
    <w:rsid w:val="002102BF"/>
    <w:rsid w:val="00224053"/>
    <w:rsid w:val="00283E90"/>
    <w:rsid w:val="00290DEC"/>
    <w:rsid w:val="00291A5A"/>
    <w:rsid w:val="002E667D"/>
    <w:rsid w:val="002F2E97"/>
    <w:rsid w:val="002F7570"/>
    <w:rsid w:val="00305863"/>
    <w:rsid w:val="00311E95"/>
    <w:rsid w:val="00344736"/>
    <w:rsid w:val="003535E9"/>
    <w:rsid w:val="003F705A"/>
    <w:rsid w:val="00424C76"/>
    <w:rsid w:val="004347EA"/>
    <w:rsid w:val="004414C9"/>
    <w:rsid w:val="00482FD1"/>
    <w:rsid w:val="00491128"/>
    <w:rsid w:val="0049774D"/>
    <w:rsid w:val="004A641D"/>
    <w:rsid w:val="004D7479"/>
    <w:rsid w:val="004E5B55"/>
    <w:rsid w:val="004F7541"/>
    <w:rsid w:val="00512C10"/>
    <w:rsid w:val="005274A4"/>
    <w:rsid w:val="00527E69"/>
    <w:rsid w:val="00530605"/>
    <w:rsid w:val="00543666"/>
    <w:rsid w:val="00556FAB"/>
    <w:rsid w:val="005B5BDD"/>
    <w:rsid w:val="005B6AEF"/>
    <w:rsid w:val="00677EC9"/>
    <w:rsid w:val="006939CB"/>
    <w:rsid w:val="00694188"/>
    <w:rsid w:val="007436C0"/>
    <w:rsid w:val="007859B1"/>
    <w:rsid w:val="0079055B"/>
    <w:rsid w:val="007A3D95"/>
    <w:rsid w:val="007A534B"/>
    <w:rsid w:val="00810552"/>
    <w:rsid w:val="00820C60"/>
    <w:rsid w:val="00824032"/>
    <w:rsid w:val="00832D87"/>
    <w:rsid w:val="00860190"/>
    <w:rsid w:val="008711AC"/>
    <w:rsid w:val="008B702C"/>
    <w:rsid w:val="008D1748"/>
    <w:rsid w:val="00916E75"/>
    <w:rsid w:val="00940640"/>
    <w:rsid w:val="009469A1"/>
    <w:rsid w:val="00952205"/>
    <w:rsid w:val="00954602"/>
    <w:rsid w:val="00955751"/>
    <w:rsid w:val="00971DE3"/>
    <w:rsid w:val="00991124"/>
    <w:rsid w:val="009B296A"/>
    <w:rsid w:val="009B78B8"/>
    <w:rsid w:val="009E5F40"/>
    <w:rsid w:val="00A719BA"/>
    <w:rsid w:val="00A910FA"/>
    <w:rsid w:val="00A952DF"/>
    <w:rsid w:val="00AB5EAB"/>
    <w:rsid w:val="00AB7A56"/>
    <w:rsid w:val="00AD45B5"/>
    <w:rsid w:val="00AE0E26"/>
    <w:rsid w:val="00AF11B6"/>
    <w:rsid w:val="00B20014"/>
    <w:rsid w:val="00B25134"/>
    <w:rsid w:val="00B47064"/>
    <w:rsid w:val="00B647B1"/>
    <w:rsid w:val="00B853BE"/>
    <w:rsid w:val="00BB5B20"/>
    <w:rsid w:val="00BE6BFB"/>
    <w:rsid w:val="00C07027"/>
    <w:rsid w:val="00C21938"/>
    <w:rsid w:val="00C75F33"/>
    <w:rsid w:val="00C84511"/>
    <w:rsid w:val="00C877AE"/>
    <w:rsid w:val="00CA7045"/>
    <w:rsid w:val="00CA7798"/>
    <w:rsid w:val="00CD590B"/>
    <w:rsid w:val="00CF6C8C"/>
    <w:rsid w:val="00D07ED1"/>
    <w:rsid w:val="00D1698D"/>
    <w:rsid w:val="00D933B6"/>
    <w:rsid w:val="00DA069D"/>
    <w:rsid w:val="00DB1B45"/>
    <w:rsid w:val="00DB6A4B"/>
    <w:rsid w:val="00DC7633"/>
    <w:rsid w:val="00DE46B8"/>
    <w:rsid w:val="00DE66B2"/>
    <w:rsid w:val="00DF7EBF"/>
    <w:rsid w:val="00E1189C"/>
    <w:rsid w:val="00E12BA4"/>
    <w:rsid w:val="00E20A14"/>
    <w:rsid w:val="00E271F5"/>
    <w:rsid w:val="00E41BB5"/>
    <w:rsid w:val="00E42A8E"/>
    <w:rsid w:val="00E6783F"/>
    <w:rsid w:val="00E706D0"/>
    <w:rsid w:val="00E760F0"/>
    <w:rsid w:val="00E83106"/>
    <w:rsid w:val="00EA7739"/>
    <w:rsid w:val="00EB7F05"/>
    <w:rsid w:val="00EC7D68"/>
    <w:rsid w:val="00ED15F6"/>
    <w:rsid w:val="00ED2F0B"/>
    <w:rsid w:val="00EE4E82"/>
    <w:rsid w:val="00F029DC"/>
    <w:rsid w:val="00F06B14"/>
    <w:rsid w:val="00F32470"/>
    <w:rsid w:val="00F61F29"/>
    <w:rsid w:val="00F835DB"/>
    <w:rsid w:val="00F83A56"/>
    <w:rsid w:val="00FA5545"/>
    <w:rsid w:val="00FA5F3B"/>
    <w:rsid w:val="00FC49CA"/>
    <w:rsid w:val="00FC54DD"/>
    <w:rsid w:val="00FD470B"/>
    <w:rsid w:val="00FE0CE2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E898"/>
  <w15:chartTrackingRefBased/>
  <w15:docId w15:val="{F518D9DB-8143-4BF8-8745-13FEFBA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89C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7ED1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07ED1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07ED1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D07ED1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0DEC"/>
    <w:pPr>
      <w:keepNext/>
      <w:keepLines/>
      <w:numPr>
        <w:ilvl w:val="6"/>
        <w:numId w:val="1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0DEC"/>
    <w:pPr>
      <w:keepNext/>
      <w:keepLines/>
      <w:numPr>
        <w:ilvl w:val="7"/>
        <w:numId w:val="1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0DEC"/>
    <w:pPr>
      <w:keepNext/>
      <w:keepLines/>
      <w:numPr>
        <w:ilvl w:val="8"/>
        <w:numId w:val="1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E1189C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07ED1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0DEC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0DEC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0DEC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0DEC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290DE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0DE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0D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0DE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290D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0DEC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290D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0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0DEC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290DE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1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BB5"/>
    <w:rPr>
      <w:rFonts w:cstheme="minorHAnsi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41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BB5"/>
    <w:rPr>
      <w:rFonts w:cstheme="minorHAnsi"/>
      <w:kern w:val="0"/>
      <w:sz w:val="24"/>
      <w:szCs w:val="24"/>
      <w14:ligatures w14:val="none"/>
    </w:rPr>
  </w:style>
  <w:style w:type="paragraph" w:customStyle="1" w:styleId="Podstawowyakapitowy">
    <w:name w:val="[Podstawowy akapitowy]"/>
    <w:basedOn w:val="Normalny"/>
    <w:rsid w:val="00E41BB5"/>
    <w:pPr>
      <w:suppressAutoHyphens/>
      <w:autoSpaceDE w:val="0"/>
      <w:spacing w:after="0" w:line="288" w:lineRule="auto"/>
      <w:contextualSpacing w:val="0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7436C0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7859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F83A56"/>
    <w:pPr>
      <w:spacing w:after="0" w:line="240" w:lineRule="auto"/>
    </w:pPr>
    <w:rPr>
      <w:rFonts w:cstheme="minorHAnsi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1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4C9"/>
    <w:rPr>
      <w:rFonts w:cstheme="minorHAns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4C9"/>
    <w:rPr>
      <w:rFonts w:cs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Uczestnicy konsultacji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Liczba uczestników konsultacji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explosion val="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33-446A-AF6E-91F32B6B46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33-446A-AF6E-91F32B6B46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F33-446A-AF6E-91F32B6B469E}"/>
              </c:ext>
            </c:extLst>
          </c:dPt>
          <c:dLbls>
            <c:dLbl>
              <c:idx val="0"/>
              <c:layout>
                <c:manualLayout>
                  <c:x val="3.4703813065033534E-2"/>
                  <c:y val="-9.5238095238095247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9349263633712452"/>
                      <c:h val="0.1992125984251968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F33-446A-AF6E-91F32B6B469E}"/>
                </c:ext>
              </c:extLst>
            </c:dLbl>
            <c:dLbl>
              <c:idx val="1"/>
              <c:layout>
                <c:manualLayout>
                  <c:x val="-0.12037037037037036"/>
                  <c:y val="-5.9523809523809521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3512849956255469"/>
                      <c:h val="0.188128983877015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F33-446A-AF6E-91F32B6B469E}"/>
                </c:ext>
              </c:extLst>
            </c:dLbl>
            <c:dLbl>
              <c:idx val="2"/>
              <c:layout>
                <c:manualLayout>
                  <c:x val="-2.5462962962962941E-2"/>
                  <c:y val="1.984126984126982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9147601341498985"/>
                      <c:h val="0.2230221222347206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F33-446A-AF6E-91F32B6B469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Arkusz1!$A$2:$A$4</c:f>
              <c:strCache>
                <c:ptCount val="3"/>
                <c:pt idx="0">
                  <c:v>konsultacje stacjonarne w Warszawie</c:v>
                </c:pt>
                <c:pt idx="1">
                  <c:v>konsultacje online</c:v>
                </c:pt>
                <c:pt idx="2">
                  <c:v>konsultacje stacjonarne we Wrocławiu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28</c:v>
                </c:pt>
                <c:pt idx="1">
                  <c:v>11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F33-446A-AF6E-91F32B6B46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2535464316960383"/>
          <c:w val="1"/>
          <c:h val="0.150835833020872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Rodzaj podmiotu biorącego udział w konsultacjach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explosion val="4"/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05C4-474C-BC49-FFAABD8ABF06}"/>
              </c:ext>
            </c:extLst>
          </c:dPt>
          <c:dPt>
            <c:idx val="1"/>
            <c:bubble3D val="0"/>
            <c:explosion val="3"/>
            <c:spPr>
              <a:solidFill>
                <a:srgbClr val="FFC000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C4-474C-BC49-FFAABD8ABF06}"/>
              </c:ext>
            </c:extLst>
          </c:dPt>
          <c:dPt>
            <c:idx val="2"/>
            <c:bubble3D val="0"/>
            <c:spPr>
              <a:solidFill>
                <a:srgbClr val="EE0000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5C4-474C-BC49-FFAABD8ABF06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05C4-474C-BC49-FFAABD8ABF06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05C4-474C-BC49-FFAABD8ABF06}"/>
              </c:ext>
            </c:extLst>
          </c:dPt>
          <c:dLbls>
            <c:dLbl>
              <c:idx val="0"/>
              <c:layout>
                <c:manualLayout>
                  <c:x val="0.17545748116254034"/>
                  <c:y val="6.760019314340898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075146419399403"/>
                      <c:h val="0.1144580008136356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05C4-474C-BC49-FFAABD8ABF06}"/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9978776603408963"/>
                      <c:h val="0.13760175197800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5C4-474C-BC49-FFAABD8ABF06}"/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9820245289575614"/>
                      <c:h val="0.1496732150393320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5C4-474C-BC49-FFAABD8ABF06}"/>
                </c:ext>
              </c:extLst>
            </c:dLbl>
            <c:dLbl>
              <c:idx val="3"/>
              <c:layout>
                <c:manualLayout>
                  <c:x val="1.9375672766415501E-2"/>
                  <c:y val="8.45002414292611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500207657035337"/>
                      <c:h val="0.150172802518468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05C4-474C-BC49-FFAABD8ABF06}"/>
                </c:ext>
              </c:extLst>
            </c:dLbl>
            <c:dLbl>
              <c:idx val="4"/>
              <c:layout>
                <c:manualLayout>
                  <c:x val="-7.4273412271259415E-2"/>
                  <c:y val="0.10381467737826831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121576837340973"/>
                      <c:h val="0.1337723417117524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05C4-474C-BC49-FFAABD8ABF06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Arkusz1!$A$2:$A$6</c:f>
              <c:strCache>
                <c:ptCount val="5"/>
                <c:pt idx="0">
                  <c:v>instytucja publiczna</c:v>
                </c:pt>
                <c:pt idx="1">
                  <c:v>organizacja pozarządowa reprezentująca OzN</c:v>
                </c:pt>
                <c:pt idx="2">
                  <c:v>organizacja zrzeszająca lekarzy stomatologów</c:v>
                </c:pt>
                <c:pt idx="3">
                  <c:v>podmiot świadczący usługi stomatologiczne</c:v>
                </c:pt>
                <c:pt idx="4">
                  <c:v>uczelnia, w tym uczelnia medyczna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4</c:v>
                </c:pt>
                <c:pt idx="1">
                  <c:v>7</c:v>
                </c:pt>
                <c:pt idx="2">
                  <c:v>1</c:v>
                </c:pt>
                <c:pt idx="3">
                  <c:v>8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C4-474C-BC49-FFAABD8ABF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6517581643757946"/>
          <c:w val="1"/>
          <c:h val="0.134824183562420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 sz="1400" b="1">
                <a:solidFill>
                  <a:sysClr val="windowText" lastClr="000000"/>
                </a:solidFill>
              </a:rPr>
              <a:t>Zgłaszane uwagi</a:t>
            </a:r>
          </a:p>
        </c:rich>
      </c:tx>
      <c:layout>
        <c:manualLayout>
          <c:xMode val="edge"/>
          <c:yMode val="edge"/>
          <c:x val="0.36337839404946387"/>
          <c:y val="1.90327457334130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6228737939338092"/>
          <c:y val="0.16843773070176871"/>
          <c:w val="0.59635026100140176"/>
          <c:h val="0.69491771372393241"/>
        </c:manualLayout>
      </c:layout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Zgłaszane uwagi</c:v>
                </c:pt>
              </c:strCache>
            </c:strRef>
          </c:tx>
          <c:spPr>
            <a:ln>
              <a:solidFill>
                <a:schemeClr val="tx1"/>
              </a:solidFill>
              <a:prstDash val="solid"/>
            </a:ln>
          </c:spPr>
          <c:dPt>
            <c:idx val="0"/>
            <c:bubble3D val="0"/>
            <c:explosion val="3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/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8-D5D4-46D8-8B5A-462EA3834E23}"/>
              </c:ext>
            </c:extLst>
          </c:dPt>
          <c:dPt>
            <c:idx val="1"/>
            <c:bubble3D val="0"/>
            <c:explosion val="4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3-D5D4-46D8-8B5A-462EA3834E23}"/>
              </c:ext>
            </c:extLst>
          </c:dPt>
          <c:dPt>
            <c:idx val="2"/>
            <c:bubble3D val="0"/>
            <c:explosion val="2"/>
            <c:spPr>
              <a:solidFill>
                <a:schemeClr val="accent5">
                  <a:lumMod val="20000"/>
                  <a:lumOff val="80000"/>
                </a:schemeClr>
              </a:solidFill>
              <a:ln>
                <a:solidFill>
                  <a:schemeClr val="tx1"/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6-D5D4-46D8-8B5A-462EA3834E23}"/>
              </c:ext>
            </c:extLst>
          </c:dPt>
          <c:dPt>
            <c:idx val="3"/>
            <c:bubble3D val="0"/>
            <c:explosion val="3"/>
            <c:spPr>
              <a:solidFill>
                <a:srgbClr val="C00000"/>
              </a:solidFill>
              <a:ln>
                <a:solidFill>
                  <a:schemeClr val="tx1"/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4-D5D4-46D8-8B5A-462EA3834E23}"/>
              </c:ext>
            </c:extLst>
          </c:dPt>
          <c:dPt>
            <c:idx val="4"/>
            <c:bubble3D val="0"/>
            <c:explosion val="3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/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5-D5D4-46D8-8B5A-462EA3834E23}"/>
              </c:ext>
            </c:extLst>
          </c:dPt>
          <c:dPt>
            <c:idx val="5"/>
            <c:bubble3D val="0"/>
            <c:explosion val="2"/>
            <c:spPr>
              <a:solidFill>
                <a:srgbClr val="002060"/>
              </a:solidFill>
              <a:ln>
                <a:solidFill>
                  <a:schemeClr val="tx1"/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7-D5D4-46D8-8B5A-462EA3834E23}"/>
              </c:ext>
            </c:extLst>
          </c:dPt>
          <c:dLbls>
            <c:dLbl>
              <c:idx val="0"/>
              <c:layout>
                <c:manualLayout>
                  <c:x val="9.3172169086257708E-2"/>
                  <c:y val="7.3715733701912006E-2"/>
                </c:manualLayout>
              </c:layout>
              <c:spPr>
                <a:xfrm>
                  <a:off x="4912480" y="1299424"/>
                  <a:ext cx="1230517" cy="698609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32260"/>
                        <a:gd name="adj2" fmla="val -2533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9154132865940929"/>
                      <c:h val="0.1184254870698177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D5D4-46D8-8B5A-462EA3834E23}"/>
                </c:ext>
              </c:extLst>
            </c:dLbl>
            <c:dLbl>
              <c:idx val="1"/>
              <c:layout>
                <c:manualLayout>
                  <c:x val="0.51275385081164548"/>
                  <c:y val="-0.37975937182005681"/>
                </c:manualLayout>
              </c:layout>
              <c:spPr>
                <a:xfrm>
                  <a:off x="5012804" y="2766776"/>
                  <a:ext cx="1216729" cy="845280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47594"/>
                        <a:gd name="adj2" fmla="val 70014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8939494528193365"/>
                      <c:h val="0.1432885851258917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5D4-46D8-8B5A-462EA3834E23}"/>
                </c:ext>
              </c:extLst>
            </c:dLbl>
            <c:dLbl>
              <c:idx val="2"/>
              <c:layout>
                <c:manualLayout>
                  <c:x val="1.9768706138183257E-2"/>
                  <c:y val="0.1776142875022446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5D4-46D8-8B5A-462EA3834E23}"/>
                </c:ext>
              </c:extLst>
            </c:dLbl>
            <c:dLbl>
              <c:idx val="3"/>
              <c:layout>
                <c:manualLayout>
                  <c:x val="-2.7023198654482709E-2"/>
                  <c:y val="4.6674357481403285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1297698813644142"/>
                      <c:h val="0.1133415683094899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D5D4-46D8-8B5A-462EA3834E23}"/>
                </c:ext>
              </c:extLst>
            </c:dLbl>
            <c:dLbl>
              <c:idx val="4"/>
              <c:layout>
                <c:manualLayout>
                  <c:x val="2.1727987273311697E-2"/>
                  <c:y val="-4.0861081031077027E-3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3259205873951927"/>
                      <c:h val="0.1248596517004137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D5D4-46D8-8B5A-462EA3834E23}"/>
                </c:ext>
              </c:extLst>
            </c:dLbl>
            <c:dLbl>
              <c:idx val="5"/>
              <c:layout>
                <c:manualLayout>
                  <c:x val="0.18187209647128597"/>
                  <c:y val="2.07325501036627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5D4-46D8-8B5A-462EA3834E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Arkusz1!$A$2:$A$7</c:f>
              <c:strCache>
                <c:ptCount val="6"/>
                <c:pt idx="0">
                  <c:v>instytucje publiczne</c:v>
                </c:pt>
                <c:pt idx="1">
                  <c:v>organizacje pozarządowe zrzeszające OzN</c:v>
                </c:pt>
                <c:pt idx="2">
                  <c:v>organizacje zrzeszające lekarzy stomatologów</c:v>
                </c:pt>
                <c:pt idx="3">
                  <c:v>uczestnik konsultacji w Warszawie</c:v>
                </c:pt>
                <c:pt idx="4">
                  <c:v>uczestnik konsultacji we Wrocławiu</c:v>
                </c:pt>
                <c:pt idx="5">
                  <c:v>osoby prywatne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72</c:v>
                </c:pt>
                <c:pt idx="1">
                  <c:v>181</c:v>
                </c:pt>
                <c:pt idx="2">
                  <c:v>6</c:v>
                </c:pt>
                <c:pt idx="3">
                  <c:v>31</c:v>
                </c:pt>
                <c:pt idx="4">
                  <c:v>18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D4-46D8-8B5A-462EA3834E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ED5C4-CDBB-4C8E-8F47-00F90FE3B4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973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konsultacji społecznych Standardu</vt:lpstr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konsultacji społecznych Standardu</dc:title>
  <dc:subject/>
  <dc:creator>PFRON</dc:creator>
  <cp:keywords/>
  <dc:description/>
  <cp:lastModifiedBy>Monika Staniec</cp:lastModifiedBy>
  <cp:revision>6</cp:revision>
  <dcterms:created xsi:type="dcterms:W3CDTF">2026-02-10T11:54:00Z</dcterms:created>
  <dcterms:modified xsi:type="dcterms:W3CDTF">2026-02-10T13:57:00Z</dcterms:modified>
</cp:coreProperties>
</file>