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D4783" w14:textId="50D97775" w:rsidR="00764C02" w:rsidRPr="002A75E1" w:rsidRDefault="00764C02" w:rsidP="002A75E1">
      <w:pPr>
        <w:pStyle w:val="NormalnyWeb"/>
        <w:spacing w:before="0" w:beforeAutospacing="0" w:after="0" w:afterAutospacing="0" w:line="276" w:lineRule="auto"/>
        <w:ind w:left="3969"/>
        <w:rPr>
          <w:rFonts w:asciiTheme="minorHAnsi" w:hAnsiTheme="minorHAnsi" w:cstheme="minorHAnsi"/>
          <w:b/>
          <w:bCs/>
          <w:iCs/>
        </w:rPr>
      </w:pPr>
      <w:r w:rsidRPr="002A75E1">
        <w:rPr>
          <w:rFonts w:asciiTheme="minorHAnsi" w:hAnsiTheme="minorHAnsi" w:cstheme="minorHAnsi"/>
          <w:b/>
          <w:bCs/>
          <w:iCs/>
        </w:rPr>
        <w:t xml:space="preserve">Załącznik nr </w:t>
      </w:r>
      <w:r w:rsidR="005F0429">
        <w:rPr>
          <w:rFonts w:asciiTheme="minorHAnsi" w:hAnsiTheme="minorHAnsi" w:cstheme="minorHAnsi"/>
          <w:b/>
          <w:bCs/>
          <w:iCs/>
        </w:rPr>
        <w:t>3</w:t>
      </w:r>
      <w:r w:rsidR="00C24994">
        <w:rPr>
          <w:rFonts w:asciiTheme="minorHAnsi" w:hAnsiTheme="minorHAnsi" w:cstheme="minorHAnsi"/>
          <w:b/>
          <w:bCs/>
          <w:iCs/>
        </w:rPr>
        <w:t xml:space="preserve"> </w:t>
      </w:r>
      <w:r w:rsidRPr="002A75E1">
        <w:rPr>
          <w:rFonts w:asciiTheme="minorHAnsi" w:hAnsiTheme="minorHAnsi" w:cstheme="minorHAnsi"/>
          <w:b/>
          <w:bCs/>
          <w:iCs/>
        </w:rPr>
        <w:t>do Zasad wspierania realizacji zadań</w:t>
      </w:r>
    </w:p>
    <w:p w14:paraId="100DA0A8" w14:textId="5581657C" w:rsidR="00764C02" w:rsidRDefault="00764C02" w:rsidP="0031682B">
      <w:pPr>
        <w:pStyle w:val="Nagwek1"/>
        <w:keepNext w:val="0"/>
        <w:spacing w:before="480" w:after="480" w:line="276" w:lineRule="auto"/>
        <w:jc w:val="left"/>
        <w:rPr>
          <w:rFonts w:asciiTheme="minorHAnsi" w:hAnsiTheme="minorHAnsi" w:cstheme="minorHAnsi"/>
          <w:sz w:val="28"/>
          <w:szCs w:val="28"/>
        </w:rPr>
      </w:pPr>
      <w:bookmarkStart w:id="0" w:name="_Toc105500015"/>
      <w:r w:rsidRPr="002A75E1">
        <w:rPr>
          <w:rFonts w:asciiTheme="minorHAnsi" w:hAnsiTheme="minorHAnsi" w:cstheme="minorHAnsi"/>
          <w:sz w:val="28"/>
          <w:szCs w:val="28"/>
        </w:rPr>
        <w:t>Wytyczne w zakresie kwalifikowalności kosztów w ramach art. 36 ustawy o</w:t>
      </w:r>
      <w:r w:rsidR="00005949">
        <w:rPr>
          <w:rFonts w:asciiTheme="minorHAnsi" w:hAnsiTheme="minorHAnsi" w:cstheme="minorHAnsi"/>
          <w:sz w:val="28"/>
          <w:szCs w:val="28"/>
        </w:rPr>
        <w:t> </w:t>
      </w:r>
      <w:r w:rsidRPr="002A75E1">
        <w:rPr>
          <w:rFonts w:asciiTheme="minorHAnsi" w:hAnsiTheme="minorHAnsi" w:cstheme="minorHAnsi"/>
          <w:sz w:val="28"/>
          <w:szCs w:val="28"/>
        </w:rPr>
        <w:t xml:space="preserve">rehabilitacji </w:t>
      </w:r>
      <w:r w:rsidRPr="0031682B">
        <w:rPr>
          <w:rFonts w:asciiTheme="minorHAnsi" w:hAnsiTheme="minorHAnsi" w:cstheme="minorHAnsi"/>
          <w:sz w:val="28"/>
          <w:szCs w:val="28"/>
        </w:rPr>
        <w:t>zawodowej</w:t>
      </w:r>
      <w:r w:rsidRPr="002A75E1">
        <w:rPr>
          <w:rFonts w:asciiTheme="minorHAnsi" w:hAnsiTheme="minorHAnsi" w:cstheme="minorHAnsi"/>
          <w:sz w:val="28"/>
          <w:szCs w:val="28"/>
        </w:rPr>
        <w:t xml:space="preserve"> i społecznej oraz zatrudnianiu osób niepełnosprawnych</w:t>
      </w:r>
      <w:bookmarkEnd w:id="0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71863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DFB52F" w14:textId="19DE155D" w:rsidR="0031682B" w:rsidRPr="0031682B" w:rsidRDefault="0031682B" w:rsidP="0031682B">
          <w:pPr>
            <w:pStyle w:val="Nagwekspisutreci"/>
            <w:keepNext w:val="0"/>
            <w:keepLines w:val="0"/>
            <w:spacing w:after="240" w:line="276" w:lineRule="auto"/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</w:pPr>
          <w:r w:rsidRPr="0031682B"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  <w:t>Spis treści</w:t>
          </w:r>
        </w:p>
        <w:p w14:paraId="01137D9C" w14:textId="3D3DE517" w:rsidR="0031682B" w:rsidRPr="0031682B" w:rsidRDefault="0031682B" w:rsidP="0031682B">
          <w:pPr>
            <w:pStyle w:val="Spistreci1"/>
            <w:rPr>
              <w:rFonts w:asciiTheme="minorHAnsi" w:eastAsiaTheme="minorEastAsia" w:hAnsiTheme="minorHAnsi" w:cstheme="minorHAnsi"/>
              <w:noProof/>
            </w:rPr>
          </w:pPr>
          <w:r w:rsidRPr="0031682B">
            <w:rPr>
              <w:rFonts w:asciiTheme="minorHAnsi" w:hAnsiTheme="minorHAnsi" w:cstheme="minorHAnsi"/>
            </w:rPr>
            <w:fldChar w:fldCharType="begin"/>
          </w:r>
          <w:r w:rsidRPr="0031682B">
            <w:rPr>
              <w:rFonts w:asciiTheme="minorHAnsi" w:hAnsiTheme="minorHAnsi" w:cstheme="minorHAnsi"/>
            </w:rPr>
            <w:instrText xml:space="preserve"> TOC \o "1-3" \h \z \u </w:instrText>
          </w:r>
          <w:r w:rsidRPr="0031682B">
            <w:rPr>
              <w:rFonts w:asciiTheme="minorHAnsi" w:hAnsiTheme="minorHAnsi" w:cstheme="minorHAnsi"/>
            </w:rPr>
            <w:fldChar w:fldCharType="separate"/>
          </w:r>
          <w:hyperlink w:anchor="_Toc105500015" w:history="1">
            <w:r w:rsidRPr="0031682B">
              <w:rPr>
                <w:rStyle w:val="Hipercze"/>
                <w:rFonts w:asciiTheme="minorHAnsi" w:hAnsiTheme="minorHAnsi" w:cstheme="minorHAnsi"/>
                <w:noProof/>
              </w:rPr>
              <w:t>Wytyczne w zakresie kwalifikowalności kosztów w ramach art. 36 ustawy o rehabilitacji zawodowej i społecznej oraz zatrudnianiu osób niepełnosprawnych</w:t>
            </w:r>
            <w:r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_Toc105500015 \h </w:instrText>
            </w:r>
            <w:r w:rsidRPr="0031682B">
              <w:rPr>
                <w:rFonts w:asciiTheme="minorHAnsi" w:hAnsiTheme="minorHAnsi" w:cstheme="minorHAnsi"/>
                <w:noProof/>
                <w:webHidden/>
              </w:rPr>
            </w:r>
            <w:r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3C68C95" w14:textId="7C9BA839" w:rsidR="0031682B" w:rsidRPr="0031682B" w:rsidRDefault="00F76A87" w:rsidP="0031682B">
          <w:pPr>
            <w:pStyle w:val="Spistreci2"/>
            <w:rPr>
              <w:rFonts w:asciiTheme="minorHAnsi" w:eastAsiaTheme="minorEastAsia" w:hAnsiTheme="minorHAnsi" w:cstheme="minorHAnsi"/>
              <w:noProof/>
            </w:rPr>
          </w:pPr>
          <w:hyperlink w:anchor="_Toc105500016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Postanowienia ogólne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_Toc105500016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30C11D6" w14:textId="3C6D7599" w:rsidR="0031682B" w:rsidRPr="0031682B" w:rsidRDefault="00F76A87" w:rsidP="0031682B">
          <w:pPr>
            <w:pStyle w:val="Spistreci2"/>
            <w:rPr>
              <w:rFonts w:asciiTheme="minorHAnsi" w:eastAsiaTheme="minorEastAsia" w:hAnsiTheme="minorHAnsi" w:cstheme="minorHAnsi"/>
              <w:noProof/>
            </w:rPr>
          </w:pPr>
          <w:hyperlink w:anchor="_Toc105500017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Działalność nieodpłatna, odpłatna, gospodarcza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_Toc105500017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1151EA7" w14:textId="52852E14" w:rsidR="0031682B" w:rsidRPr="0031682B" w:rsidRDefault="00F76A87" w:rsidP="0031682B">
          <w:pPr>
            <w:pStyle w:val="Spistreci2"/>
            <w:rPr>
              <w:rFonts w:asciiTheme="minorHAnsi" w:eastAsiaTheme="minorEastAsia" w:hAnsiTheme="minorHAnsi" w:cstheme="minorHAnsi"/>
              <w:noProof/>
            </w:rPr>
          </w:pPr>
          <w:hyperlink w:anchor="_Toc105500018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Podatek VAT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_Toc105500018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45B353" w14:textId="3B337D99" w:rsidR="0031682B" w:rsidRPr="0031682B" w:rsidRDefault="00F76A87" w:rsidP="0031682B">
          <w:pPr>
            <w:pStyle w:val="Spistreci2"/>
            <w:rPr>
              <w:rFonts w:asciiTheme="minorHAnsi" w:eastAsiaTheme="minorEastAsia" w:hAnsiTheme="minorHAnsi" w:cstheme="minorHAnsi"/>
              <w:noProof/>
            </w:rPr>
          </w:pPr>
          <w:hyperlink w:anchor="_Toc105500019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Koszty pośrednie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_Toc105500019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6FD5C01" w14:textId="0A1CDCBC" w:rsidR="0031682B" w:rsidRPr="0031682B" w:rsidRDefault="00F76A87" w:rsidP="0031682B">
          <w:pPr>
            <w:pStyle w:val="Spistreci2"/>
            <w:rPr>
              <w:rFonts w:asciiTheme="minorHAnsi" w:eastAsiaTheme="minorEastAsia" w:hAnsiTheme="minorHAnsi" w:cstheme="minorHAnsi"/>
              <w:noProof/>
            </w:rPr>
          </w:pPr>
          <w:hyperlink w:anchor="_Toc105500020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Przychód projektu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_Toc105500020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BF7F15" w14:textId="6E856D57" w:rsidR="0031682B" w:rsidRPr="0031682B" w:rsidRDefault="00F76A87" w:rsidP="0031682B">
          <w:pPr>
            <w:pStyle w:val="Spistreci2"/>
            <w:rPr>
              <w:rFonts w:asciiTheme="minorHAnsi" w:eastAsiaTheme="minorEastAsia" w:hAnsiTheme="minorHAnsi" w:cstheme="minorHAnsi"/>
              <w:noProof/>
            </w:rPr>
          </w:pPr>
          <w:hyperlink w:anchor="_Toc105500021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Szczegółowe zasady kwalifikowalności kosztów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_Toc105500021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D7B380B" w14:textId="683EDE77" w:rsidR="0031682B" w:rsidRPr="0031682B" w:rsidRDefault="00F76A87" w:rsidP="0031682B">
          <w:pPr>
            <w:pStyle w:val="Spistreci3"/>
            <w:tabs>
              <w:tab w:val="left" w:pos="1320"/>
              <w:tab w:val="right" w:leader="dot" w:pos="9628"/>
            </w:tabs>
            <w:spacing w:line="276" w:lineRule="auto"/>
            <w:rPr>
              <w:rFonts w:asciiTheme="minorHAnsi" w:eastAsiaTheme="minorEastAsia" w:hAnsiTheme="minorHAnsi" w:cstheme="minorHAnsi"/>
              <w:noProof/>
            </w:rPr>
          </w:pPr>
          <w:hyperlink w:anchor="_Toc105500022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VI.1.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Koszty osobowe personelu projektu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_Toc105500022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220217" w14:textId="6E174428" w:rsidR="0031682B" w:rsidRPr="0031682B" w:rsidRDefault="00F76A87" w:rsidP="0031682B">
          <w:pPr>
            <w:pStyle w:val="Spistreci3"/>
            <w:tabs>
              <w:tab w:val="left" w:pos="1320"/>
              <w:tab w:val="right" w:leader="dot" w:pos="9628"/>
            </w:tabs>
            <w:spacing w:line="276" w:lineRule="auto"/>
            <w:rPr>
              <w:rFonts w:asciiTheme="minorHAnsi" w:eastAsiaTheme="minorEastAsia" w:hAnsiTheme="minorHAnsi" w:cstheme="minorHAnsi"/>
              <w:noProof/>
            </w:rPr>
          </w:pPr>
          <w:hyperlink w:anchor="_Toc105500023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VI.2.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Koszty dojazdów uczestników projektu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_Toc105500023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B7358C" w14:textId="1BF98AF2" w:rsidR="0031682B" w:rsidRPr="0031682B" w:rsidRDefault="00F76A87" w:rsidP="0031682B">
          <w:pPr>
            <w:pStyle w:val="Spistreci3"/>
            <w:tabs>
              <w:tab w:val="left" w:pos="1320"/>
              <w:tab w:val="right" w:leader="dot" w:pos="9628"/>
            </w:tabs>
            <w:spacing w:line="276" w:lineRule="auto"/>
            <w:rPr>
              <w:rFonts w:asciiTheme="minorHAnsi" w:eastAsiaTheme="minorEastAsia" w:hAnsiTheme="minorHAnsi" w:cstheme="minorHAnsi"/>
              <w:noProof/>
            </w:rPr>
          </w:pPr>
          <w:hyperlink w:anchor="_Toc105500024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VI.3.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Koszty dojazdów personelu projektu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_Toc105500024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8E2C2E" w14:textId="6B02649B" w:rsidR="0031682B" w:rsidRPr="0031682B" w:rsidRDefault="00F76A87" w:rsidP="0031682B">
          <w:pPr>
            <w:pStyle w:val="Spistreci3"/>
            <w:tabs>
              <w:tab w:val="left" w:pos="1320"/>
              <w:tab w:val="right" w:leader="dot" w:pos="9628"/>
            </w:tabs>
            <w:spacing w:line="276" w:lineRule="auto"/>
            <w:rPr>
              <w:rFonts w:asciiTheme="minorHAnsi" w:eastAsiaTheme="minorEastAsia" w:hAnsiTheme="minorHAnsi" w:cstheme="minorHAnsi"/>
              <w:noProof/>
            </w:rPr>
          </w:pPr>
          <w:hyperlink w:anchor="_Toc105500025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VI.4.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Koszty eksploatacji pomieszczeń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_Toc105500025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E419EE7" w14:textId="3B217A34" w:rsidR="0031682B" w:rsidRPr="0031682B" w:rsidRDefault="00F76A87" w:rsidP="0031682B">
          <w:pPr>
            <w:pStyle w:val="Spistreci2"/>
            <w:rPr>
              <w:rFonts w:asciiTheme="minorHAnsi" w:eastAsiaTheme="minorEastAsia" w:hAnsiTheme="minorHAnsi" w:cstheme="minorHAnsi"/>
              <w:noProof/>
            </w:rPr>
          </w:pPr>
          <w:hyperlink w:anchor="_Toc105500026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Powierzenie wykonania usług wykonawcy zewnętrznemu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_Toc105500026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679D49E" w14:textId="2CB45199" w:rsidR="0031682B" w:rsidRPr="0031682B" w:rsidRDefault="00F76A87" w:rsidP="0031682B">
          <w:pPr>
            <w:pStyle w:val="Spistreci2"/>
            <w:rPr>
              <w:rFonts w:asciiTheme="minorHAnsi" w:eastAsiaTheme="minorEastAsia" w:hAnsiTheme="minorHAnsi" w:cstheme="minorHAnsi"/>
              <w:noProof/>
            </w:rPr>
          </w:pPr>
          <w:hyperlink w:anchor="_Toc105500027" w:history="1"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="0031682B" w:rsidRPr="0031682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31682B" w:rsidRPr="0031682B">
              <w:rPr>
                <w:rStyle w:val="Hipercze"/>
                <w:rFonts w:asciiTheme="minorHAnsi" w:hAnsiTheme="minorHAnsi" w:cstheme="minorHAnsi"/>
                <w:noProof/>
              </w:rPr>
              <w:t>Zasada konkurencyjności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instrText xml:space="preserve"> PAGEREF _Toc105500027 \h </w:instrTex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A730E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31682B" w:rsidRPr="0031682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36A59C" w14:textId="7FAFE481" w:rsidR="0031682B" w:rsidRDefault="0031682B" w:rsidP="0031682B">
          <w:pPr>
            <w:spacing w:line="276" w:lineRule="auto"/>
          </w:pPr>
          <w:r w:rsidRPr="0031682B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850E75B" w14:textId="33794C67" w:rsidR="00764C02" w:rsidRPr="002A75E1" w:rsidRDefault="00764C02" w:rsidP="002A75E1">
      <w:pPr>
        <w:pStyle w:val="Nagwek2"/>
        <w:numPr>
          <w:ilvl w:val="0"/>
          <w:numId w:val="0"/>
        </w:numPr>
        <w:spacing w:before="480"/>
        <w:ind w:left="360" w:hanging="360"/>
      </w:pPr>
      <w:bookmarkStart w:id="1" w:name="_Toc105500016"/>
      <w:r w:rsidRPr="002A75E1">
        <w:t>I.</w:t>
      </w:r>
      <w:r w:rsidRPr="002A75E1">
        <w:tab/>
        <w:t>Postanowienia ogólne</w:t>
      </w:r>
      <w:bookmarkEnd w:id="1"/>
    </w:p>
    <w:p w14:paraId="72C84EDE" w14:textId="77777777" w:rsidR="00764C02" w:rsidRPr="002A75E1" w:rsidRDefault="00764C02" w:rsidP="006512FF">
      <w:pPr>
        <w:numPr>
          <w:ilvl w:val="1"/>
          <w:numId w:val="4"/>
        </w:numPr>
        <w:spacing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 kwalifikowalne uznaje się koszty związane z realizacją projektu, o ile:</w:t>
      </w:r>
    </w:p>
    <w:p w14:paraId="09869F6D" w14:textId="77777777" w:rsidR="00764C02" w:rsidRPr="002A75E1" w:rsidRDefault="00764C02" w:rsidP="002A75E1">
      <w:pPr>
        <w:pStyle w:val="Tekstpodstawowy"/>
        <w:numPr>
          <w:ilvl w:val="0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n</w:t>
      </w:r>
      <w:r w:rsidR="00F23A82" w:rsidRPr="002A75E1">
        <w:rPr>
          <w:rFonts w:asciiTheme="minorHAnsi" w:hAnsiTheme="minorHAnsi" w:cstheme="minorHAnsi"/>
          <w:sz w:val="24"/>
          <w:szCs w:val="24"/>
        </w:rPr>
        <w:t>iezbędne do realizacji projektu;</w:t>
      </w:r>
    </w:p>
    <w:p w14:paraId="0C9EC6FB" w14:textId="77777777" w:rsidR="00764C02" w:rsidRPr="002A75E1" w:rsidRDefault="00764C02" w:rsidP="002A75E1">
      <w:pPr>
        <w:pStyle w:val="Tekstpodstawowy"/>
        <w:numPr>
          <w:ilvl w:val="0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spełniają wymogi racjonalnego i oszczędnego gospodarowania środkami publicznymi, z</w:t>
      </w:r>
      <w:r w:rsidR="00367BC4" w:rsidRPr="002A75E1"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>zachowaniem zasady uzyskiwania najlep</w:t>
      </w:r>
      <w:r w:rsidR="00F23A82" w:rsidRPr="002A75E1">
        <w:rPr>
          <w:rFonts w:asciiTheme="minorHAnsi" w:hAnsiTheme="minorHAnsi" w:cstheme="minorHAnsi"/>
          <w:sz w:val="24"/>
          <w:szCs w:val="24"/>
        </w:rPr>
        <w:t>szych efektów z danych nakładów;</w:t>
      </w:r>
    </w:p>
    <w:p w14:paraId="42444F5E" w14:textId="77777777" w:rsidR="00764C02" w:rsidRPr="002A75E1" w:rsidRDefault="00764C02" w:rsidP="002A75E1">
      <w:pPr>
        <w:pStyle w:val="Tekstpodstawowy"/>
        <w:numPr>
          <w:ilvl w:val="0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zostały u</w:t>
      </w:r>
      <w:r w:rsidR="00F23A82" w:rsidRPr="002A75E1">
        <w:rPr>
          <w:rFonts w:asciiTheme="minorHAnsi" w:hAnsiTheme="minorHAnsi" w:cstheme="minorHAnsi"/>
          <w:sz w:val="24"/>
          <w:szCs w:val="24"/>
        </w:rPr>
        <w:t>względnione w budżecie projektu;</w:t>
      </w:r>
    </w:p>
    <w:p w14:paraId="51A5AE3A" w14:textId="77777777" w:rsidR="00764C02" w:rsidRPr="002A75E1" w:rsidRDefault="00764C02" w:rsidP="002A75E1">
      <w:pPr>
        <w:pStyle w:val="Tekstpodstawowy"/>
        <w:numPr>
          <w:ilvl w:val="0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zostały faktycznie poniesione w okresie objętym umową zawartą pomiędzy Wnioskodawcą a PFRON</w:t>
      </w:r>
      <w:r w:rsidR="00624A65" w:rsidRPr="002A75E1">
        <w:rPr>
          <w:rFonts w:asciiTheme="minorHAnsi" w:hAnsiTheme="minorHAnsi" w:cstheme="minorHAnsi"/>
          <w:sz w:val="24"/>
          <w:szCs w:val="24"/>
        </w:rPr>
        <w:t>, w trybie i na warunkach określonych w tej umowie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C19C22F" w14:textId="77777777" w:rsidR="00764C02" w:rsidRPr="002A75E1" w:rsidRDefault="00764C02" w:rsidP="002A75E1">
      <w:pPr>
        <w:pStyle w:val="Tekstpodstawowy"/>
        <w:numPr>
          <w:ilvl w:val="0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poparte dowodami księgowymi i wykazane w dokum</w:t>
      </w:r>
      <w:r w:rsidR="00F23A82" w:rsidRPr="002A75E1">
        <w:rPr>
          <w:rFonts w:asciiTheme="minorHAnsi" w:hAnsiTheme="minorHAnsi" w:cstheme="minorHAnsi"/>
          <w:sz w:val="24"/>
          <w:szCs w:val="24"/>
        </w:rPr>
        <w:t>entacji finansowej Wnioskodawcy;</w:t>
      </w:r>
    </w:p>
    <w:p w14:paraId="633B5A1E" w14:textId="77777777" w:rsidR="00764C02" w:rsidRPr="002A75E1" w:rsidRDefault="00764C02" w:rsidP="002A75E1">
      <w:pPr>
        <w:pStyle w:val="Tekstpodstawowy"/>
        <w:numPr>
          <w:ilvl w:val="0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są zgodne z </w:t>
      </w:r>
      <w:r w:rsidR="00F23A82" w:rsidRPr="002A75E1">
        <w:rPr>
          <w:rFonts w:asciiTheme="minorHAnsi" w:hAnsiTheme="minorHAnsi" w:cstheme="minorHAnsi"/>
          <w:sz w:val="24"/>
          <w:szCs w:val="24"/>
        </w:rPr>
        <w:t>obowiązującymi przepisami prawa;</w:t>
      </w:r>
    </w:p>
    <w:p w14:paraId="76FD10F4" w14:textId="77777777" w:rsidR="00764C02" w:rsidRPr="002A75E1" w:rsidRDefault="00764C02" w:rsidP="002A75E1">
      <w:pPr>
        <w:pStyle w:val="Tekstpodstawowy"/>
        <w:numPr>
          <w:ilvl w:val="0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nie zostały wymienione w katalogu kosztów niekwalifikowalnych.</w:t>
      </w:r>
    </w:p>
    <w:p w14:paraId="65805B99" w14:textId="77777777" w:rsidR="00764C02" w:rsidRPr="002A75E1" w:rsidRDefault="00764C02" w:rsidP="006512FF">
      <w:pPr>
        <w:numPr>
          <w:ilvl w:val="1"/>
          <w:numId w:val="4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Pomoc finansowa udzielana jest na pokrycie tych kosztów lub tej części kosztów, które nie zostały sfinansowane z innych źródeł (w tym ze środków funduszy strukturalnych).</w:t>
      </w:r>
    </w:p>
    <w:p w14:paraId="0846D946" w14:textId="77777777" w:rsidR="00764C02" w:rsidRPr="002A75E1" w:rsidRDefault="00764C02" w:rsidP="006512FF">
      <w:pPr>
        <w:numPr>
          <w:ilvl w:val="1"/>
          <w:numId w:val="4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 kwalifikowalne uznaje się w szczególności:</w:t>
      </w:r>
    </w:p>
    <w:p w14:paraId="2109F9FE" w14:textId="77777777" w:rsidR="00764C02" w:rsidRPr="002A75E1" w:rsidRDefault="00764C02" w:rsidP="002A75E1">
      <w:pPr>
        <w:pStyle w:val="Tekstpodstawowywcity"/>
        <w:numPr>
          <w:ilvl w:val="1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koszty osobowe personelu administracyjnego </w:t>
      </w:r>
      <w:r w:rsidRPr="002A75E1">
        <w:rPr>
          <w:rFonts w:asciiTheme="minorHAnsi" w:hAnsiTheme="minorHAnsi" w:cstheme="minorHAnsi"/>
          <w:sz w:val="24"/>
          <w:szCs w:val="24"/>
        </w:rPr>
        <w:t xml:space="preserve">(np.  </w:t>
      </w:r>
      <w:r w:rsidR="00B46454" w:rsidRPr="002A75E1">
        <w:rPr>
          <w:rFonts w:asciiTheme="minorHAnsi" w:hAnsiTheme="minorHAnsi" w:cstheme="minorHAnsi"/>
          <w:sz w:val="24"/>
          <w:szCs w:val="24"/>
        </w:rPr>
        <w:t xml:space="preserve">kierownika </w:t>
      </w:r>
      <w:r w:rsidRPr="002A75E1">
        <w:rPr>
          <w:rFonts w:asciiTheme="minorHAnsi" w:hAnsiTheme="minorHAnsi" w:cstheme="minorHAnsi"/>
          <w:sz w:val="24"/>
          <w:szCs w:val="24"/>
        </w:rPr>
        <w:t>projektu, księgowego</w:t>
      </w:r>
      <w:r w:rsidR="00B46454" w:rsidRPr="002A75E1">
        <w:rPr>
          <w:rFonts w:asciiTheme="minorHAnsi" w:hAnsiTheme="minorHAnsi" w:cstheme="minorHAnsi"/>
          <w:sz w:val="24"/>
          <w:szCs w:val="24"/>
        </w:rPr>
        <w:t>, osoby zajmującej się promocją projektu</w:t>
      </w:r>
      <w:r w:rsidR="00F23A82" w:rsidRPr="002A75E1">
        <w:rPr>
          <w:rFonts w:asciiTheme="minorHAnsi" w:hAnsiTheme="minorHAnsi" w:cstheme="minorHAnsi"/>
          <w:sz w:val="24"/>
          <w:szCs w:val="24"/>
        </w:rPr>
        <w:t>);</w:t>
      </w:r>
    </w:p>
    <w:p w14:paraId="16C85B85" w14:textId="77777777" w:rsidR="00764C02" w:rsidRPr="002A75E1" w:rsidRDefault="00764C02" w:rsidP="002A75E1">
      <w:pPr>
        <w:pStyle w:val="Tekstpodstawowywcity"/>
        <w:numPr>
          <w:ilvl w:val="1"/>
          <w:numId w:val="1"/>
        </w:numPr>
        <w:spacing w:before="60" w:line="276" w:lineRule="auto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koszty osobowe personelu merytorycznego (np. trenerów, rehabilitantów); w przypadku realizacji projektu w ramach działalności odpłatnej zastosowanie mają limity wynagrodzeń określone w art. 9 ustawy </w:t>
      </w:r>
      <w:r w:rsidRPr="002A75E1">
        <w:rPr>
          <w:rFonts w:asciiTheme="minorHAnsi" w:hAnsiTheme="minorHAnsi" w:cstheme="minorHAnsi"/>
          <w:sz w:val="24"/>
          <w:szCs w:val="24"/>
        </w:rPr>
        <w:t>o działalności pożytku publicznego i</w:t>
      </w:r>
      <w:r w:rsidR="00367BC4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Pr="002A75E1">
        <w:rPr>
          <w:rFonts w:asciiTheme="minorHAnsi" w:hAnsiTheme="minorHAnsi" w:cstheme="minorHAnsi"/>
          <w:sz w:val="24"/>
          <w:szCs w:val="24"/>
        </w:rPr>
        <w:t>o</w:t>
      </w:r>
      <w:r w:rsidR="00367BC4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Pr="002A75E1">
        <w:rPr>
          <w:rFonts w:asciiTheme="minorHAnsi" w:hAnsiTheme="minorHAnsi" w:cstheme="minorHAnsi"/>
          <w:sz w:val="24"/>
          <w:szCs w:val="24"/>
        </w:rPr>
        <w:t>wolontariacie</w:t>
      </w:r>
      <w:r w:rsidR="00F23A8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;</w:t>
      </w:r>
    </w:p>
    <w:p w14:paraId="1F6BB36B" w14:textId="77777777" w:rsidR="00764C02" w:rsidRPr="002A75E1" w:rsidRDefault="00764C02" w:rsidP="002A75E1">
      <w:pPr>
        <w:pStyle w:val="Tekstpodstawowywcity"/>
        <w:numPr>
          <w:ilvl w:val="1"/>
          <w:numId w:val="1"/>
        </w:numPr>
        <w:spacing w:before="60" w:line="276" w:lineRule="auto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koszty związane z udziałem uczestników projektu (np. materiały szkoleniowe, pomoce dydaktyczne, wynajęcie niezbędnego sprzętu, </w:t>
      </w:r>
      <w:r w:rsidR="00E20C06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wynajęcie niezbędnych pomieszczeń</w:t>
      </w:r>
      <w:r w:rsidR="00367BC4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20C06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/</w:t>
      </w:r>
      <w:r w:rsidR="00367BC4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20C06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obiektów, </w:t>
      </w: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zakup odzieży </w:t>
      </w:r>
      <w:r w:rsidR="00A77501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ochronnej </w:t>
      </w: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dla uczestników projektu</w:t>
      </w:r>
      <w:r w:rsidR="00A77501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,</w:t>
      </w:r>
      <w:r w:rsidR="00692100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77501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zakup </w:t>
      </w:r>
      <w:r w:rsidR="00692100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strojów sportowych dla uczestników zajęć</w:t>
      </w:r>
      <w:r w:rsidR="00367BC4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92100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/</w:t>
      </w:r>
      <w:r w:rsidR="00367BC4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92100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zawodów sportowych</w:t>
      </w: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A77501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zakup elementów odzieży identyfikujących grupę uczestników projektu, </w:t>
      </w: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wyżywienie, zakwaterowanie, </w:t>
      </w:r>
      <w:r w:rsidR="00F23A8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przejazdy uczestników projektu);</w:t>
      </w:r>
    </w:p>
    <w:p w14:paraId="01CEC8E5" w14:textId="77777777" w:rsidR="00764C02" w:rsidRPr="002A75E1" w:rsidRDefault="00764C02" w:rsidP="002A75E1">
      <w:pPr>
        <w:pStyle w:val="Tekstpodstawowywcity"/>
        <w:numPr>
          <w:ilvl w:val="1"/>
          <w:numId w:val="1"/>
        </w:numPr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funkcjonowania jednostek wskazanych przez Wnioskodawcę do realizacji projektu (np. opłaty za telefon/faks, Internet, opłaty pocztowe, czynsz, CO, materiały biurowe</w:t>
      </w:r>
      <w:r w:rsidR="00FA0046" w:rsidRPr="002A75E1">
        <w:rPr>
          <w:rFonts w:asciiTheme="minorHAnsi" w:hAnsiTheme="minorHAnsi" w:cstheme="minorHAnsi"/>
          <w:sz w:val="24"/>
          <w:szCs w:val="24"/>
        </w:rPr>
        <w:t>, obsług</w:t>
      </w:r>
      <w:r w:rsidR="00E872BC" w:rsidRPr="002A75E1">
        <w:rPr>
          <w:rFonts w:asciiTheme="minorHAnsi" w:hAnsiTheme="minorHAnsi" w:cstheme="minorHAnsi"/>
          <w:sz w:val="24"/>
          <w:szCs w:val="24"/>
        </w:rPr>
        <w:t>a</w:t>
      </w:r>
      <w:r w:rsidR="00FA0046" w:rsidRPr="002A75E1">
        <w:rPr>
          <w:rFonts w:asciiTheme="minorHAnsi" w:hAnsiTheme="minorHAnsi" w:cstheme="minorHAnsi"/>
          <w:sz w:val="24"/>
          <w:szCs w:val="24"/>
        </w:rPr>
        <w:t xml:space="preserve"> księgow</w:t>
      </w:r>
      <w:r w:rsidR="00E872BC" w:rsidRPr="002A75E1">
        <w:rPr>
          <w:rFonts w:asciiTheme="minorHAnsi" w:hAnsiTheme="minorHAnsi" w:cstheme="minorHAnsi"/>
          <w:sz w:val="24"/>
          <w:szCs w:val="24"/>
        </w:rPr>
        <w:t xml:space="preserve">a </w:t>
      </w:r>
      <w:r w:rsidR="00980280" w:rsidRPr="002A75E1">
        <w:rPr>
          <w:rFonts w:asciiTheme="minorHAnsi" w:hAnsiTheme="minorHAnsi" w:cstheme="minorHAnsi"/>
          <w:sz w:val="24"/>
          <w:szCs w:val="24"/>
        </w:rPr>
        <w:t xml:space="preserve">lub informatyczna </w:t>
      </w:r>
      <w:r w:rsidR="00E872BC" w:rsidRPr="002A75E1">
        <w:rPr>
          <w:rFonts w:asciiTheme="minorHAnsi" w:hAnsiTheme="minorHAnsi" w:cstheme="minorHAnsi"/>
          <w:sz w:val="24"/>
          <w:szCs w:val="24"/>
        </w:rPr>
        <w:t xml:space="preserve">projektu </w:t>
      </w:r>
      <w:r w:rsidR="00FA0046" w:rsidRPr="002A75E1">
        <w:rPr>
          <w:rFonts w:asciiTheme="minorHAnsi" w:hAnsiTheme="minorHAnsi" w:cstheme="minorHAnsi"/>
          <w:sz w:val="24"/>
          <w:szCs w:val="24"/>
        </w:rPr>
        <w:t>przez</w:t>
      </w:r>
      <w:r w:rsidR="00E872BC" w:rsidRPr="002A75E1">
        <w:rPr>
          <w:rFonts w:asciiTheme="minorHAnsi" w:hAnsiTheme="minorHAnsi" w:cstheme="minorHAnsi"/>
          <w:sz w:val="24"/>
          <w:szCs w:val="24"/>
        </w:rPr>
        <w:t xml:space="preserve"> wykonawcę zewnętrznego</w:t>
      </w:r>
      <w:r w:rsidR="00F23A82" w:rsidRPr="002A75E1">
        <w:rPr>
          <w:rFonts w:asciiTheme="minorHAnsi" w:hAnsiTheme="minorHAnsi" w:cstheme="minorHAnsi"/>
          <w:sz w:val="24"/>
          <w:szCs w:val="24"/>
        </w:rPr>
        <w:t>);</w:t>
      </w:r>
    </w:p>
    <w:p w14:paraId="74FDB56E" w14:textId="77777777" w:rsidR="00764C02" w:rsidRPr="002A75E1" w:rsidRDefault="00764C02" w:rsidP="002A75E1">
      <w:pPr>
        <w:pStyle w:val="Tekstpodstawowywcity"/>
        <w:numPr>
          <w:ilvl w:val="1"/>
          <w:numId w:val="1"/>
        </w:numPr>
        <w:spacing w:before="6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nakłady na nabycie środków trwałych, wartości niematerialnych i prawnych oraz wyposażenia; koszty najmu (dzierżawy, leasingu) ww. składników majątkowych; koszty remontów, adaptacji i modernizacji pomieszczeń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7ABE39BF" w14:textId="4D337A2F" w:rsidR="005F0429" w:rsidRDefault="00764C02" w:rsidP="002A75E1">
      <w:pPr>
        <w:pStyle w:val="Tekstpodstawowywcity"/>
        <w:numPr>
          <w:ilvl w:val="1"/>
          <w:numId w:val="1"/>
        </w:numPr>
        <w:spacing w:before="60" w:line="276" w:lineRule="auto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inne koszty związane z realizacją projektu, których nie można przypisać do żadnej z </w:t>
      </w:r>
      <w:r w:rsidR="00F42E42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pozostałych </w:t>
      </w: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kategorii kosztów</w:t>
      </w:r>
      <w:r w:rsidR="005F0429">
        <w:rPr>
          <w:rStyle w:val="Pogrubienie"/>
          <w:rFonts w:asciiTheme="minorHAnsi" w:hAnsiTheme="minorHAnsi" w:cstheme="minorHAnsi"/>
          <w:b w:val="0"/>
          <w:sz w:val="24"/>
          <w:szCs w:val="24"/>
        </w:rPr>
        <w:t>; przykładowo:</w:t>
      </w:r>
    </w:p>
    <w:p w14:paraId="5DEEF068" w14:textId="7E7C3480" w:rsidR="005F0429" w:rsidRDefault="00764C02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koszty promocji projektu,</w:t>
      </w:r>
    </w:p>
    <w:p w14:paraId="657B1FE5" w14:textId="0CC29999" w:rsidR="005F0429" w:rsidRDefault="00764C02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podróże służbowe personelu projektu</w:t>
      </w:r>
      <w:bookmarkStart w:id="2" w:name="_Hlk82615513"/>
      <w:r w:rsidR="00A1594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(delegacje służbowe)</w:t>
      </w: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,</w:t>
      </w:r>
    </w:p>
    <w:p w14:paraId="354B3F17" w14:textId="77777777" w:rsidR="005F0429" w:rsidRDefault="00FF2339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koszty wynagrodzenia z tytułu przysługującego </w:t>
      </w:r>
      <w:r w:rsidR="00BF216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personelowi projektu 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>dodatkowego urlopu wypoczynkowego,</w:t>
      </w:r>
    </w:p>
    <w:p w14:paraId="49E958F7" w14:textId="77C63287" w:rsidR="005F0429" w:rsidRDefault="00FF2339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>koszty wynagrodzenia z tytuł</w:t>
      </w:r>
      <w:r w:rsidR="00F60240">
        <w:rPr>
          <w:rStyle w:val="Pogrubienie"/>
          <w:rFonts w:asciiTheme="minorHAnsi" w:hAnsiTheme="minorHAnsi" w:cstheme="minorHAnsi"/>
          <w:b w:val="0"/>
          <w:sz w:val="24"/>
          <w:szCs w:val="24"/>
        </w:rPr>
        <w:t>u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urlopu wypoczynkowego przysługującego osobie powracającej do pracy po długotrwałej przerwie</w:t>
      </w:r>
      <w:r w:rsidR="00BF216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– o ile na dzień rozpoczęcia i</w:t>
      </w:r>
      <w:r w:rsidR="005F0429">
        <w:rPr>
          <w:rStyle w:val="Pogrubienie"/>
          <w:rFonts w:asciiTheme="minorHAnsi" w:hAnsiTheme="minorHAnsi" w:cstheme="minorHAnsi"/>
          <w:b w:val="0"/>
          <w:sz w:val="24"/>
          <w:szCs w:val="24"/>
        </w:rPr>
        <w:t> </w:t>
      </w:r>
      <w:r w:rsidR="00BF216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zakończenia przerwy osoba ta </w:t>
      </w:r>
      <w:r w:rsidR="009D47FA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była </w:t>
      </w:r>
      <w:r w:rsidR="00BF216E">
        <w:rPr>
          <w:rStyle w:val="Pogrubienie"/>
          <w:rFonts w:asciiTheme="minorHAnsi" w:hAnsiTheme="minorHAnsi" w:cstheme="minorHAnsi"/>
          <w:b w:val="0"/>
          <w:sz w:val="24"/>
          <w:szCs w:val="24"/>
        </w:rPr>
        <w:t>zatrudniona jako personel projektu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>,</w:t>
      </w:r>
      <w:bookmarkEnd w:id="2"/>
    </w:p>
    <w:p w14:paraId="5C808E13" w14:textId="2F3C077B" w:rsidR="005F0429" w:rsidRDefault="00764C02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dojazdy personelu projektu do uczestników projektu,</w:t>
      </w:r>
    </w:p>
    <w:p w14:paraId="443EA275" w14:textId="7B94A8C9" w:rsidR="005F0429" w:rsidRDefault="00764C02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wyżywienie i</w:t>
      </w:r>
      <w:r w:rsidR="005F0429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zakwaterowanie personelu projektu,</w:t>
      </w:r>
    </w:p>
    <w:p w14:paraId="2800F2F2" w14:textId="111C1877" w:rsidR="005F0429" w:rsidRDefault="00764C02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opłaty bankowe</w:t>
      </w:r>
      <w:r w:rsidR="00CD6BE3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,</w:t>
      </w:r>
    </w:p>
    <w:p w14:paraId="6C395101" w14:textId="7DE34101" w:rsidR="005F0429" w:rsidRDefault="00CD6BE3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koszty wymaganego audytu zewnętrznego projektu</w:t>
      </w:r>
      <w:r w:rsidR="003643DC">
        <w:rPr>
          <w:rStyle w:val="Pogrubienie"/>
          <w:rFonts w:asciiTheme="minorHAnsi" w:hAnsiTheme="minorHAnsi" w:cstheme="minorHAnsi"/>
          <w:b w:val="0"/>
          <w:sz w:val="24"/>
          <w:szCs w:val="24"/>
        </w:rPr>
        <w:t>,</w:t>
      </w:r>
    </w:p>
    <w:p w14:paraId="17E2BB76" w14:textId="1241B0E9" w:rsidR="005F0429" w:rsidRDefault="0027423E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>koszty związane z wypełnieniem obowiązków informacyjnych,</w:t>
      </w:r>
    </w:p>
    <w:p w14:paraId="44263EAA" w14:textId="3A46F6EA" w:rsidR="00764C02" w:rsidRPr="002A75E1" w:rsidRDefault="003643DC" w:rsidP="00A15943">
      <w:pPr>
        <w:pStyle w:val="Tekstpodstawowywcity"/>
        <w:numPr>
          <w:ilvl w:val="0"/>
          <w:numId w:val="30"/>
        </w:numPr>
        <w:spacing w:before="60" w:line="276" w:lineRule="auto"/>
        <w:ind w:left="1094" w:hanging="357"/>
        <w:jc w:val="left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koszty uzyskania kwalifikowanego </w:t>
      </w:r>
      <w:r w:rsidRPr="003643DC">
        <w:rPr>
          <w:rFonts w:asciiTheme="minorHAnsi" w:hAnsiTheme="minorHAnsi" w:cstheme="minorHAnsi"/>
          <w:bCs/>
          <w:sz w:val="24"/>
          <w:szCs w:val="24"/>
        </w:rPr>
        <w:t>podpisu elektronicznego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43DC">
        <w:rPr>
          <w:rFonts w:asciiTheme="minorHAnsi" w:hAnsiTheme="minorHAnsi" w:cstheme="minorHAnsi"/>
          <w:bCs/>
          <w:sz w:val="24"/>
          <w:szCs w:val="24"/>
        </w:rPr>
        <w:t>dla osób upoważnionych do reprezentacji Zleceniobiorcy i</w:t>
      </w:r>
      <w:r w:rsidR="00252E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643DC">
        <w:rPr>
          <w:rFonts w:asciiTheme="minorHAnsi" w:hAnsiTheme="minorHAnsi" w:cstheme="minorHAnsi"/>
          <w:bCs/>
          <w:sz w:val="24"/>
          <w:szCs w:val="24"/>
        </w:rPr>
        <w:t>zaciągania zobowiązań finansowych</w:t>
      </w:r>
      <w:r>
        <w:rPr>
          <w:rFonts w:asciiTheme="minorHAnsi" w:hAnsiTheme="minorHAnsi" w:cstheme="minorHAnsi"/>
          <w:bCs/>
          <w:sz w:val="24"/>
          <w:szCs w:val="24"/>
        </w:rPr>
        <w:t xml:space="preserve">, z zastrzeżeniem, iż </w:t>
      </w:r>
      <w:r w:rsidRPr="003643DC">
        <w:rPr>
          <w:rFonts w:asciiTheme="minorHAnsi" w:hAnsiTheme="minorHAnsi" w:cstheme="minorHAnsi"/>
          <w:bCs/>
          <w:sz w:val="24"/>
          <w:szCs w:val="24"/>
        </w:rPr>
        <w:t>w</w:t>
      </w:r>
      <w:r w:rsidR="00FF2339">
        <w:rPr>
          <w:rFonts w:asciiTheme="minorHAnsi" w:hAnsiTheme="minorHAnsi" w:cstheme="minorHAnsi"/>
          <w:bCs/>
          <w:sz w:val="24"/>
          <w:szCs w:val="24"/>
        </w:rPr>
        <w:t> </w:t>
      </w:r>
      <w:r w:rsidRPr="003643DC">
        <w:rPr>
          <w:rFonts w:asciiTheme="minorHAnsi" w:hAnsiTheme="minorHAnsi" w:cstheme="minorHAnsi"/>
          <w:bCs/>
          <w:sz w:val="24"/>
          <w:szCs w:val="24"/>
        </w:rPr>
        <w:t>ramach projektu</w:t>
      </w:r>
      <w:r>
        <w:rPr>
          <w:rFonts w:asciiTheme="minorHAnsi" w:hAnsiTheme="minorHAnsi" w:cstheme="minorHAnsi"/>
          <w:bCs/>
          <w:sz w:val="24"/>
          <w:szCs w:val="24"/>
        </w:rPr>
        <w:t xml:space="preserve"> koszt może dotyczyć zakupu </w:t>
      </w:r>
      <w:r w:rsidRPr="003643DC">
        <w:rPr>
          <w:rFonts w:asciiTheme="minorHAnsi" w:hAnsiTheme="minorHAnsi" w:cstheme="minorHAnsi"/>
          <w:bCs/>
          <w:sz w:val="24"/>
          <w:szCs w:val="24"/>
        </w:rPr>
        <w:t xml:space="preserve">maksymalnie </w:t>
      </w:r>
      <w:r>
        <w:rPr>
          <w:rFonts w:asciiTheme="minorHAnsi" w:hAnsiTheme="minorHAnsi" w:cstheme="minorHAnsi"/>
          <w:bCs/>
          <w:sz w:val="24"/>
          <w:szCs w:val="24"/>
        </w:rPr>
        <w:t>trzech</w:t>
      </w:r>
      <w:r w:rsidRPr="003643DC">
        <w:rPr>
          <w:rFonts w:asciiTheme="minorHAnsi" w:hAnsiTheme="minorHAnsi" w:cstheme="minorHAnsi"/>
          <w:bCs/>
          <w:sz w:val="24"/>
          <w:szCs w:val="24"/>
        </w:rPr>
        <w:t xml:space="preserve"> podpisów</w:t>
      </w:r>
      <w:r w:rsidR="00764C02" w:rsidRPr="002A75E1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14:paraId="45AFAA99" w14:textId="6481A221" w:rsidR="005F0429" w:rsidRDefault="00764C02" w:rsidP="006512FF">
      <w:pPr>
        <w:numPr>
          <w:ilvl w:val="1"/>
          <w:numId w:val="4"/>
        </w:numPr>
        <w:spacing w:before="120" w:line="276" w:lineRule="auto"/>
        <w:rPr>
          <w:rStyle w:val="Pogrubienie"/>
          <w:rFonts w:asciiTheme="minorHAnsi" w:hAnsiTheme="minorHAnsi" w:cstheme="minorHAnsi"/>
          <w:b w:val="0"/>
        </w:rPr>
      </w:pPr>
      <w:r w:rsidRPr="002A75E1">
        <w:rPr>
          <w:rFonts w:asciiTheme="minorHAnsi" w:hAnsiTheme="minorHAnsi" w:cstheme="minorHAnsi"/>
        </w:rPr>
        <w:lastRenderedPageBreak/>
        <w:t xml:space="preserve">W przypadku </w:t>
      </w:r>
      <w:r w:rsidR="00F42E42">
        <w:rPr>
          <w:rFonts w:asciiTheme="minorHAnsi" w:hAnsiTheme="minorHAnsi" w:cstheme="minorHAnsi"/>
        </w:rPr>
        <w:t xml:space="preserve">kategorii </w:t>
      </w:r>
      <w:r w:rsidRPr="002A75E1">
        <w:rPr>
          <w:rFonts w:asciiTheme="minorHAnsi" w:hAnsiTheme="minorHAnsi" w:cstheme="minorHAnsi"/>
        </w:rPr>
        <w:t xml:space="preserve">kosztów </w:t>
      </w:r>
      <w:r w:rsidR="007C06A5">
        <w:rPr>
          <w:rFonts w:asciiTheme="minorHAnsi" w:hAnsiTheme="minorHAnsi" w:cstheme="minorHAnsi"/>
        </w:rPr>
        <w:t xml:space="preserve">osobowych </w:t>
      </w:r>
      <w:r w:rsidR="00F42E42">
        <w:rPr>
          <w:rFonts w:asciiTheme="minorHAnsi" w:hAnsiTheme="minorHAnsi" w:cstheme="minorHAnsi"/>
        </w:rPr>
        <w:t xml:space="preserve">administracyjnych, związanych z funkcjonowaniem pomieszczeń oraz zasobami rzeczowymi, technicznymi i lokalowymi Wnioskodawcy (zakup sprzętu, wyposażenia, remont pomieszczeń, itp.), </w:t>
      </w:r>
      <w:r w:rsidRPr="002A75E1">
        <w:rPr>
          <w:rFonts w:asciiTheme="minorHAnsi" w:hAnsiTheme="minorHAnsi" w:cstheme="minorHAnsi"/>
        </w:rPr>
        <w:t>w treści ogłoszenia o konkursie wskazywane są limity kosztów kwalifikowalnych.</w:t>
      </w:r>
    </w:p>
    <w:p w14:paraId="6F11BF21" w14:textId="04DBD794" w:rsidR="005F0429" w:rsidRDefault="00BF216E" w:rsidP="006512FF">
      <w:pPr>
        <w:numPr>
          <w:ilvl w:val="1"/>
          <w:numId w:val="4"/>
        </w:numPr>
        <w:spacing w:before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>Koszty</w:t>
      </w:r>
      <w:r w:rsidR="00F60240">
        <w:rPr>
          <w:rStyle w:val="Pogrubienie"/>
          <w:rFonts w:asciiTheme="minorHAnsi" w:hAnsiTheme="minorHAnsi" w:cstheme="minorHAnsi"/>
          <w:b w:val="0"/>
        </w:rPr>
        <w:t xml:space="preserve"> wynagrodzenia</w:t>
      </w:r>
      <w:r w:rsidR="007C06A5">
        <w:rPr>
          <w:rStyle w:val="Pogrubienie"/>
          <w:rFonts w:asciiTheme="minorHAnsi" w:hAnsiTheme="minorHAnsi" w:cstheme="minorHAnsi"/>
          <w:b w:val="0"/>
        </w:rPr>
        <w:t xml:space="preserve"> z tytułu urlopu wypoczynkowego </w:t>
      </w:r>
      <w:r>
        <w:rPr>
          <w:rStyle w:val="Pogrubienie"/>
          <w:rFonts w:asciiTheme="minorHAnsi" w:hAnsiTheme="minorHAnsi" w:cstheme="minorHAnsi"/>
          <w:b w:val="0"/>
        </w:rPr>
        <w:t>kwalifikowane są z</w:t>
      </w:r>
      <w:r w:rsidR="005F0429">
        <w:rPr>
          <w:rStyle w:val="Pogrubienie"/>
          <w:rFonts w:asciiTheme="minorHAnsi" w:hAnsiTheme="minorHAnsi" w:cstheme="minorHAnsi"/>
          <w:b w:val="0"/>
        </w:rPr>
        <w:t> </w:t>
      </w:r>
      <w:r>
        <w:rPr>
          <w:rStyle w:val="Pogrubienie"/>
          <w:rFonts w:asciiTheme="minorHAnsi" w:hAnsiTheme="minorHAnsi" w:cstheme="minorHAnsi"/>
          <w:b w:val="0"/>
        </w:rPr>
        <w:t>uwzględnieniem postanowień rozdziału VI.</w:t>
      </w:r>
      <w:r w:rsidR="00236CB7">
        <w:rPr>
          <w:rStyle w:val="Pogrubienie"/>
          <w:rFonts w:asciiTheme="minorHAnsi" w:hAnsiTheme="minorHAnsi" w:cstheme="minorHAnsi"/>
          <w:b w:val="0"/>
        </w:rPr>
        <w:t>1.</w:t>
      </w:r>
      <w:r>
        <w:rPr>
          <w:rStyle w:val="Pogrubienie"/>
          <w:rFonts w:asciiTheme="minorHAnsi" w:hAnsiTheme="minorHAnsi" w:cstheme="minorHAnsi"/>
          <w:b w:val="0"/>
        </w:rPr>
        <w:t xml:space="preserve"> ust. 3 niniejszego dokumentu.</w:t>
      </w:r>
    </w:p>
    <w:p w14:paraId="0A3EDA5A" w14:textId="29D7FBA9" w:rsidR="00764C02" w:rsidRPr="00456BF3" w:rsidRDefault="00456BF3" w:rsidP="006512FF">
      <w:pPr>
        <w:numPr>
          <w:ilvl w:val="1"/>
          <w:numId w:val="4"/>
        </w:numPr>
        <w:spacing w:before="120" w:line="276" w:lineRule="auto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W sytuacji dofinansowania kosztów uzyskania kwalifikowanego podpisu elektronicznego dla osób upoważnionych do reprezentacji Zleceniobiorcy i zaciągania zobowiązań finansowych – </w:t>
      </w:r>
      <w:bookmarkStart w:id="3" w:name="_Hlk84931922"/>
      <w:r w:rsidR="000F0E16">
        <w:rPr>
          <w:rStyle w:val="Pogrubienie"/>
          <w:rFonts w:asciiTheme="minorHAnsi" w:hAnsiTheme="minorHAnsi" w:cstheme="minorHAnsi"/>
          <w:b w:val="0"/>
        </w:rPr>
        <w:t xml:space="preserve">przyjmuje się, iż </w:t>
      </w:r>
      <w:r w:rsidRPr="00456BF3">
        <w:rPr>
          <w:rStyle w:val="Pogrubienie"/>
          <w:rFonts w:asciiTheme="minorHAnsi" w:hAnsiTheme="minorHAnsi" w:cstheme="minorHAnsi"/>
          <w:b w:val="0"/>
        </w:rPr>
        <w:t xml:space="preserve">wymiana korespondencji między stronami </w:t>
      </w:r>
      <w:r w:rsidR="007C06A5" w:rsidRPr="000F0E16">
        <w:rPr>
          <w:rStyle w:val="Pogrubienie"/>
          <w:rFonts w:asciiTheme="minorHAnsi" w:hAnsiTheme="minorHAnsi" w:cstheme="minorHAnsi"/>
          <w:b w:val="0"/>
        </w:rPr>
        <w:t xml:space="preserve">odbywać się </w:t>
      </w:r>
      <w:r w:rsidR="000F0E16" w:rsidRPr="000F0E16">
        <w:rPr>
          <w:rStyle w:val="Pogrubienie"/>
          <w:rFonts w:asciiTheme="minorHAnsi" w:hAnsiTheme="minorHAnsi" w:cstheme="minorHAnsi"/>
          <w:b w:val="0"/>
        </w:rPr>
        <w:t>będzie w formie elektronicznej. W przypadku braku możliwości doręczenia korespondencji w</w:t>
      </w:r>
      <w:r w:rsidR="00A15943">
        <w:rPr>
          <w:rStyle w:val="Pogrubienie"/>
          <w:rFonts w:asciiTheme="minorHAnsi" w:hAnsiTheme="minorHAnsi" w:cstheme="minorHAnsi"/>
          <w:b w:val="0"/>
        </w:rPr>
        <w:t> </w:t>
      </w:r>
      <w:r w:rsidR="000F0E16" w:rsidRPr="000F0E16">
        <w:rPr>
          <w:rStyle w:val="Pogrubienie"/>
          <w:rFonts w:asciiTheme="minorHAnsi" w:hAnsiTheme="minorHAnsi" w:cstheme="minorHAnsi"/>
          <w:b w:val="0"/>
        </w:rPr>
        <w:t xml:space="preserve">formie elektronicznej, </w:t>
      </w:r>
      <w:r w:rsidR="007C06A5">
        <w:rPr>
          <w:rStyle w:val="Pogrubienie"/>
          <w:rFonts w:asciiTheme="minorHAnsi" w:hAnsiTheme="minorHAnsi" w:cstheme="minorHAnsi"/>
          <w:b w:val="0"/>
        </w:rPr>
        <w:t xml:space="preserve">możliwe jest </w:t>
      </w:r>
      <w:r w:rsidR="000F0E16" w:rsidRPr="000F0E16">
        <w:rPr>
          <w:rStyle w:val="Pogrubienie"/>
          <w:rFonts w:asciiTheme="minorHAnsi" w:hAnsiTheme="minorHAnsi" w:cstheme="minorHAnsi"/>
          <w:b w:val="0"/>
        </w:rPr>
        <w:t>złożeni</w:t>
      </w:r>
      <w:r w:rsidR="007C06A5">
        <w:rPr>
          <w:rStyle w:val="Pogrubienie"/>
          <w:rFonts w:asciiTheme="minorHAnsi" w:hAnsiTheme="minorHAnsi" w:cstheme="minorHAnsi"/>
          <w:b w:val="0"/>
        </w:rPr>
        <w:t>e</w:t>
      </w:r>
      <w:r w:rsidR="000F0E16" w:rsidRPr="000F0E16">
        <w:rPr>
          <w:rStyle w:val="Pogrubienie"/>
          <w:rFonts w:asciiTheme="minorHAnsi" w:hAnsiTheme="minorHAnsi" w:cstheme="minorHAnsi"/>
          <w:b w:val="0"/>
        </w:rPr>
        <w:t xml:space="preserve"> przez Zleceniobiorcę korespondencji w</w:t>
      </w:r>
      <w:r w:rsidR="00A15943">
        <w:rPr>
          <w:rStyle w:val="Pogrubienie"/>
          <w:rFonts w:asciiTheme="minorHAnsi" w:hAnsiTheme="minorHAnsi" w:cstheme="minorHAnsi"/>
          <w:b w:val="0"/>
        </w:rPr>
        <w:t> </w:t>
      </w:r>
      <w:r w:rsidR="000F0E16" w:rsidRPr="000F0E16">
        <w:rPr>
          <w:rStyle w:val="Pogrubienie"/>
          <w:rFonts w:asciiTheme="minorHAnsi" w:hAnsiTheme="minorHAnsi" w:cstheme="minorHAnsi"/>
          <w:b w:val="0"/>
        </w:rPr>
        <w:t>innej formie (osobiście w PFRON lub drogą pocztową)</w:t>
      </w:r>
      <w:r w:rsidRPr="00456BF3">
        <w:rPr>
          <w:rStyle w:val="Pogrubienie"/>
          <w:rFonts w:asciiTheme="minorHAnsi" w:hAnsiTheme="minorHAnsi" w:cstheme="minorHAnsi"/>
          <w:b w:val="0"/>
        </w:rPr>
        <w:t>.</w:t>
      </w:r>
      <w:bookmarkEnd w:id="3"/>
    </w:p>
    <w:p w14:paraId="284B52F6" w14:textId="77777777" w:rsidR="00764C02" w:rsidRPr="005F0429" w:rsidRDefault="00764C02" w:rsidP="006512FF">
      <w:pPr>
        <w:numPr>
          <w:ilvl w:val="1"/>
          <w:numId w:val="4"/>
        </w:numPr>
        <w:spacing w:before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Kosztów kwalifikowalnych nie stanowią w szczególności:</w:t>
      </w:r>
    </w:p>
    <w:p w14:paraId="6CBA7DE8" w14:textId="77777777" w:rsidR="00764C02" w:rsidRPr="002A75E1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</w:t>
      </w:r>
      <w:r w:rsidR="00F23A82" w:rsidRPr="002A75E1">
        <w:rPr>
          <w:rFonts w:asciiTheme="minorHAnsi" w:hAnsiTheme="minorHAnsi" w:cstheme="minorHAnsi"/>
          <w:sz w:val="24"/>
          <w:szCs w:val="24"/>
        </w:rPr>
        <w:t>akłady na nabycie nieruchomości;</w:t>
      </w:r>
    </w:p>
    <w:p w14:paraId="497D259E" w14:textId="77777777" w:rsidR="00764C02" w:rsidRPr="002A75E1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rezerwy na pokrycie przys</w:t>
      </w:r>
      <w:r w:rsidR="00F23A82" w:rsidRPr="002A75E1">
        <w:rPr>
          <w:rFonts w:asciiTheme="minorHAnsi" w:hAnsiTheme="minorHAnsi" w:cstheme="minorHAnsi"/>
          <w:sz w:val="24"/>
          <w:szCs w:val="24"/>
        </w:rPr>
        <w:t>złych strat lub zobowiązań;</w:t>
      </w:r>
    </w:p>
    <w:p w14:paraId="6118ED72" w14:textId="77777777" w:rsidR="00764C02" w:rsidRPr="002A75E1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 z tytułu nieza</w:t>
      </w:r>
      <w:r w:rsidR="00F23A82" w:rsidRPr="002A75E1">
        <w:rPr>
          <w:rFonts w:asciiTheme="minorHAnsi" w:hAnsiTheme="minorHAnsi" w:cstheme="minorHAnsi"/>
          <w:sz w:val="24"/>
          <w:szCs w:val="24"/>
        </w:rPr>
        <w:t>płaconych w terminie zobowiązań;</w:t>
      </w:r>
    </w:p>
    <w:p w14:paraId="145A2075" w14:textId="77777777" w:rsidR="00764C02" w:rsidRPr="002A75E1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 związane z realizacją projektu;</w:t>
      </w:r>
    </w:p>
    <w:p w14:paraId="609BED83" w14:textId="3ECE9104" w:rsidR="00764C02" w:rsidRPr="002A75E1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odsetki, prowizje i inne koszty pożyczek i kredytów, z zastrzeżeniem postanowień ust. </w:t>
      </w:r>
      <w:r w:rsidR="005F0429">
        <w:rPr>
          <w:rFonts w:asciiTheme="minorHAnsi" w:hAnsiTheme="minorHAnsi" w:cstheme="minorHAnsi"/>
          <w:sz w:val="24"/>
          <w:szCs w:val="24"/>
        </w:rPr>
        <w:t>8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8F39F98" w14:textId="77777777" w:rsidR="00764C02" w:rsidRPr="002A75E1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na przygotowanie wniosk</w:t>
      </w:r>
      <w:r w:rsidR="00F23A82" w:rsidRPr="002A75E1">
        <w:rPr>
          <w:rFonts w:asciiTheme="minorHAnsi" w:hAnsiTheme="minorHAnsi" w:cstheme="minorHAnsi"/>
          <w:sz w:val="24"/>
          <w:szCs w:val="24"/>
        </w:rPr>
        <w:t>u o zlecenie realizacji zadań;</w:t>
      </w:r>
    </w:p>
    <w:p w14:paraId="153E5E5E" w14:textId="247BB855" w:rsidR="00A15943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mandaty, grzywny, opłaty, koszty sądowe i inne koszty związane z niewykonaniem lub nieterminowym wykonanie</w:t>
      </w:r>
      <w:r w:rsidR="00F23A82" w:rsidRPr="002A75E1">
        <w:rPr>
          <w:rFonts w:asciiTheme="minorHAnsi" w:hAnsiTheme="minorHAnsi" w:cstheme="minorHAnsi"/>
          <w:sz w:val="24"/>
          <w:szCs w:val="24"/>
        </w:rPr>
        <w:t>m zobowiązań przez Wnioskodawcę;</w:t>
      </w:r>
    </w:p>
    <w:p w14:paraId="14B6EEF4" w14:textId="77777777" w:rsidR="00764C02" w:rsidRPr="002A75E1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odpisy amortyzac</w:t>
      </w:r>
      <w:r w:rsidR="00F23A82" w:rsidRPr="002A75E1">
        <w:rPr>
          <w:rFonts w:asciiTheme="minorHAnsi" w:hAnsiTheme="minorHAnsi" w:cstheme="minorHAnsi"/>
          <w:sz w:val="24"/>
          <w:szCs w:val="24"/>
        </w:rPr>
        <w:t>yjne (planowane i nieplanowane);</w:t>
      </w:r>
    </w:p>
    <w:p w14:paraId="48F9BFF6" w14:textId="6FED5C09" w:rsidR="00764C02" w:rsidRPr="002A75E1" w:rsidRDefault="00764C02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przed datą rozpoczęcia realizacji projektu oraz po dacie zakończenia realizacji projektu, z zastrzeżeniem ust. </w:t>
      </w:r>
      <w:r w:rsidR="005F0429">
        <w:rPr>
          <w:rFonts w:asciiTheme="minorHAnsi" w:hAnsiTheme="minorHAnsi" w:cstheme="minorHAnsi"/>
          <w:sz w:val="24"/>
          <w:szCs w:val="24"/>
        </w:rPr>
        <w:t>9</w:t>
      </w:r>
      <w:r w:rsidR="00CF2380" w:rsidRPr="002A75E1">
        <w:rPr>
          <w:rFonts w:asciiTheme="minorHAnsi" w:hAnsiTheme="minorHAnsi" w:cstheme="minorHAnsi"/>
          <w:sz w:val="24"/>
          <w:szCs w:val="24"/>
        </w:rPr>
        <w:t>,</w:t>
      </w:r>
    </w:p>
    <w:p w14:paraId="7A0801B5" w14:textId="49FE8F81" w:rsidR="00887841" w:rsidRDefault="00CF5CC1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ind w:left="681" w:hanging="454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w przypadku kosztów osobowych personelu projektu: </w:t>
      </w:r>
      <w:r w:rsidR="00CF2380" w:rsidRPr="002A75E1">
        <w:rPr>
          <w:rFonts w:asciiTheme="minorHAnsi" w:hAnsiTheme="minorHAnsi" w:cstheme="minorHAnsi"/>
          <w:sz w:val="24"/>
          <w:szCs w:val="24"/>
        </w:rPr>
        <w:t>nagrody jubileuszowe, premie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które nie spełniają warunków określonych w </w:t>
      </w:r>
      <w:r w:rsidR="007C06A5" w:rsidRPr="002A75E1">
        <w:rPr>
          <w:rFonts w:asciiTheme="minorHAnsi" w:hAnsiTheme="minorHAnsi" w:cstheme="minorHAnsi"/>
          <w:sz w:val="24"/>
          <w:szCs w:val="24"/>
        </w:rPr>
        <w:t>n</w:t>
      </w:r>
      <w:r w:rsidR="007C06A5">
        <w:rPr>
          <w:rFonts w:asciiTheme="minorHAnsi" w:hAnsiTheme="minorHAnsi" w:cstheme="minorHAnsi"/>
          <w:sz w:val="24"/>
          <w:szCs w:val="24"/>
        </w:rPr>
        <w:t>iniejszym dokumencie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</w:t>
      </w:r>
      <w:r w:rsidR="00CF2380" w:rsidRPr="002A75E1">
        <w:rPr>
          <w:rFonts w:asciiTheme="minorHAnsi" w:hAnsiTheme="minorHAnsi" w:cstheme="minorHAnsi"/>
          <w:sz w:val="24"/>
          <w:szCs w:val="24"/>
        </w:rPr>
        <w:t>abonament medyczny i</w:t>
      </w:r>
      <w:r w:rsidR="0031682B">
        <w:rPr>
          <w:rFonts w:asciiTheme="minorHAnsi" w:hAnsiTheme="minorHAnsi" w:cstheme="minorHAnsi"/>
          <w:sz w:val="24"/>
          <w:szCs w:val="24"/>
        </w:rPr>
        <w:t> </w:t>
      </w:r>
      <w:r w:rsidR="00CF2380" w:rsidRPr="002A75E1">
        <w:rPr>
          <w:rFonts w:asciiTheme="minorHAnsi" w:hAnsiTheme="minorHAnsi" w:cstheme="minorHAnsi"/>
          <w:sz w:val="24"/>
          <w:szCs w:val="24"/>
        </w:rPr>
        <w:t xml:space="preserve">sportowy, dofinansowanie do </w:t>
      </w:r>
      <w:r w:rsidRPr="002A75E1">
        <w:rPr>
          <w:rFonts w:asciiTheme="minorHAnsi" w:hAnsiTheme="minorHAnsi" w:cstheme="minorHAnsi"/>
          <w:sz w:val="24"/>
          <w:szCs w:val="24"/>
        </w:rPr>
        <w:t xml:space="preserve">zakupu </w:t>
      </w:r>
      <w:r w:rsidR="00CF2380" w:rsidRPr="002A75E1">
        <w:rPr>
          <w:rFonts w:asciiTheme="minorHAnsi" w:hAnsiTheme="minorHAnsi" w:cstheme="minorHAnsi"/>
          <w:sz w:val="24"/>
          <w:szCs w:val="24"/>
        </w:rPr>
        <w:t>okularów</w:t>
      </w:r>
      <w:r w:rsidR="00887841">
        <w:rPr>
          <w:rFonts w:asciiTheme="minorHAnsi" w:hAnsiTheme="minorHAnsi" w:cstheme="minorHAnsi"/>
          <w:sz w:val="24"/>
          <w:szCs w:val="24"/>
        </w:rPr>
        <w:t>,</w:t>
      </w:r>
    </w:p>
    <w:p w14:paraId="3046187C" w14:textId="7E812BE8" w:rsidR="00CF2380" w:rsidRPr="002A75E1" w:rsidRDefault="00887841" w:rsidP="006512FF">
      <w:pPr>
        <w:pStyle w:val="Tekstpodstawowywcity"/>
        <w:numPr>
          <w:ilvl w:val="0"/>
          <w:numId w:val="3"/>
        </w:numPr>
        <w:tabs>
          <w:tab w:val="left" w:pos="360"/>
        </w:tabs>
        <w:spacing w:before="60" w:line="276" w:lineRule="auto"/>
        <w:ind w:left="681" w:hanging="45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nagrody finansowe dla uczestników projektu.</w:t>
      </w:r>
    </w:p>
    <w:p w14:paraId="0C2617E7" w14:textId="76F83E3B" w:rsidR="00F276B0" w:rsidRPr="005F0429" w:rsidRDefault="00764C02" w:rsidP="006512FF">
      <w:pPr>
        <w:numPr>
          <w:ilvl w:val="1"/>
          <w:numId w:val="4"/>
        </w:numPr>
        <w:spacing w:before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Za kwalifikowalne mogą zostać uznane odsetki i prowizje od kredytów lub pożyczek zaciągniętych przez Wnioskodawcę na sfinansowanie kosztów kwalifikowalnych projektu, poniesionych przez Wnioskodawcę przed przekazaniem dofinansowania przez PFRON.</w:t>
      </w:r>
    </w:p>
    <w:p w14:paraId="2C6FBE01" w14:textId="031541A2" w:rsidR="0031682B" w:rsidRDefault="00764C02" w:rsidP="006512FF">
      <w:pPr>
        <w:numPr>
          <w:ilvl w:val="1"/>
          <w:numId w:val="4"/>
        </w:numPr>
        <w:spacing w:before="120" w:line="276" w:lineRule="auto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Koszty związane z realizacją projektu kwalifikowalne są z uwzględnieniem zasady memoriałowej, wynikającej z postanowień art. 6 ustawy z dnia 29 września 1994 r. o rachunkowości. Zgodnie z tą zasadą przychody i</w:t>
      </w:r>
      <w:r w:rsidR="00995951" w:rsidRPr="005F0429">
        <w:rPr>
          <w:rStyle w:val="Pogrubienie"/>
          <w:rFonts w:asciiTheme="minorHAnsi" w:hAnsiTheme="minorHAnsi" w:cstheme="minorHAnsi"/>
          <w:b w:val="0"/>
        </w:rPr>
        <w:t> </w:t>
      </w:r>
      <w:r w:rsidRPr="005F0429">
        <w:rPr>
          <w:rStyle w:val="Pogrubienie"/>
          <w:rFonts w:asciiTheme="minorHAnsi" w:hAnsiTheme="minorHAnsi" w:cstheme="minorHAnsi"/>
          <w:b w:val="0"/>
        </w:rPr>
        <w:t>koszty uważa się za osiągnięte lub poniesione w</w:t>
      </w:r>
      <w:r w:rsidR="00995951" w:rsidRPr="005F0429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5F0429">
        <w:rPr>
          <w:rStyle w:val="Pogrubienie"/>
          <w:rFonts w:asciiTheme="minorHAnsi" w:hAnsiTheme="minorHAnsi" w:cstheme="minorHAnsi"/>
          <w:b w:val="0"/>
        </w:rPr>
        <w:t>momencie ich wystąpienia, niezależnie od</w:t>
      </w:r>
      <w:r w:rsidR="00995951" w:rsidRPr="005F0429">
        <w:rPr>
          <w:rStyle w:val="Pogrubienie"/>
          <w:rFonts w:asciiTheme="minorHAnsi" w:hAnsiTheme="minorHAnsi" w:cstheme="minorHAnsi"/>
          <w:b w:val="0"/>
        </w:rPr>
        <w:t> </w:t>
      </w:r>
      <w:r w:rsidRPr="005F0429">
        <w:rPr>
          <w:rStyle w:val="Pogrubienie"/>
          <w:rFonts w:asciiTheme="minorHAnsi" w:hAnsiTheme="minorHAnsi" w:cstheme="minorHAnsi"/>
          <w:b w:val="0"/>
        </w:rPr>
        <w:t>terminu ich zapłaty.</w:t>
      </w:r>
      <w:r w:rsidR="0031682B">
        <w:rPr>
          <w:rStyle w:val="Pogrubienie"/>
          <w:rFonts w:asciiTheme="minorHAnsi" w:hAnsiTheme="minorHAnsi" w:cstheme="minorHAnsi"/>
          <w:b w:val="0"/>
        </w:rPr>
        <w:br w:type="page"/>
      </w:r>
    </w:p>
    <w:p w14:paraId="55D8F1F8" w14:textId="77777777" w:rsidR="00764C02" w:rsidRPr="005F0429" w:rsidRDefault="00764C02" w:rsidP="005F0429">
      <w:pPr>
        <w:numPr>
          <w:ilvl w:val="1"/>
          <w:numId w:val="4"/>
        </w:numPr>
        <w:spacing w:before="120" w:line="276" w:lineRule="auto"/>
        <w:ind w:left="341" w:hanging="454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lastRenderedPageBreak/>
        <w:t>Za kwalifikowalne wyłącznie w ramach wkładu własnego uznawane są koszty:</w:t>
      </w:r>
    </w:p>
    <w:p w14:paraId="7EC7AD7A" w14:textId="77777777" w:rsidR="00764C02" w:rsidRPr="002A75E1" w:rsidRDefault="00764C02" w:rsidP="006512FF">
      <w:pPr>
        <w:pStyle w:val="Tekstpodstawowywcity"/>
        <w:numPr>
          <w:ilvl w:val="1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audytu zewnętrznego jeżeli Wnioskodawca planuje przeprowadzenie audytu zewnętrznego pomimo, iż w danym projekcie audy</w:t>
      </w:r>
      <w:r w:rsidR="00F23A82" w:rsidRPr="002A75E1">
        <w:rPr>
          <w:rFonts w:asciiTheme="minorHAnsi" w:hAnsiTheme="minorHAnsi" w:cstheme="minorHAnsi"/>
          <w:sz w:val="24"/>
          <w:szCs w:val="24"/>
        </w:rPr>
        <w:t>t nie jest wymagany przez PFRON;</w:t>
      </w:r>
    </w:p>
    <w:p w14:paraId="4D572139" w14:textId="77777777" w:rsidR="00764C02" w:rsidRPr="002A75E1" w:rsidRDefault="009A0E5E" w:rsidP="006512FF">
      <w:pPr>
        <w:pStyle w:val="Tekstpodstawowywcity"/>
        <w:numPr>
          <w:ilvl w:val="1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zakupu praw autorskich – rozliczenie kosztów związanych z umową zawierającą postanowienia o przeniesieniu praw autorskich, w której nie określono odrębnej kwoty za</w:t>
      </w:r>
      <w:r w:rsidR="00995951" w:rsidRPr="002A75E1"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>wykonanie dzieła i odrębnej kwoty za przeniesienie praw autorskich może nastąpić na</w:t>
      </w:r>
      <w:r w:rsidR="00995951" w:rsidRPr="002A75E1"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>zasadach ogólnych (tj. bez stosowania warunku dotyczącego rozliczenia zakupu praw autorskich w ramach wkładu własnego) jedynie wówczas, gdy z treści umowy wynika, iż</w:t>
      </w:r>
      <w:r w:rsidR="00995951" w:rsidRPr="002A75E1"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>przeniesienie praw au</w:t>
      </w:r>
      <w:r w:rsidR="00F23A82" w:rsidRPr="002A75E1">
        <w:rPr>
          <w:rFonts w:asciiTheme="minorHAnsi" w:hAnsiTheme="minorHAnsi" w:cstheme="minorHAnsi"/>
          <w:sz w:val="24"/>
          <w:szCs w:val="24"/>
        </w:rPr>
        <w:t>torskich następuje nieodpłatnie;</w:t>
      </w:r>
    </w:p>
    <w:p w14:paraId="22A263F2" w14:textId="77777777" w:rsidR="00764C02" w:rsidRPr="002A75E1" w:rsidRDefault="00764C02" w:rsidP="006512FF">
      <w:pPr>
        <w:pStyle w:val="Tekstpodstawowywcity"/>
        <w:numPr>
          <w:ilvl w:val="1"/>
          <w:numId w:val="3"/>
        </w:numPr>
        <w:tabs>
          <w:tab w:val="left" w:pos="360"/>
        </w:tabs>
        <w:spacing w:before="6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tłumaczenia na język polski przez tłumacza przysięgłego dowodów księgowych wystawionych w języku innym niż język polski.</w:t>
      </w:r>
    </w:p>
    <w:p w14:paraId="4AE10564" w14:textId="77777777" w:rsidR="00764C02" w:rsidRPr="005F0429" w:rsidRDefault="00764C02" w:rsidP="005F0429">
      <w:pPr>
        <w:numPr>
          <w:ilvl w:val="1"/>
          <w:numId w:val="4"/>
        </w:numPr>
        <w:spacing w:before="120" w:line="276" w:lineRule="auto"/>
        <w:ind w:left="341" w:hanging="454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 xml:space="preserve">W ramach kosztów inwestycyjnych wykazywane są koszty dotyczące środków trwałych, wartości niematerialnych i prawnych, których wartość początkowa przekracza </w:t>
      </w:r>
      <w:r w:rsidR="00081E8D" w:rsidRPr="005F0429">
        <w:rPr>
          <w:rStyle w:val="Pogrubienie"/>
          <w:rFonts w:asciiTheme="minorHAnsi" w:hAnsiTheme="minorHAnsi" w:cstheme="minorHAnsi"/>
          <w:b w:val="0"/>
        </w:rPr>
        <w:t>10.000 zł</w:t>
      </w:r>
      <w:r w:rsidR="00995951" w:rsidRPr="005F0429">
        <w:rPr>
          <w:rStyle w:val="Pogrubienie"/>
          <w:rFonts w:asciiTheme="minorHAnsi" w:hAnsiTheme="minorHAnsi" w:cstheme="minorHAnsi"/>
          <w:b w:val="0"/>
        </w:rPr>
        <w:t>,</w:t>
      </w:r>
      <w:r w:rsidR="00081E8D" w:rsidRPr="005F0429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5F0429">
        <w:rPr>
          <w:rStyle w:val="Pogrubienie"/>
          <w:rFonts w:asciiTheme="minorHAnsi" w:hAnsiTheme="minorHAnsi" w:cstheme="minorHAnsi"/>
          <w:b w:val="0"/>
        </w:rPr>
        <w:t>a przewidywalny okres ich ekonomicznej użyteczności jest dłuższy niż 1 rok.</w:t>
      </w:r>
    </w:p>
    <w:p w14:paraId="3598BC4C" w14:textId="2C7856E5" w:rsidR="00A15943" w:rsidRDefault="008A028D" w:rsidP="005F0429">
      <w:pPr>
        <w:numPr>
          <w:ilvl w:val="1"/>
          <w:numId w:val="4"/>
        </w:numPr>
        <w:spacing w:before="120" w:line="276" w:lineRule="auto"/>
        <w:ind w:left="341" w:hanging="454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Za niekwalifikowalne mogą zostać uznane przez PFRON koszty związane z zatrudnieniem personelu zarządzającego projektem, w sytuacji gdy realizacja projektu przebiega nieprawidłowo i powoduje opóźnienia w realizacji harmonogramu projektu</w:t>
      </w:r>
      <w:r w:rsidR="0031746E" w:rsidRPr="005F0429">
        <w:rPr>
          <w:rStyle w:val="Pogrubienie"/>
          <w:rFonts w:asciiTheme="minorHAnsi" w:hAnsiTheme="minorHAnsi" w:cstheme="minorHAnsi"/>
          <w:b w:val="0"/>
        </w:rPr>
        <w:t xml:space="preserve">, </w:t>
      </w:r>
      <w:r w:rsidR="00E20C06" w:rsidRPr="005F0429">
        <w:rPr>
          <w:rStyle w:val="Pogrubienie"/>
          <w:rFonts w:asciiTheme="minorHAnsi" w:hAnsiTheme="minorHAnsi" w:cstheme="minorHAnsi"/>
          <w:b w:val="0"/>
        </w:rPr>
        <w:t xml:space="preserve">gdy Zleceniobiorca uchyla się od obowiązku składania na żądanie PFRON wyjaśnień oraz dokumentów źródłowych niezbędnych do rozliczenia dofinansowania, </w:t>
      </w:r>
      <w:r w:rsidR="0031746E" w:rsidRPr="005F0429">
        <w:rPr>
          <w:rStyle w:val="Pogrubienie"/>
          <w:rFonts w:asciiTheme="minorHAnsi" w:hAnsiTheme="minorHAnsi" w:cstheme="minorHAnsi"/>
          <w:b w:val="0"/>
        </w:rPr>
        <w:t xml:space="preserve">jak również w sytuacji gdy </w:t>
      </w:r>
      <w:r w:rsidR="00CD0684" w:rsidRPr="005F0429">
        <w:rPr>
          <w:rStyle w:val="Pogrubienie"/>
          <w:rFonts w:asciiTheme="minorHAnsi" w:hAnsiTheme="minorHAnsi" w:cstheme="minorHAnsi"/>
          <w:b w:val="0"/>
        </w:rPr>
        <w:t xml:space="preserve">Zleceniobiorca nie przestrzega </w:t>
      </w:r>
      <w:r w:rsidR="008D2A55" w:rsidRPr="005F0429">
        <w:rPr>
          <w:rStyle w:val="Pogrubienie"/>
          <w:rFonts w:asciiTheme="minorHAnsi" w:hAnsiTheme="minorHAnsi" w:cstheme="minorHAnsi"/>
          <w:b w:val="0"/>
        </w:rPr>
        <w:t xml:space="preserve">określonych w umowie o zlecenie realizacji zadań </w:t>
      </w:r>
      <w:r w:rsidR="00CD0684" w:rsidRPr="005F0429">
        <w:rPr>
          <w:rStyle w:val="Pogrubienie"/>
          <w:rFonts w:asciiTheme="minorHAnsi" w:hAnsiTheme="minorHAnsi" w:cstheme="minorHAnsi"/>
          <w:b w:val="0"/>
        </w:rPr>
        <w:t>terminów wprowadz</w:t>
      </w:r>
      <w:r w:rsidR="008D2A55" w:rsidRPr="005F0429">
        <w:rPr>
          <w:rStyle w:val="Pogrubienie"/>
          <w:rFonts w:asciiTheme="minorHAnsi" w:hAnsiTheme="minorHAnsi" w:cstheme="minorHAnsi"/>
          <w:b w:val="0"/>
        </w:rPr>
        <w:t>e</w:t>
      </w:r>
      <w:r w:rsidR="00CD0684" w:rsidRPr="005F0429">
        <w:rPr>
          <w:rStyle w:val="Pogrubienie"/>
          <w:rFonts w:asciiTheme="minorHAnsi" w:hAnsiTheme="minorHAnsi" w:cstheme="minorHAnsi"/>
          <w:b w:val="0"/>
        </w:rPr>
        <w:t xml:space="preserve">nia danych do aplikacji </w:t>
      </w:r>
      <w:r w:rsidR="00A94DC3" w:rsidRPr="005F0429">
        <w:rPr>
          <w:rStyle w:val="Pogrubienie"/>
          <w:rFonts w:asciiTheme="minorHAnsi" w:hAnsiTheme="minorHAnsi" w:cstheme="minorHAnsi"/>
          <w:b w:val="0"/>
        </w:rPr>
        <w:t xml:space="preserve">„System </w:t>
      </w:r>
      <w:r w:rsidR="00ED386A" w:rsidRPr="005F0429">
        <w:rPr>
          <w:rStyle w:val="Pogrubienie"/>
          <w:rFonts w:asciiTheme="minorHAnsi" w:hAnsiTheme="minorHAnsi" w:cstheme="minorHAnsi"/>
          <w:b w:val="0"/>
        </w:rPr>
        <w:t>Ewidencj</w:t>
      </w:r>
      <w:r w:rsidR="00A94DC3" w:rsidRPr="005F0429">
        <w:rPr>
          <w:rStyle w:val="Pogrubienie"/>
          <w:rFonts w:asciiTheme="minorHAnsi" w:hAnsiTheme="minorHAnsi" w:cstheme="minorHAnsi"/>
          <w:b w:val="0"/>
        </w:rPr>
        <w:t>i</w:t>
      </w:r>
      <w:r w:rsidR="008D2A55" w:rsidRPr="005F0429">
        <w:rPr>
          <w:rStyle w:val="Pogrubienie"/>
          <w:rFonts w:asciiTheme="minorHAnsi" w:hAnsiTheme="minorHAnsi" w:cstheme="minorHAnsi"/>
          <w:b w:val="0"/>
        </w:rPr>
        <w:t xml:space="preserve"> Godzin Wsparcia</w:t>
      </w:r>
      <w:r w:rsidR="00A94DC3" w:rsidRPr="005F0429">
        <w:rPr>
          <w:rStyle w:val="Pogrubienie"/>
          <w:rFonts w:asciiTheme="minorHAnsi" w:hAnsiTheme="minorHAnsi" w:cstheme="minorHAnsi"/>
          <w:b w:val="0"/>
        </w:rPr>
        <w:t>”</w:t>
      </w:r>
      <w:r w:rsidRPr="005F0429">
        <w:rPr>
          <w:rStyle w:val="Pogrubienie"/>
          <w:rFonts w:asciiTheme="minorHAnsi" w:hAnsiTheme="minorHAnsi" w:cstheme="minorHAnsi"/>
          <w:b w:val="0"/>
        </w:rPr>
        <w:t>.</w:t>
      </w:r>
    </w:p>
    <w:p w14:paraId="3F7C89D3" w14:textId="77777777" w:rsidR="00B31D9E" w:rsidRPr="005F0429" w:rsidRDefault="00B31D9E" w:rsidP="006512FF">
      <w:pPr>
        <w:numPr>
          <w:ilvl w:val="1"/>
          <w:numId w:val="4"/>
        </w:numPr>
        <w:spacing w:before="120" w:line="276" w:lineRule="auto"/>
        <w:ind w:left="341" w:hanging="454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W przypadku kosztów dotyczących utrzymania psów asystujących za kwalifikowalne uznaje się koszty poniesione bezpośrednio przez Wnioskodawcę – tym samym nie są kwalifikowalne koszty poniesione na utrzymanie psa przez osobę niepełnosprawną, będącą beneficjentem ostatecznym projektu.</w:t>
      </w:r>
    </w:p>
    <w:p w14:paraId="27C031CE" w14:textId="046BF6B9" w:rsidR="005F0429" w:rsidRDefault="00764C02" w:rsidP="006512FF">
      <w:pPr>
        <w:numPr>
          <w:ilvl w:val="1"/>
          <w:numId w:val="4"/>
        </w:numPr>
        <w:spacing w:before="120" w:line="276" w:lineRule="auto"/>
        <w:ind w:left="341" w:hanging="454"/>
        <w:rPr>
          <w:rStyle w:val="Pogrubienie"/>
          <w:rFonts w:asciiTheme="minorHAnsi" w:hAnsiTheme="minorHAnsi" w:cstheme="minorHAnsi"/>
          <w:b w:val="0"/>
        </w:rPr>
      </w:pPr>
      <w:r w:rsidRPr="005F0429">
        <w:rPr>
          <w:rStyle w:val="Pogrubienie"/>
          <w:rFonts w:asciiTheme="minorHAnsi" w:hAnsiTheme="minorHAnsi" w:cstheme="minorHAnsi"/>
          <w:b w:val="0"/>
        </w:rPr>
        <w:t>Zasady kwalifikowalności zawarte w niniejszym dokumencie stosowane są zarówno do kosztów finansowanych w całości lub w części ze środków PFRON, jak również do kosztów finansowanych w całości lub w części z wkładu własnego Wnioskodawcy.</w:t>
      </w:r>
    </w:p>
    <w:p w14:paraId="134370A0" w14:textId="77777777" w:rsidR="00764C02" w:rsidRPr="002A75E1" w:rsidRDefault="00764C02" w:rsidP="00252E75">
      <w:pPr>
        <w:pStyle w:val="Nagwek2"/>
        <w:numPr>
          <w:ilvl w:val="0"/>
          <w:numId w:val="0"/>
        </w:numPr>
        <w:spacing w:before="480"/>
        <w:ind w:left="360" w:hanging="360"/>
      </w:pPr>
      <w:bookmarkStart w:id="4" w:name="_Toc105500017"/>
      <w:r w:rsidRPr="002A75E1">
        <w:t>II.</w:t>
      </w:r>
      <w:r w:rsidRPr="002A75E1">
        <w:tab/>
        <w:t>Działalność nieodpłatna, odpłatna, gospodarcza</w:t>
      </w:r>
      <w:bookmarkEnd w:id="4"/>
    </w:p>
    <w:p w14:paraId="1D4453DD" w14:textId="64560E90" w:rsidR="00764C02" w:rsidRPr="002A75E1" w:rsidRDefault="00764C02" w:rsidP="006512FF">
      <w:pPr>
        <w:numPr>
          <w:ilvl w:val="0"/>
          <w:numId w:val="7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Ze środków PFRON dofinansowane są wyłącznie działania mieszczące się w zakresie działalności statutowej nieodpłatnej i odpłatnej.</w:t>
      </w:r>
    </w:p>
    <w:p w14:paraId="6151FF6E" w14:textId="43F78CA0" w:rsidR="0031682B" w:rsidRDefault="00764C02" w:rsidP="006512FF">
      <w:pPr>
        <w:numPr>
          <w:ilvl w:val="0"/>
          <w:numId w:val="7"/>
        </w:numPr>
        <w:spacing w:before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Środki PFRON nie mogą być przeznaczone na finansowanie działalności gospodarczej prowadzonej przez Wnioskodawcę.</w:t>
      </w:r>
      <w:r w:rsidR="0031682B">
        <w:rPr>
          <w:rFonts w:asciiTheme="minorHAnsi" w:hAnsiTheme="minorHAnsi" w:cstheme="minorHAnsi"/>
        </w:rPr>
        <w:br w:type="page"/>
      </w:r>
    </w:p>
    <w:p w14:paraId="21C0F701" w14:textId="77777777" w:rsidR="00764C02" w:rsidRPr="002A75E1" w:rsidRDefault="00764C02" w:rsidP="009270B1">
      <w:pPr>
        <w:pStyle w:val="Nagwek2"/>
        <w:numPr>
          <w:ilvl w:val="0"/>
          <w:numId w:val="0"/>
        </w:numPr>
        <w:spacing w:before="480"/>
        <w:ind w:left="454" w:hanging="454"/>
      </w:pPr>
      <w:bookmarkStart w:id="5" w:name="_Toc105500018"/>
      <w:r w:rsidRPr="002A75E1">
        <w:lastRenderedPageBreak/>
        <w:t>III.</w:t>
      </w:r>
      <w:r w:rsidRPr="002A75E1">
        <w:tab/>
        <w:t>Podatek VAT</w:t>
      </w:r>
      <w:bookmarkEnd w:id="5"/>
    </w:p>
    <w:p w14:paraId="02D0A541" w14:textId="77777777" w:rsidR="00764C02" w:rsidRPr="002A75E1" w:rsidRDefault="00764C02" w:rsidP="006512FF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 przypadku, gdy Wnioskodawca jest podatnikiem VAT wartość podatku VAT nie jest kosztem kwalifikowalnym, chyba że Wnioskodawca będąc podatnikiem podatku VAT nie jest uprawniony do obniżenia kwoty podatku należnego o podatek naliczony, ze względu na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wyłączenie możliwości odliczenia podatku naliczonego, wynikające z obowiązujących przepisów prawa.</w:t>
      </w:r>
    </w:p>
    <w:p w14:paraId="19605175" w14:textId="77777777" w:rsidR="00764C02" w:rsidRPr="002A75E1" w:rsidRDefault="00764C02" w:rsidP="006512FF">
      <w:pPr>
        <w:numPr>
          <w:ilvl w:val="0"/>
          <w:numId w:val="8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Wnioskodawcy posiadający uprawnienie do odliczania podatku naliczonego VAT wykazują w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budżecie projektu koszty w kwotach netto (z wyjątkiem kosztów w odniesieniu do których nie przysługuje Wnioskodawcy prawo do odliczenia podatku VAT w całości lub w części), a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Wnioskodawcy nieposiadający takiego uprawnienia – w kwotach brutto.</w:t>
      </w:r>
    </w:p>
    <w:p w14:paraId="1F21BABE" w14:textId="77777777" w:rsidR="00764C02" w:rsidRPr="002A75E1" w:rsidRDefault="00764C02" w:rsidP="009270B1">
      <w:pPr>
        <w:pStyle w:val="Nagwek2"/>
        <w:numPr>
          <w:ilvl w:val="0"/>
          <w:numId w:val="0"/>
        </w:numPr>
        <w:spacing w:before="480"/>
        <w:ind w:left="454" w:hanging="454"/>
      </w:pPr>
      <w:bookmarkStart w:id="6" w:name="_Toc105500019"/>
      <w:r w:rsidRPr="002A75E1">
        <w:t>IV.</w:t>
      </w:r>
      <w:r w:rsidRPr="002A75E1">
        <w:tab/>
        <w:t>Koszty pośrednie</w:t>
      </w:r>
      <w:bookmarkEnd w:id="6"/>
    </w:p>
    <w:p w14:paraId="6C05CF35" w14:textId="77777777" w:rsidR="00764C02" w:rsidRPr="002A75E1" w:rsidRDefault="00764C02" w:rsidP="006512FF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Koszty pośrednie (koszty administracyjne związane z projektem) mogą być rozliczane przez Wnioskodawcę ryczałtem lub na podstawie rzeczywiście poniesionych kosztów (z pełnym udokumentowaniem kosztów). Wyboru jednego ze sposobów rozliczania kosztów pośrednich dokonuje Wnioskodawca na etapie składania wniosku o zlecenie realizacji zadań.</w:t>
      </w:r>
    </w:p>
    <w:p w14:paraId="35EB0955" w14:textId="54799F6D" w:rsidR="00A15943" w:rsidRDefault="009563FB" w:rsidP="006512FF">
      <w:pPr>
        <w:numPr>
          <w:ilvl w:val="0"/>
          <w:numId w:val="9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Wyklucza się możliwość wyboru ryczałtowego sposobu rozliczania kosztów pośrednich w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projektów dotyczących placówek finansowanych z innych źródeł publicznych (np.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ze środków pomocy społecznej).</w:t>
      </w:r>
    </w:p>
    <w:p w14:paraId="14D1DD12" w14:textId="61F1D45D" w:rsidR="0031682B" w:rsidRDefault="00624284" w:rsidP="006512FF">
      <w:pPr>
        <w:numPr>
          <w:ilvl w:val="0"/>
          <w:numId w:val="9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Jeżeli </w:t>
      </w:r>
      <w:r w:rsidR="009563FB" w:rsidRPr="002A75E1">
        <w:rPr>
          <w:rFonts w:asciiTheme="minorHAnsi" w:hAnsiTheme="minorHAnsi" w:cstheme="minorHAnsi"/>
        </w:rPr>
        <w:t>Wnioskodawca realizuje ze środków PFRON kilka projektów równocześnie</w:t>
      </w:r>
      <w:r w:rsidRPr="002A75E1">
        <w:rPr>
          <w:rFonts w:asciiTheme="minorHAnsi" w:hAnsiTheme="minorHAnsi" w:cstheme="minorHAnsi"/>
        </w:rPr>
        <w:t xml:space="preserve"> – </w:t>
      </w:r>
      <w:r w:rsidR="009563FB" w:rsidRPr="002A75E1">
        <w:rPr>
          <w:rFonts w:asciiTheme="minorHAnsi" w:hAnsiTheme="minorHAnsi" w:cstheme="minorHAnsi"/>
        </w:rPr>
        <w:t>koszty</w:t>
      </w:r>
      <w:r w:rsidRPr="002A75E1">
        <w:rPr>
          <w:rFonts w:asciiTheme="minorHAnsi" w:hAnsiTheme="minorHAnsi" w:cstheme="minorHAnsi"/>
        </w:rPr>
        <w:t xml:space="preserve"> </w:t>
      </w:r>
      <w:r w:rsidR="009563FB" w:rsidRPr="002A75E1">
        <w:rPr>
          <w:rFonts w:asciiTheme="minorHAnsi" w:hAnsiTheme="minorHAnsi" w:cstheme="minorHAnsi"/>
        </w:rPr>
        <w:t>administracyjne muszą być rozliczane we wszystkich projektach wg tego samego s</w:t>
      </w:r>
      <w:r w:rsidR="008D2A55" w:rsidRPr="002A75E1">
        <w:rPr>
          <w:rFonts w:asciiTheme="minorHAnsi" w:hAnsiTheme="minorHAnsi" w:cstheme="minorHAnsi"/>
        </w:rPr>
        <w:t>posobu (tj. </w:t>
      </w:r>
      <w:r w:rsidR="009563FB" w:rsidRPr="002A75E1">
        <w:rPr>
          <w:rFonts w:asciiTheme="minorHAnsi" w:hAnsiTheme="minorHAnsi" w:cstheme="minorHAnsi"/>
        </w:rPr>
        <w:t xml:space="preserve">albo ryczałtem albo na podstawie rzeczywiście poniesionych kosztów). </w:t>
      </w:r>
      <w:r w:rsidR="003F3251" w:rsidRPr="002A75E1">
        <w:rPr>
          <w:rFonts w:asciiTheme="minorHAnsi" w:hAnsiTheme="minorHAnsi" w:cstheme="minorHAnsi"/>
        </w:rPr>
        <w:t>Pojęcie „projekty realizowane równocześnie” oznacza sytuację, w której terminy realizacji poszczególnych projektów pokrywają się w zakresie co najmniej 1 dnia kalendarzowego.</w:t>
      </w:r>
      <w:r w:rsidR="00313C25">
        <w:rPr>
          <w:rFonts w:asciiTheme="minorHAnsi" w:hAnsiTheme="minorHAnsi" w:cstheme="minorHAnsi"/>
        </w:rPr>
        <w:t xml:space="preserve"> W uzasadnionych przypadkach Wnioskodawca może </w:t>
      </w:r>
      <w:r w:rsidR="007A343D">
        <w:rPr>
          <w:rFonts w:asciiTheme="minorHAnsi" w:hAnsiTheme="minorHAnsi" w:cstheme="minorHAnsi"/>
        </w:rPr>
        <w:t xml:space="preserve">wystąpić do PFRON o zgodę na zmianę sposobu rozliczania kosztów pośrednich w projektach składanych w nowym konkursie, w sytuacji gdy termin realizacji tych projektów </w:t>
      </w:r>
      <w:r w:rsidR="004A7C22">
        <w:rPr>
          <w:rFonts w:asciiTheme="minorHAnsi" w:hAnsiTheme="minorHAnsi" w:cstheme="minorHAnsi"/>
        </w:rPr>
        <w:t>pokrywa</w:t>
      </w:r>
      <w:r w:rsidR="007A343D">
        <w:rPr>
          <w:rFonts w:asciiTheme="minorHAnsi" w:hAnsiTheme="minorHAnsi" w:cstheme="minorHAnsi"/>
        </w:rPr>
        <w:t xml:space="preserve"> się z terminem projektów realizowanych przez Wnioskodawcę w ramach wcześniej ogłoszonych konkursów.</w:t>
      </w:r>
      <w:r w:rsidR="007A343D" w:rsidRPr="007A343D">
        <w:t xml:space="preserve"> </w:t>
      </w:r>
      <w:r w:rsidR="007A343D" w:rsidRPr="007A343D">
        <w:rPr>
          <w:rFonts w:asciiTheme="minorHAnsi" w:hAnsiTheme="minorHAnsi" w:cstheme="minorHAnsi"/>
        </w:rPr>
        <w:t>Decyzje w tej sprawie podejmują Pełnomocnicy Zarządu PFRON</w:t>
      </w:r>
      <w:r w:rsidR="007A343D">
        <w:rPr>
          <w:rFonts w:asciiTheme="minorHAnsi" w:hAnsiTheme="minorHAnsi" w:cstheme="minorHAnsi"/>
        </w:rPr>
        <w:t>.</w:t>
      </w:r>
    </w:p>
    <w:p w14:paraId="521AB130" w14:textId="5C72522B" w:rsidR="004E5D0A" w:rsidRPr="002A75E1" w:rsidRDefault="007C06A5" w:rsidP="006512FF">
      <w:pPr>
        <w:numPr>
          <w:ilvl w:val="0"/>
          <w:numId w:val="9"/>
        </w:numPr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4E5D0A" w:rsidRPr="002A75E1">
        <w:rPr>
          <w:rFonts w:asciiTheme="minorHAnsi" w:hAnsiTheme="minorHAnsi" w:cstheme="minorHAnsi"/>
        </w:rPr>
        <w:t>adrzędnym jest zapis dotyczący braku możliwości wyboru ryczałtowego sposobu rozliczania kosztów pośrednich w przypadku projektów dotyczących placówek finansowanych z innych źródeł publicznych. Tym samym, jeżeli w projekcie składanym w ramach konkursu zgłoszona zostanie placówka finansowana ze środków publicznych – wówczas koszty administracyjne muszą być w tym projekcie rozliczane na podstawie rzeczywiście poniesionych kosztów, niezależnie od sposobu rozliczania kosztów pośrednich w projektach, które zostały dofinansowane ze środków PFRON w ramach wcześniej ogłoszonych konkursów.</w:t>
      </w:r>
    </w:p>
    <w:p w14:paraId="650C5A5F" w14:textId="181C13C0" w:rsidR="00D81A98" w:rsidRDefault="00764C02" w:rsidP="006512FF">
      <w:pPr>
        <w:numPr>
          <w:ilvl w:val="0"/>
          <w:numId w:val="9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W przypadku rozliczania kosztów pośrednich ryczałtem wniesienie przez Wnioskodawcę wymaganego wkładu własnego musi zostać potwierdzone w ramach kosztów bezpośrednich projektu.</w:t>
      </w:r>
    </w:p>
    <w:p w14:paraId="25F3E9D8" w14:textId="77777777" w:rsidR="00764C02" w:rsidRPr="002A75E1" w:rsidRDefault="00764C02" w:rsidP="006512FF">
      <w:pPr>
        <w:numPr>
          <w:ilvl w:val="0"/>
          <w:numId w:val="9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Pod pojęciem kosztów pośrednich należy rozumieć następujące koszty i opłaty związane z obsługą administracyjną projektu:</w:t>
      </w:r>
    </w:p>
    <w:p w14:paraId="195EDC90" w14:textId="77777777" w:rsidR="00F07379" w:rsidRPr="002A75E1" w:rsidRDefault="00F07379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koordynatora lub kierownika projektu oraz innego personelu bezpośrednio zaangażowanego w zarządzanie projektem i jego rozliczanie (w tym koszty wynagrodzenia tych osób, ich delegacji służbowych);</w:t>
      </w:r>
    </w:p>
    <w:p w14:paraId="674032AA" w14:textId="77777777" w:rsidR="00764C02" w:rsidRPr="002A75E1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personelu obsługowego (obsługa kadrowa, finansowa, administracyjna, sekretari</w:t>
      </w:r>
      <w:r w:rsidR="00F23A82" w:rsidRPr="002A75E1">
        <w:rPr>
          <w:rFonts w:asciiTheme="minorHAnsi" w:hAnsiTheme="minorHAnsi" w:cstheme="minorHAnsi"/>
        </w:rPr>
        <w:t>at, kancelaria, obsługa prawna);</w:t>
      </w:r>
    </w:p>
    <w:p w14:paraId="24E47FFF" w14:textId="77777777" w:rsidR="00764C02" w:rsidRPr="002A75E1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obsługi księgowej (koszty wynagrodzenia osób księgujących wydatki w projekcie, w tym koszty zlecenia prowadzenia obsług</w:t>
      </w:r>
      <w:r w:rsidR="00F23A82" w:rsidRPr="002A75E1">
        <w:rPr>
          <w:rFonts w:asciiTheme="minorHAnsi" w:hAnsiTheme="minorHAnsi" w:cstheme="minorHAnsi"/>
        </w:rPr>
        <w:t>i księgowej biuru rachunkowemu);</w:t>
      </w:r>
    </w:p>
    <w:p w14:paraId="6D0F241D" w14:textId="77777777" w:rsidR="00F07379" w:rsidRPr="002A75E1" w:rsidRDefault="00F07379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założeniem lub prowadzeniem rachunku bankowego (rachunków bankowych) wydzielonego </w:t>
      </w:r>
      <w:r w:rsidR="00F23A82" w:rsidRPr="002A75E1">
        <w:rPr>
          <w:rFonts w:asciiTheme="minorHAnsi" w:hAnsiTheme="minorHAnsi" w:cstheme="minorHAnsi"/>
        </w:rPr>
        <w:t>(wydzielonych) dla środków otrzymywanych z PFRON w ramach realizacji projektu;</w:t>
      </w:r>
    </w:p>
    <w:p w14:paraId="78E95B80" w14:textId="77777777" w:rsidR="00062D05" w:rsidRPr="002A75E1" w:rsidRDefault="00062D05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działań informacyjno-promocyjnych projektu (np. zakup materiałów promocyjnych i informacyjnych);</w:t>
      </w:r>
    </w:p>
    <w:p w14:paraId="2B683E27" w14:textId="73626245" w:rsidR="00062D05" w:rsidRPr="002A75E1" w:rsidRDefault="00062D05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zakupu środków trwałych i wartości niematerialnych i prawnych na potrzeby personelu</w:t>
      </w:r>
      <w:r w:rsidR="007C06A5">
        <w:rPr>
          <w:rFonts w:asciiTheme="minorHAnsi" w:hAnsiTheme="minorHAnsi" w:cstheme="minorHAnsi"/>
        </w:rPr>
        <w:t xml:space="preserve"> administracyjnego</w:t>
      </w:r>
      <w:r w:rsidRPr="002A75E1">
        <w:rPr>
          <w:rFonts w:asciiTheme="minorHAnsi" w:hAnsiTheme="minorHAnsi" w:cstheme="minorHAnsi"/>
        </w:rPr>
        <w:t>;</w:t>
      </w:r>
    </w:p>
    <w:p w14:paraId="5925335C" w14:textId="77777777" w:rsidR="00764C02" w:rsidRPr="002A75E1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utrzymania powierzchni biurowych (czynsz, najem, opłaty administracyjne</w:t>
      </w:r>
      <w:r w:rsidR="00F23A82" w:rsidRPr="002A75E1">
        <w:rPr>
          <w:rFonts w:asciiTheme="minorHAnsi" w:hAnsiTheme="minorHAnsi" w:cstheme="minorHAnsi"/>
        </w:rPr>
        <w:t>);</w:t>
      </w:r>
    </w:p>
    <w:p w14:paraId="03303E6C" w14:textId="77777777" w:rsidR="00764C02" w:rsidRPr="002A75E1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energię elektryczną, cieplną, gazową i wodę, opłaty przesyłowe, </w:t>
      </w:r>
      <w:r w:rsidR="00062D05" w:rsidRPr="002A75E1">
        <w:rPr>
          <w:rFonts w:asciiTheme="minorHAnsi" w:hAnsiTheme="minorHAnsi" w:cstheme="minorHAnsi"/>
        </w:rPr>
        <w:t>opłaty za</w:t>
      </w:r>
      <w:r w:rsidR="0068649D" w:rsidRPr="002A75E1">
        <w:rPr>
          <w:rFonts w:asciiTheme="minorHAnsi" w:hAnsiTheme="minorHAnsi" w:cstheme="minorHAnsi"/>
        </w:rPr>
        <w:t> </w:t>
      </w:r>
      <w:r w:rsidR="00062D05" w:rsidRPr="002A75E1">
        <w:rPr>
          <w:rFonts w:asciiTheme="minorHAnsi" w:hAnsiTheme="minorHAnsi" w:cstheme="minorHAnsi"/>
        </w:rPr>
        <w:t>odprowadzanie ścieków;</w:t>
      </w:r>
    </w:p>
    <w:p w14:paraId="6CD75B38" w14:textId="77777777" w:rsidR="00764C02" w:rsidRPr="002A75E1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usług pocztowych, telefonicznych, </w:t>
      </w:r>
      <w:r w:rsidR="00062D05" w:rsidRPr="002A75E1">
        <w:rPr>
          <w:rFonts w:asciiTheme="minorHAnsi" w:hAnsiTheme="minorHAnsi" w:cstheme="minorHAnsi"/>
        </w:rPr>
        <w:t>internetowych, kurierskich;</w:t>
      </w:r>
    </w:p>
    <w:p w14:paraId="1CD37713" w14:textId="2060D8FF" w:rsidR="00A15943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ind w:left="68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 powielania dokumentów</w:t>
      </w:r>
      <w:r w:rsidR="00062D05" w:rsidRPr="002A75E1">
        <w:rPr>
          <w:rFonts w:asciiTheme="minorHAnsi" w:hAnsiTheme="minorHAnsi" w:cstheme="minorHAnsi"/>
        </w:rPr>
        <w:t>;</w:t>
      </w:r>
    </w:p>
    <w:p w14:paraId="778BC487" w14:textId="77777777" w:rsidR="00764C02" w:rsidRPr="002A75E1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ind w:left="68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materiałów biuro</w:t>
      </w:r>
      <w:r w:rsidR="0096553B" w:rsidRPr="002A75E1">
        <w:rPr>
          <w:rFonts w:asciiTheme="minorHAnsi" w:hAnsiTheme="minorHAnsi" w:cstheme="minorHAnsi"/>
        </w:rPr>
        <w:t>wych i artykułów piśmienniczych;</w:t>
      </w:r>
    </w:p>
    <w:p w14:paraId="47FF6AD3" w14:textId="77777777" w:rsidR="00764C02" w:rsidRPr="002A75E1" w:rsidRDefault="0096553B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ind w:left="68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ubezpieczeń majątkowych;</w:t>
      </w:r>
    </w:p>
    <w:p w14:paraId="2CB1FD31" w14:textId="77777777" w:rsidR="00764C02" w:rsidRPr="002A75E1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ind w:left="68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ochrony</w:t>
      </w:r>
      <w:r w:rsidR="00BC0034" w:rsidRPr="002A75E1">
        <w:rPr>
          <w:rFonts w:asciiTheme="minorHAnsi" w:hAnsiTheme="minorHAnsi" w:cstheme="minorHAnsi"/>
        </w:rPr>
        <w:t>;</w:t>
      </w:r>
    </w:p>
    <w:p w14:paraId="434B00CA" w14:textId="3712ABE8" w:rsidR="0031682B" w:rsidRDefault="00764C02" w:rsidP="006512FF">
      <w:pPr>
        <w:numPr>
          <w:ilvl w:val="2"/>
          <w:numId w:val="4"/>
        </w:numPr>
        <w:autoSpaceDE w:val="0"/>
        <w:autoSpaceDN w:val="0"/>
        <w:adjustRightInd w:val="0"/>
        <w:spacing w:before="60" w:line="276" w:lineRule="auto"/>
        <w:ind w:left="68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sprzątania pomieszczeń, w tym koszty zakupu środków do utrzymania czystości pomieszczeń.</w:t>
      </w:r>
    </w:p>
    <w:p w14:paraId="2F6A23DE" w14:textId="6F1A2EBC" w:rsidR="00764C02" w:rsidRPr="002A75E1" w:rsidRDefault="00764C02" w:rsidP="006512FF">
      <w:pPr>
        <w:numPr>
          <w:ilvl w:val="0"/>
          <w:numId w:val="9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 przypadku wyboru ryczałtowego sposobu rozliczania kosztów pośrednich:</w:t>
      </w:r>
    </w:p>
    <w:p w14:paraId="15EED75D" w14:textId="77777777" w:rsidR="00764C02" w:rsidRPr="002A75E1" w:rsidRDefault="00764C02" w:rsidP="006512FF">
      <w:pPr>
        <w:numPr>
          <w:ilvl w:val="0"/>
          <w:numId w:val="5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nie jest dopuszczalne wykazywanie kosztów pośrednich w ramach pozostałych kategorii kosztów, tj. w ramach kosztów bezpośrednich</w:t>
      </w:r>
      <w:r w:rsidR="0096553B" w:rsidRPr="002A75E1">
        <w:rPr>
          <w:rFonts w:asciiTheme="minorHAnsi" w:hAnsiTheme="minorHAnsi" w:cstheme="minorHAnsi"/>
        </w:rPr>
        <w:t>;</w:t>
      </w:r>
    </w:p>
    <w:p w14:paraId="06C8CADA" w14:textId="09FCF4C0" w:rsidR="00764C02" w:rsidRPr="002A75E1" w:rsidRDefault="00764C02" w:rsidP="006512FF">
      <w:pPr>
        <w:numPr>
          <w:ilvl w:val="0"/>
          <w:numId w:val="5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na etapie oceny merytorycznej budżet projektu weryfikowany jest pod kątem ewentualnego zidentyfikowania kosztów pośrednich w ramach kosztów bezpośrednich; w</w:t>
      </w:r>
      <w:r w:rsidR="007C06A5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przypadku przyznania dofinansowania weryfikacja taka przeprowadzana jest również na etapie rozliczania </w:t>
      </w:r>
      <w:r w:rsidR="0096553B" w:rsidRPr="002A75E1">
        <w:rPr>
          <w:rFonts w:asciiTheme="minorHAnsi" w:hAnsiTheme="minorHAnsi" w:cstheme="minorHAnsi"/>
        </w:rPr>
        <w:t>przyznanych przez PFRON środków;</w:t>
      </w:r>
    </w:p>
    <w:p w14:paraId="601ACC49" w14:textId="24CF41D8" w:rsidR="00F276B0" w:rsidRDefault="00764C02" w:rsidP="006512FF">
      <w:pPr>
        <w:numPr>
          <w:ilvl w:val="0"/>
          <w:numId w:val="5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nie jest dopuszczalne finansowanie w ramach ryczałtu kosztów niekwalifikowalnych</w:t>
      </w:r>
      <w:r w:rsidR="0081336F" w:rsidRPr="002A75E1">
        <w:rPr>
          <w:rFonts w:asciiTheme="minorHAnsi" w:hAnsiTheme="minorHAnsi" w:cstheme="minorHAnsi"/>
        </w:rPr>
        <w:t>;</w:t>
      </w:r>
    </w:p>
    <w:p w14:paraId="7F1BE41B" w14:textId="6F642790" w:rsidR="0081336F" w:rsidRPr="002A75E1" w:rsidRDefault="0081336F" w:rsidP="006512FF">
      <w:pPr>
        <w:numPr>
          <w:ilvl w:val="0"/>
          <w:numId w:val="5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 xml:space="preserve">koszty eksploatacji pomieszczeń (czynsz, media) w których prowadzone są zajęcia </w:t>
      </w:r>
      <w:r w:rsidR="000B11C1">
        <w:rPr>
          <w:rFonts w:asciiTheme="minorHAnsi" w:hAnsiTheme="minorHAnsi" w:cstheme="minorHAnsi"/>
        </w:rPr>
        <w:t>merytoryczne (</w:t>
      </w:r>
      <w:r w:rsidRPr="002A75E1">
        <w:rPr>
          <w:rFonts w:asciiTheme="minorHAnsi" w:hAnsiTheme="minorHAnsi" w:cstheme="minorHAnsi"/>
        </w:rPr>
        <w:t>rehabilitacyjne</w:t>
      </w:r>
      <w:r w:rsidR="000B11C1">
        <w:rPr>
          <w:rFonts w:asciiTheme="minorHAnsi" w:hAnsiTheme="minorHAnsi" w:cstheme="minorHAnsi"/>
        </w:rPr>
        <w:t>)</w:t>
      </w:r>
      <w:r w:rsidRPr="002A75E1">
        <w:rPr>
          <w:rFonts w:asciiTheme="minorHAnsi" w:hAnsiTheme="minorHAnsi" w:cstheme="minorHAnsi"/>
        </w:rPr>
        <w:t xml:space="preserve"> mogą zostać zaliczone do kosztów bezpośrednich i wykazane w</w:t>
      </w:r>
      <w:r w:rsidR="0068649D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budżecie projektu w kategorii: „Koszty funkcjonowania jednostek wskazanych przez Wnioskodawcę do realizacji projektu”;</w:t>
      </w:r>
    </w:p>
    <w:p w14:paraId="7A31EE63" w14:textId="77777777" w:rsidR="0081336F" w:rsidRPr="002A75E1" w:rsidRDefault="0081336F" w:rsidP="006512FF">
      <w:pPr>
        <w:numPr>
          <w:ilvl w:val="0"/>
          <w:numId w:val="5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 wynajęcia sali na przeprowadzenie szkolenia może zostać wykazany w kategorii: „Koszty związane z udziałem uczestników projektu” – w przypadku projektów dotyczących zadania innego niż zadanie „prowadzenie rehabilitacji osób niepełnosprawnych w różnych typach placówek”.</w:t>
      </w:r>
    </w:p>
    <w:p w14:paraId="68933563" w14:textId="3F751739" w:rsidR="00764C02" w:rsidRDefault="00764C02" w:rsidP="006512FF">
      <w:pPr>
        <w:numPr>
          <w:ilvl w:val="0"/>
          <w:numId w:val="9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Przyjmuje się następujące maksymalne stawki ryczałtowe stanowiące podstawę rozliczania kosztów pośrednich:</w:t>
      </w:r>
    </w:p>
    <w:p w14:paraId="02A71DAA" w14:textId="5EDD37FE" w:rsidR="00313C25" w:rsidRPr="002A75E1" w:rsidRDefault="00313C25" w:rsidP="00313C25">
      <w:pPr>
        <w:numPr>
          <w:ilvl w:val="0"/>
          <w:numId w:val="6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nieprzekraczającej 500.000 zł;</w:t>
      </w:r>
    </w:p>
    <w:p w14:paraId="6029C478" w14:textId="653211B1" w:rsidR="00313C25" w:rsidRPr="002A75E1" w:rsidRDefault="00313C25" w:rsidP="00313C25">
      <w:pPr>
        <w:numPr>
          <w:ilvl w:val="0"/>
          <w:numId w:val="6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500.000 zł do 1.000.000 zł włącznie;</w:t>
      </w:r>
    </w:p>
    <w:p w14:paraId="3D6314E6" w14:textId="541513D2" w:rsidR="00313C25" w:rsidRDefault="00313C25" w:rsidP="00313C25">
      <w:pPr>
        <w:numPr>
          <w:ilvl w:val="0"/>
          <w:numId w:val="6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1.000.000 zł do 2.000.000 zł włącznie;</w:t>
      </w:r>
    </w:p>
    <w:p w14:paraId="47A641D2" w14:textId="73299367" w:rsidR="00313C25" w:rsidRPr="002A75E1" w:rsidRDefault="00313C25" w:rsidP="00313C25">
      <w:pPr>
        <w:numPr>
          <w:ilvl w:val="0"/>
          <w:numId w:val="6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313C25">
        <w:rPr>
          <w:rFonts w:asciiTheme="minorHAnsi" w:hAnsiTheme="minorHAnsi" w:cstheme="minorHAnsi"/>
        </w:rPr>
        <w:t>16% kosztów bezpośrednich – w przypadku projektów o wartości (w odniesieniu do kosztów kwalifikowalnych) powyżej 2.000.000 zł do 3.000.000 zł włącznie</w:t>
      </w:r>
      <w:r>
        <w:rPr>
          <w:rFonts w:asciiTheme="minorHAnsi" w:hAnsiTheme="minorHAnsi" w:cstheme="minorHAnsi"/>
        </w:rPr>
        <w:t>;</w:t>
      </w:r>
    </w:p>
    <w:p w14:paraId="1D259C37" w14:textId="1D23A068" w:rsidR="00313C25" w:rsidRPr="002A75E1" w:rsidRDefault="00313C25" w:rsidP="00313C25">
      <w:pPr>
        <w:numPr>
          <w:ilvl w:val="0"/>
          <w:numId w:val="6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</w:t>
      </w:r>
      <w:r w:rsidRPr="002A75E1">
        <w:rPr>
          <w:rFonts w:asciiTheme="minorHAnsi" w:hAnsiTheme="minorHAnsi" w:cstheme="minorHAnsi"/>
        </w:rPr>
        <w:t xml:space="preserve">% kosztów bezpośrednich – w przypadku projektów o wartości (w odniesieniu do kosztów kwalifikowalnych) powyżej </w:t>
      </w:r>
      <w:r>
        <w:rPr>
          <w:rFonts w:asciiTheme="minorHAnsi" w:hAnsiTheme="minorHAnsi" w:cstheme="minorHAnsi"/>
        </w:rPr>
        <w:t>3</w:t>
      </w:r>
      <w:r w:rsidRPr="002A75E1">
        <w:rPr>
          <w:rFonts w:asciiTheme="minorHAnsi" w:hAnsiTheme="minorHAnsi" w:cstheme="minorHAnsi"/>
        </w:rPr>
        <w:t>.000.000 zł do 5.000.000 zł włącznie;</w:t>
      </w:r>
    </w:p>
    <w:p w14:paraId="46E6A998" w14:textId="35575A22" w:rsidR="00313C25" w:rsidRPr="002A75E1" w:rsidRDefault="00313C25" w:rsidP="00313C25">
      <w:pPr>
        <w:numPr>
          <w:ilvl w:val="0"/>
          <w:numId w:val="6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przekraczającej 5.000.000 zł</w:t>
      </w:r>
      <w:r>
        <w:rPr>
          <w:rFonts w:asciiTheme="minorHAnsi" w:hAnsiTheme="minorHAnsi" w:cstheme="minorHAnsi"/>
        </w:rPr>
        <w:t>.</w:t>
      </w:r>
    </w:p>
    <w:p w14:paraId="40BFC834" w14:textId="3294EAA7" w:rsidR="007A343D" w:rsidRDefault="00764C02" w:rsidP="00A15943">
      <w:pPr>
        <w:numPr>
          <w:ilvl w:val="0"/>
          <w:numId w:val="9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Na wysokość kosztów pośrednich rozliczanych ryczałtem mają wpływ koszty bezpośrednie wykazane w budżecie projektu oraz wszelkiego rodzaju pomniejszenia, dokonywane w ramach projektu. Przykładowo: w sytuacji uznania za niekwalifikowalne kosztów bezpośrednich w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do których naliczone zostały koszty pośrednie, odpowiedniemu pomniejszeniu będą podlegały także koszty pośrednie.</w:t>
      </w:r>
    </w:p>
    <w:p w14:paraId="187043AB" w14:textId="6259C6A2" w:rsidR="0031682B" w:rsidRDefault="00764C02" w:rsidP="006512FF">
      <w:pPr>
        <w:numPr>
          <w:ilvl w:val="0"/>
          <w:numId w:val="9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 przypadku powierzenia wykonania usług </w:t>
      </w:r>
      <w:r w:rsidR="00165312" w:rsidRPr="002A75E1">
        <w:rPr>
          <w:rFonts w:asciiTheme="minorHAnsi" w:hAnsiTheme="minorHAnsi" w:cstheme="minorHAnsi"/>
        </w:rPr>
        <w:t xml:space="preserve">merytorycznych </w:t>
      </w:r>
      <w:r w:rsidRPr="002A75E1">
        <w:rPr>
          <w:rFonts w:asciiTheme="minorHAnsi" w:hAnsiTheme="minorHAnsi" w:cstheme="minorHAnsi"/>
        </w:rPr>
        <w:t>będących elementem projektu wykonawcy zewnętrznemu podstawa wyliczenia limitu kosztów pośrednich rozliczanych ryczałtem ulega pomniejszeniu, poprzez pomniejszenie wartości kosztów bezpośrednich o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wartość usług powierzonych.</w:t>
      </w:r>
    </w:p>
    <w:p w14:paraId="25E0A341" w14:textId="2ADF4FAF" w:rsidR="00764C02" w:rsidRPr="002A75E1" w:rsidRDefault="00764C02" w:rsidP="006512FF">
      <w:pPr>
        <w:numPr>
          <w:ilvl w:val="0"/>
          <w:numId w:val="9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 </w:t>
      </w:r>
      <w:r w:rsidR="00862313">
        <w:rPr>
          <w:rFonts w:asciiTheme="minorHAnsi" w:hAnsiTheme="minorHAnsi" w:cstheme="minorHAnsi"/>
        </w:rPr>
        <w:t>P</w:t>
      </w:r>
      <w:r w:rsidRPr="002A75E1">
        <w:rPr>
          <w:rFonts w:asciiTheme="minorHAnsi" w:hAnsiTheme="minorHAnsi" w:cstheme="minorHAnsi"/>
        </w:rPr>
        <w:t>owierzani</w:t>
      </w:r>
      <w:r w:rsidR="00862313">
        <w:rPr>
          <w:rFonts w:asciiTheme="minorHAnsi" w:hAnsiTheme="minorHAnsi" w:cstheme="minorHAnsi"/>
        </w:rPr>
        <w:t>e dotyczy</w:t>
      </w:r>
      <w:r w:rsidRPr="002A75E1">
        <w:rPr>
          <w:rFonts w:asciiTheme="minorHAnsi" w:hAnsiTheme="minorHAnsi" w:cstheme="minorHAnsi"/>
        </w:rPr>
        <w:t xml:space="preserve"> usług, które mają na celu wniesienie wartości merytorycznej do projektu. Zakup przez Wnioskodawcę usług, których bezpośrednim celem nie jest wykonanie projektu (np. usług cateringowych, hotelowych, poligraficznych, </w:t>
      </w:r>
      <w:r w:rsidR="00502B4F">
        <w:rPr>
          <w:rFonts w:asciiTheme="minorHAnsi" w:hAnsiTheme="minorHAnsi" w:cstheme="minorHAnsi"/>
        </w:rPr>
        <w:t xml:space="preserve">transportowych, </w:t>
      </w:r>
      <w:r w:rsidRPr="002A75E1">
        <w:rPr>
          <w:rFonts w:asciiTheme="minorHAnsi" w:hAnsiTheme="minorHAnsi" w:cstheme="minorHAnsi"/>
        </w:rPr>
        <w:t xml:space="preserve">wynajem </w:t>
      </w:r>
      <w:r w:rsidR="00502B4F">
        <w:rPr>
          <w:rFonts w:asciiTheme="minorHAnsi" w:hAnsiTheme="minorHAnsi" w:cstheme="minorHAnsi"/>
        </w:rPr>
        <w:t>sa</w:t>
      </w:r>
      <w:r w:rsidRPr="002A75E1">
        <w:rPr>
          <w:rFonts w:asciiTheme="minorHAnsi" w:hAnsiTheme="minorHAnsi" w:cstheme="minorHAnsi"/>
        </w:rPr>
        <w:t>li) nie ma wpływu na podstawę wyliczenia limitu kosztów pośrednich rozliczanych ryczałtem.</w:t>
      </w:r>
    </w:p>
    <w:p w14:paraId="35E3CDEE" w14:textId="43FBE1A7" w:rsidR="000145BA" w:rsidRDefault="00764C02" w:rsidP="006512FF">
      <w:pPr>
        <w:numPr>
          <w:ilvl w:val="0"/>
          <w:numId w:val="9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Koszty pośrednie rozliczane przez Zleceniobiorcę ryczałtem są uznawane jako koszty poniesione</w:t>
      </w:r>
      <w:r w:rsidR="006D1A73" w:rsidRPr="002A75E1">
        <w:rPr>
          <w:rFonts w:asciiTheme="minorHAnsi" w:hAnsiTheme="minorHAnsi" w:cstheme="minorHAnsi"/>
        </w:rPr>
        <w:t xml:space="preserve"> ze środków PFRON</w:t>
      </w:r>
      <w:r w:rsidRPr="002A75E1">
        <w:rPr>
          <w:rFonts w:asciiTheme="minorHAnsi" w:hAnsiTheme="minorHAnsi" w:cstheme="minorHAnsi"/>
        </w:rPr>
        <w:t>. Dowody księgowe dotyczące ww. kosztów nie podlegają kontroli przez PFRON.</w:t>
      </w:r>
    </w:p>
    <w:p w14:paraId="7F5FEAB7" w14:textId="5704E227" w:rsidR="00764C02" w:rsidRPr="002A75E1" w:rsidRDefault="00764C02" w:rsidP="000145BA">
      <w:pPr>
        <w:pStyle w:val="Nagwek2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3200"/>
        </w:tabs>
        <w:spacing w:before="480"/>
        <w:ind w:left="360" w:hanging="360"/>
      </w:pPr>
      <w:bookmarkStart w:id="7" w:name="_Toc105500020"/>
      <w:r w:rsidRPr="002A75E1">
        <w:lastRenderedPageBreak/>
        <w:t>V.</w:t>
      </w:r>
      <w:r w:rsidRPr="002A75E1">
        <w:tab/>
        <w:t>Przychód projektu</w:t>
      </w:r>
      <w:bookmarkEnd w:id="7"/>
    </w:p>
    <w:p w14:paraId="1DBC64B8" w14:textId="77777777" w:rsidR="00764C02" w:rsidRPr="002A75E1" w:rsidRDefault="00764C02" w:rsidP="006512FF">
      <w:pPr>
        <w:numPr>
          <w:ilvl w:val="0"/>
          <w:numId w:val="10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Planowane przychody projektu (tj. wpłaty gotówkowe) muszą zostać wydatkowane na sfinansowanie kosztów kwalifikowalnych i/lub niekwalifikowalnych projektu. Koszty niekwalifikowalne projektu sfinansowane z przychodów projektu, wymagają udokumentowania.</w:t>
      </w:r>
    </w:p>
    <w:p w14:paraId="5F70B298" w14:textId="5400C477" w:rsidR="00862313" w:rsidRDefault="00764C02" w:rsidP="006512FF">
      <w:pPr>
        <w:numPr>
          <w:ilvl w:val="0"/>
          <w:numId w:val="1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Przychody uzyskane w wyniku realizacji projektu, niezaplanowane w budżecie projektu, pomniejszają wysokość udzielonego dofinansowania.</w:t>
      </w:r>
    </w:p>
    <w:p w14:paraId="42CF84D2" w14:textId="77777777" w:rsidR="00764C02" w:rsidRPr="002A75E1" w:rsidRDefault="00764C02" w:rsidP="009270B1">
      <w:pPr>
        <w:pStyle w:val="Nagwek2"/>
        <w:numPr>
          <w:ilvl w:val="0"/>
          <w:numId w:val="0"/>
        </w:numPr>
        <w:spacing w:before="480"/>
        <w:ind w:left="454" w:hanging="454"/>
      </w:pPr>
      <w:bookmarkStart w:id="8" w:name="_Toc105500021"/>
      <w:r w:rsidRPr="002A75E1">
        <w:t>VI.</w:t>
      </w:r>
      <w:r w:rsidRPr="002A75E1">
        <w:tab/>
        <w:t>Szczegółowe zasady kwalifikowalności kosztów</w:t>
      </w:r>
      <w:bookmarkEnd w:id="8"/>
    </w:p>
    <w:p w14:paraId="2E273592" w14:textId="77777777" w:rsidR="00764C02" w:rsidRPr="002A75E1" w:rsidRDefault="00764C02" w:rsidP="009270B1">
      <w:pPr>
        <w:pStyle w:val="Nagwek3"/>
        <w:spacing w:after="240"/>
        <w:ind w:left="624" w:hanging="624"/>
        <w:rPr>
          <w:b w:val="0"/>
        </w:rPr>
      </w:pPr>
      <w:bookmarkStart w:id="9" w:name="_Toc105500022"/>
      <w:r w:rsidRPr="002A75E1">
        <w:t>VI.1.</w:t>
      </w:r>
      <w:r w:rsidRPr="002A75E1">
        <w:tab/>
        <w:t>Koszty osobowe personelu projektu</w:t>
      </w:r>
      <w:bookmarkEnd w:id="9"/>
    </w:p>
    <w:p w14:paraId="313EEE3E" w14:textId="15FADA6B" w:rsidR="007A343D" w:rsidRDefault="00764C02" w:rsidP="006512FF">
      <w:pPr>
        <w:numPr>
          <w:ilvl w:val="2"/>
          <w:numId w:val="11"/>
        </w:numPr>
        <w:spacing w:line="276" w:lineRule="auto"/>
        <w:rPr>
          <w:rFonts w:asciiTheme="minorHAnsi" w:hAnsiTheme="minorHAnsi" w:cstheme="minorHAnsi"/>
          <w:bCs/>
        </w:rPr>
      </w:pPr>
      <w:r w:rsidRPr="002A75E1">
        <w:rPr>
          <w:rFonts w:asciiTheme="minorHAnsi" w:hAnsiTheme="minorHAnsi" w:cstheme="minorHAnsi"/>
        </w:rPr>
        <w:t>Personelem projektu są osoby, które osobiście wykonują zadania w ramach projektu, tj. w szczególności osoby zatrudnione na podstawie stosunku pracy lub stosunku cywilnoprawnego, osoby samozatrudnione, osoby wykonujące świadczenia w formie wolontariatu.</w:t>
      </w:r>
      <w:r w:rsidR="00B576B3" w:rsidRPr="002A75E1">
        <w:rPr>
          <w:rFonts w:asciiTheme="minorHAnsi" w:hAnsiTheme="minorHAnsi" w:cstheme="minorHAnsi"/>
        </w:rPr>
        <w:t xml:space="preserve"> Koszty wynagrodzenia personelu projektu wykazywane są w budżecie projektu wyłącznie w kategorii „Koszty osobowe personelu administracyjnego” </w:t>
      </w:r>
      <w:r w:rsidR="005B70BB" w:rsidRPr="002A75E1">
        <w:rPr>
          <w:rFonts w:asciiTheme="minorHAnsi" w:hAnsiTheme="minorHAnsi" w:cstheme="minorHAnsi"/>
        </w:rPr>
        <w:t>lub</w:t>
      </w:r>
      <w:r w:rsidR="00B576B3" w:rsidRPr="002A75E1">
        <w:rPr>
          <w:rFonts w:asciiTheme="minorHAnsi" w:hAnsiTheme="minorHAnsi" w:cstheme="minorHAnsi"/>
        </w:rPr>
        <w:t xml:space="preserve"> w kategorii „Koszty osobowe personelu merytorycznego”</w:t>
      </w:r>
      <w:r w:rsidR="00236CB7">
        <w:rPr>
          <w:rFonts w:asciiTheme="minorHAnsi" w:hAnsiTheme="minorHAnsi" w:cstheme="minorHAnsi"/>
        </w:rPr>
        <w:t xml:space="preserve"> – z wyłączeniem kosztów </w:t>
      </w:r>
      <w:r w:rsidR="00236CB7" w:rsidRPr="00236CB7">
        <w:rPr>
          <w:rFonts w:asciiTheme="minorHAnsi" w:hAnsiTheme="minorHAnsi" w:cstheme="minorHAnsi"/>
          <w:bCs/>
        </w:rPr>
        <w:t>wynagrodzenia z tytułu przysługującego personelowi projektu dodatkowego urlopu wypoczynkowego</w:t>
      </w:r>
      <w:r w:rsidR="00236CB7">
        <w:rPr>
          <w:rFonts w:asciiTheme="minorHAnsi" w:hAnsiTheme="minorHAnsi" w:cstheme="minorHAnsi"/>
          <w:bCs/>
        </w:rPr>
        <w:t xml:space="preserve"> oraz </w:t>
      </w:r>
      <w:r w:rsidR="00236CB7" w:rsidRPr="00236CB7">
        <w:rPr>
          <w:rFonts w:asciiTheme="minorHAnsi" w:hAnsiTheme="minorHAnsi" w:cstheme="minorHAnsi"/>
          <w:bCs/>
        </w:rPr>
        <w:t>koszt</w:t>
      </w:r>
      <w:r w:rsidR="00236CB7">
        <w:rPr>
          <w:rFonts w:asciiTheme="minorHAnsi" w:hAnsiTheme="minorHAnsi" w:cstheme="minorHAnsi"/>
          <w:bCs/>
        </w:rPr>
        <w:t xml:space="preserve">ów </w:t>
      </w:r>
      <w:r w:rsidR="00236CB7" w:rsidRPr="00236CB7">
        <w:rPr>
          <w:rFonts w:asciiTheme="minorHAnsi" w:hAnsiTheme="minorHAnsi" w:cstheme="minorHAnsi"/>
          <w:bCs/>
        </w:rPr>
        <w:t>wynagrodzenia z tytuł</w:t>
      </w:r>
      <w:r w:rsidR="00F60240">
        <w:rPr>
          <w:rFonts w:asciiTheme="minorHAnsi" w:hAnsiTheme="minorHAnsi" w:cstheme="minorHAnsi"/>
          <w:bCs/>
        </w:rPr>
        <w:t>u</w:t>
      </w:r>
      <w:r w:rsidR="00236CB7" w:rsidRPr="00236CB7">
        <w:rPr>
          <w:rFonts w:asciiTheme="minorHAnsi" w:hAnsiTheme="minorHAnsi" w:cstheme="minorHAnsi"/>
          <w:bCs/>
        </w:rPr>
        <w:t xml:space="preserve"> urlopu wypoczynkowego przysługującego osobie powracającej do pracy po długotrwałej przerwie</w:t>
      </w:r>
      <w:r w:rsidR="00236CB7">
        <w:rPr>
          <w:rFonts w:asciiTheme="minorHAnsi" w:hAnsiTheme="minorHAnsi" w:cstheme="minorHAnsi"/>
          <w:bCs/>
        </w:rPr>
        <w:t xml:space="preserve"> (</w:t>
      </w:r>
      <w:r w:rsidR="00236CB7" w:rsidRPr="00236CB7">
        <w:rPr>
          <w:rFonts w:asciiTheme="minorHAnsi" w:hAnsiTheme="minorHAnsi" w:cstheme="minorHAnsi"/>
          <w:bCs/>
        </w:rPr>
        <w:t xml:space="preserve">o ile na dzień rozpoczęcia i zakończenia przerwy osoba ta </w:t>
      </w:r>
      <w:r w:rsidR="009D47FA" w:rsidRPr="00236CB7">
        <w:rPr>
          <w:rFonts w:asciiTheme="minorHAnsi" w:hAnsiTheme="minorHAnsi" w:cstheme="minorHAnsi"/>
          <w:bCs/>
        </w:rPr>
        <w:t xml:space="preserve">była </w:t>
      </w:r>
      <w:r w:rsidR="00236CB7" w:rsidRPr="00236CB7">
        <w:rPr>
          <w:rFonts w:asciiTheme="minorHAnsi" w:hAnsiTheme="minorHAnsi" w:cstheme="minorHAnsi"/>
          <w:bCs/>
        </w:rPr>
        <w:t>zatrudniona jako personel projektu</w:t>
      </w:r>
      <w:r w:rsidR="00236CB7">
        <w:rPr>
          <w:rFonts w:asciiTheme="minorHAnsi" w:hAnsiTheme="minorHAnsi" w:cstheme="minorHAnsi"/>
          <w:bCs/>
        </w:rPr>
        <w:t>)</w:t>
      </w:r>
      <w:r w:rsidR="00236CB7" w:rsidRPr="00236CB7">
        <w:rPr>
          <w:rFonts w:asciiTheme="minorHAnsi" w:hAnsiTheme="minorHAnsi" w:cstheme="minorHAnsi"/>
          <w:bCs/>
        </w:rPr>
        <w:t>,</w:t>
      </w:r>
      <w:r w:rsidR="00236CB7">
        <w:rPr>
          <w:rFonts w:asciiTheme="minorHAnsi" w:hAnsiTheme="minorHAnsi" w:cstheme="minorHAnsi"/>
          <w:bCs/>
        </w:rPr>
        <w:t xml:space="preserve"> które wykazywane są w kategorii „Inne koszty związane z</w:t>
      </w:r>
      <w:r w:rsidR="009D47FA">
        <w:rPr>
          <w:rFonts w:asciiTheme="minorHAnsi" w:hAnsiTheme="minorHAnsi" w:cstheme="minorHAnsi"/>
          <w:bCs/>
        </w:rPr>
        <w:t> </w:t>
      </w:r>
      <w:r w:rsidR="00236CB7">
        <w:rPr>
          <w:rFonts w:asciiTheme="minorHAnsi" w:hAnsiTheme="minorHAnsi" w:cstheme="minorHAnsi"/>
          <w:bCs/>
        </w:rPr>
        <w:t>realizacją projektu”.</w:t>
      </w:r>
    </w:p>
    <w:p w14:paraId="56468FF2" w14:textId="261FFFD3" w:rsidR="0031682B" w:rsidRDefault="00764C02" w:rsidP="006512FF">
      <w:pPr>
        <w:numPr>
          <w:ilvl w:val="2"/>
          <w:numId w:val="11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Pod pojęciem „osoby samozatrudnionej” należy rozumieć osobę fizyczną prowadzącą działalność gospodarczą, wykonującą osobiście zadania w ramach projektu</w:t>
      </w:r>
      <w:r w:rsidR="00D96BEA" w:rsidRPr="002A75E1">
        <w:rPr>
          <w:rFonts w:asciiTheme="minorHAnsi" w:hAnsiTheme="minorHAnsi" w:cstheme="minorHAnsi"/>
        </w:rPr>
        <w:t xml:space="preserve"> (tj.</w:t>
      </w:r>
      <w:r w:rsidR="004751AA" w:rsidRPr="002A75E1">
        <w:rPr>
          <w:rFonts w:asciiTheme="minorHAnsi" w:hAnsiTheme="minorHAnsi" w:cstheme="minorHAnsi"/>
        </w:rPr>
        <w:t> </w:t>
      </w:r>
      <w:r w:rsidR="00D96BEA" w:rsidRPr="002A75E1">
        <w:rPr>
          <w:rFonts w:asciiTheme="minorHAnsi" w:hAnsiTheme="minorHAnsi" w:cstheme="minorHAnsi"/>
        </w:rPr>
        <w:t>bez zaangażowania innych swoich pracowników – o ile w ramach prowadzonej działalności gospodarczej zatrudnia pracowników)</w:t>
      </w:r>
      <w:r w:rsidRPr="002A75E1">
        <w:rPr>
          <w:rFonts w:asciiTheme="minorHAnsi" w:hAnsiTheme="minorHAnsi" w:cstheme="minorHAnsi"/>
        </w:rPr>
        <w:t>.</w:t>
      </w:r>
      <w:r w:rsidR="00D96BEA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Koszty wynagrodzenia osoby samozatrudnionej wykazywane są w kosztach osobowych.</w:t>
      </w:r>
    </w:p>
    <w:p w14:paraId="6C0D256E" w14:textId="0FD3DAAD" w:rsidR="00D76264" w:rsidRDefault="00764C02" w:rsidP="006512FF">
      <w:pPr>
        <w:numPr>
          <w:ilvl w:val="2"/>
          <w:numId w:val="11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 kwalifikowalne uznaje się wynagrodzenie wraz z obowiązkowymi składkami na ubezpieczenia społeczne należnymi od pracownika i pracodawcy oraz innymi obowiązkowymi składkami lub wpłatami wynikającymi z przepisów prawa (m.in. Fundusz Pracy, Fundusz Gwarantowanych Świadczeń Pracowniczych, odpisy na Zakładowy Fundusz Świadczeń Socjalnych). Kwalifikowalne jest wynagrodzenie w części odpowiadającej zaangażowaniu pracownika do realizacji projektu.</w:t>
      </w:r>
      <w:r w:rsidR="00D76264">
        <w:rPr>
          <w:rFonts w:asciiTheme="minorHAnsi" w:hAnsiTheme="minorHAnsi" w:cstheme="minorHAnsi"/>
        </w:rPr>
        <w:br w:type="page"/>
      </w:r>
    </w:p>
    <w:p w14:paraId="4F61EA17" w14:textId="77777777" w:rsidR="00764C02" w:rsidRPr="002A75E1" w:rsidRDefault="00764C02" w:rsidP="006512FF">
      <w:pPr>
        <w:numPr>
          <w:ilvl w:val="2"/>
          <w:numId w:val="11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Kosztami kwalifikowalnymi mogą być również nagrody, z wyłączeniem nagrody jubileuszowej, lub premie, o ile:</w:t>
      </w:r>
    </w:p>
    <w:p w14:paraId="7A5E5B61" w14:textId="77777777" w:rsidR="00764C02" w:rsidRPr="002A75E1" w:rsidRDefault="00764C02" w:rsidP="006512FF">
      <w:pPr>
        <w:numPr>
          <w:ilvl w:val="0"/>
          <w:numId w:val="23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zostały przewidziane w regulaminie pracy lub regulaminie wynagradzania Wnioskodawcy i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obejmują potencjalnie wszy</w:t>
      </w:r>
      <w:r w:rsidR="0096553B" w:rsidRPr="002A75E1">
        <w:rPr>
          <w:rFonts w:asciiTheme="minorHAnsi" w:hAnsiTheme="minorHAnsi" w:cstheme="minorHAnsi"/>
        </w:rPr>
        <w:t>stkich pracowników Wnioskodawcy;</w:t>
      </w:r>
    </w:p>
    <w:p w14:paraId="10E48F14" w14:textId="77777777" w:rsidR="00764C02" w:rsidRPr="002A75E1" w:rsidRDefault="00764C02" w:rsidP="006512FF">
      <w:pPr>
        <w:numPr>
          <w:ilvl w:val="0"/>
          <w:numId w:val="23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zostały wprowadzone u Wnioskodawcy w okresie przynajmniej 6 miesięcy przed złożeniem wnio</w:t>
      </w:r>
      <w:r w:rsidR="0096553B" w:rsidRPr="002A75E1">
        <w:rPr>
          <w:rFonts w:asciiTheme="minorHAnsi" w:hAnsiTheme="minorHAnsi" w:cstheme="minorHAnsi"/>
        </w:rPr>
        <w:t>sku o zlecenie realizacji zadań;</w:t>
      </w:r>
    </w:p>
    <w:p w14:paraId="2B51A90A" w14:textId="77777777" w:rsidR="00764C02" w:rsidRPr="002A75E1" w:rsidRDefault="00764C02" w:rsidP="006512FF">
      <w:pPr>
        <w:numPr>
          <w:ilvl w:val="0"/>
          <w:numId w:val="23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dotyczą personelu projektu zatrudnionego na podstawie stosunku pracy.</w:t>
      </w:r>
    </w:p>
    <w:p w14:paraId="76CEB600" w14:textId="4AB511A5" w:rsidR="00862313" w:rsidRDefault="00764C02" w:rsidP="006512FF">
      <w:pPr>
        <w:numPr>
          <w:ilvl w:val="2"/>
          <w:numId w:val="11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Regulaminowe premie uznaniowe są przyjmowane jako koszt kwalifikowalny jedynie w sytuacji, gdy w wyniku realizacji projektu zostaną osiągnięte efekty (rezultaty) wyższe od zakładanych na etapie składania wniosku do PFRON.</w:t>
      </w:r>
    </w:p>
    <w:p w14:paraId="1F9B4085" w14:textId="77777777" w:rsidR="005C2DD2" w:rsidRPr="001402A7" w:rsidRDefault="005C2DD2" w:rsidP="005C2DD2">
      <w:pPr>
        <w:numPr>
          <w:ilvl w:val="2"/>
          <w:numId w:val="11"/>
        </w:numPr>
        <w:spacing w:before="120" w:line="276" w:lineRule="auto"/>
        <w:rPr>
          <w:rFonts w:asciiTheme="minorHAnsi" w:hAnsiTheme="minorHAnsi" w:cstheme="minorHAnsi"/>
        </w:rPr>
      </w:pPr>
      <w:bookmarkStart w:id="10" w:name="_Hlk104203507"/>
      <w:r w:rsidRPr="002A75E1">
        <w:rPr>
          <w:rFonts w:asciiTheme="minorHAnsi" w:hAnsiTheme="minorHAnsi" w:cstheme="minorHAnsi"/>
        </w:rPr>
        <w:t>W sytuacji, gdy Wnioskodawca zatrudnia do realizacji projektu osobę niepełnosprawną, za kwalifikowalne uznaje się wynagrodzenie pomniejszone o miesięczne dofinansowanie do wynagrodzenia tego pracownika uzyskane przez Wnioskodawcę w ramach art. 26a ustawy o rehabilitacji.</w:t>
      </w:r>
      <w:r w:rsidRPr="001402A7">
        <w:rPr>
          <w:rFonts w:asciiTheme="minorHAnsi" w:hAnsiTheme="minorHAnsi" w:cstheme="minorHAnsi"/>
        </w:rPr>
        <w:t xml:space="preserve"> </w:t>
      </w:r>
      <w:bookmarkEnd w:id="10"/>
      <w:r w:rsidRPr="001402A7">
        <w:rPr>
          <w:rFonts w:ascii="Calibri" w:eastAsiaTheme="minorHAnsi" w:hAnsi="Calibri" w:cs="Calibri"/>
        </w:rPr>
        <w:t xml:space="preserve">Wynagrodzenie pracownika w części etatu odpowiadającej jego zaangażowaniu w realizację projektu zostaje pomniejszone o kwotę dofinansowania uzyskaną w ramach art. 26a ustawy o rehabilitacji, proporcjonalnie do udziału części etatu w projekcie do wymiaru etatu na który Zleceniobiorca otrzymał dofinansowanie </w:t>
      </w:r>
      <w:r>
        <w:rPr>
          <w:rFonts w:ascii="Calibri" w:eastAsiaTheme="minorHAnsi" w:hAnsi="Calibri" w:cs="Calibri"/>
        </w:rPr>
        <w:t xml:space="preserve">w ramach </w:t>
      </w:r>
      <w:r w:rsidRPr="001402A7">
        <w:rPr>
          <w:rFonts w:ascii="Calibri" w:eastAsiaTheme="minorHAnsi" w:hAnsi="Calibri" w:cs="Calibri"/>
        </w:rPr>
        <w:t>art.</w:t>
      </w:r>
      <w:r>
        <w:rPr>
          <w:rFonts w:ascii="Calibri" w:eastAsiaTheme="minorHAnsi" w:hAnsi="Calibri" w:cs="Calibri"/>
        </w:rPr>
        <w:t> </w:t>
      </w:r>
      <w:r w:rsidRPr="001402A7">
        <w:rPr>
          <w:rFonts w:ascii="Calibri" w:eastAsiaTheme="minorHAnsi" w:hAnsi="Calibri" w:cs="Calibri"/>
        </w:rPr>
        <w:t>26a ustawy o</w:t>
      </w:r>
      <w:r>
        <w:rPr>
          <w:rFonts w:ascii="Calibri" w:eastAsiaTheme="minorHAnsi" w:hAnsi="Calibri" w:cs="Calibri"/>
        </w:rPr>
        <w:t> </w:t>
      </w:r>
      <w:r w:rsidRPr="001402A7">
        <w:rPr>
          <w:rFonts w:ascii="Calibri" w:eastAsiaTheme="minorHAnsi" w:hAnsi="Calibri" w:cs="Calibri"/>
        </w:rPr>
        <w:t xml:space="preserve">rehabilitacji. </w:t>
      </w:r>
      <w:r>
        <w:rPr>
          <w:rFonts w:ascii="Calibri" w:eastAsiaTheme="minorHAnsi" w:hAnsi="Calibri" w:cs="Calibri"/>
        </w:rPr>
        <w:t>Rozliczenie ww. kosztów wynagrodzeń następuje wg następującego wzoru</w:t>
      </w:r>
      <w:r w:rsidRPr="001402A7">
        <w:rPr>
          <w:rFonts w:ascii="Calibri" w:eastAsiaTheme="minorHAnsi" w:hAnsi="Calibri" w:cs="Calibri"/>
        </w:rPr>
        <w:t>:</w:t>
      </w:r>
    </w:p>
    <w:p w14:paraId="2206E6E4" w14:textId="77777777" w:rsidR="005C2DD2" w:rsidRDefault="005C2DD2" w:rsidP="005C2DD2">
      <w:pPr>
        <w:spacing w:before="120" w:line="276" w:lineRule="auto"/>
        <w:ind w:left="357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RW</w:t>
      </w:r>
      <w:r w:rsidRPr="001402A7">
        <w:rPr>
          <w:rFonts w:ascii="Calibri" w:eastAsiaTheme="minorHAnsi" w:hAnsi="Calibri" w:cs="Calibri"/>
        </w:rPr>
        <w:t xml:space="preserve"> = Y – ((X/A) * B)</w:t>
      </w:r>
    </w:p>
    <w:p w14:paraId="7DD4719F" w14:textId="77777777" w:rsidR="005C2DD2" w:rsidRPr="001402A7" w:rsidRDefault="005C2DD2" w:rsidP="005C2DD2">
      <w:pPr>
        <w:spacing w:before="120" w:line="276" w:lineRule="auto"/>
        <w:ind w:left="357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RW</w:t>
      </w:r>
      <w:r w:rsidRPr="001402A7">
        <w:rPr>
          <w:rFonts w:ascii="Calibri" w:eastAsiaTheme="minorHAnsi" w:hAnsi="Calibri" w:cs="Calibri"/>
        </w:rPr>
        <w:t xml:space="preserve"> –</w:t>
      </w:r>
      <w:r>
        <w:rPr>
          <w:rFonts w:ascii="Calibri" w:eastAsiaTheme="minorHAnsi" w:hAnsi="Calibri" w:cs="Calibri"/>
        </w:rPr>
        <w:t xml:space="preserve">rozliczenie </w:t>
      </w:r>
      <w:r w:rsidRPr="001402A7">
        <w:rPr>
          <w:rFonts w:ascii="Calibri" w:eastAsiaTheme="minorHAnsi" w:hAnsi="Calibri" w:cs="Calibri"/>
        </w:rPr>
        <w:t>kwoty wynagrodzenia w projekcie</w:t>
      </w:r>
    </w:p>
    <w:p w14:paraId="5A17D4D3" w14:textId="0395400B" w:rsidR="005C2DD2" w:rsidRPr="001402A7" w:rsidRDefault="005C2DD2" w:rsidP="005C2DD2">
      <w:pPr>
        <w:spacing w:before="120" w:line="276" w:lineRule="auto"/>
        <w:ind w:left="357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Y – kwota wynagrodzenia w projekcie</w:t>
      </w:r>
      <w:r w:rsidR="00963A02" w:rsidRPr="00963A02">
        <w:t xml:space="preserve"> </w:t>
      </w:r>
      <w:r w:rsidR="00963A02">
        <w:t>(</w:t>
      </w:r>
      <w:r w:rsidR="00963A02" w:rsidRPr="00963A02">
        <w:rPr>
          <w:rFonts w:ascii="Calibri" w:eastAsiaTheme="minorHAnsi" w:hAnsi="Calibri" w:cs="Calibri"/>
        </w:rPr>
        <w:t>za tę część etatu, która wynika z zaangażowania w</w:t>
      </w:r>
      <w:r w:rsidR="00963A02">
        <w:rPr>
          <w:rFonts w:ascii="Calibri" w:eastAsiaTheme="minorHAnsi" w:hAnsi="Calibri" w:cs="Calibri"/>
        </w:rPr>
        <w:t> </w:t>
      </w:r>
      <w:r w:rsidR="00963A02" w:rsidRPr="00963A02">
        <w:rPr>
          <w:rFonts w:ascii="Calibri" w:eastAsiaTheme="minorHAnsi" w:hAnsi="Calibri" w:cs="Calibri"/>
        </w:rPr>
        <w:t>realizację projektu</w:t>
      </w:r>
      <w:r w:rsidR="00963A02">
        <w:rPr>
          <w:rFonts w:ascii="Calibri" w:eastAsiaTheme="minorHAnsi" w:hAnsi="Calibri" w:cs="Calibri"/>
        </w:rPr>
        <w:t>)</w:t>
      </w:r>
    </w:p>
    <w:p w14:paraId="5F4C8A6D" w14:textId="77777777" w:rsidR="005C2DD2" w:rsidRPr="001402A7" w:rsidRDefault="005C2DD2" w:rsidP="005C2DD2">
      <w:pPr>
        <w:spacing w:before="120" w:line="276" w:lineRule="auto"/>
        <w:ind w:left="357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X – wymiar etatu w projekcie</w:t>
      </w:r>
    </w:p>
    <w:p w14:paraId="16676765" w14:textId="77777777" w:rsidR="005C2DD2" w:rsidRPr="001402A7" w:rsidRDefault="005C2DD2" w:rsidP="005C2DD2">
      <w:pPr>
        <w:spacing w:before="120" w:line="276" w:lineRule="auto"/>
        <w:ind w:left="357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A – wymiar etatu na który uzyskano dofinansowanie</w:t>
      </w:r>
      <w:r w:rsidRPr="001E2642">
        <w:rPr>
          <w:rFonts w:ascii="Calibri" w:eastAsiaTheme="minorHAnsi" w:hAnsi="Calibri" w:cs="Calibri"/>
        </w:rPr>
        <w:t xml:space="preserve"> </w:t>
      </w:r>
      <w:r>
        <w:rPr>
          <w:rFonts w:ascii="Calibri" w:eastAsiaTheme="minorHAnsi" w:hAnsi="Calibri" w:cs="Calibri"/>
        </w:rPr>
        <w:t>w ramach art. 26 ustawy o rehabilitacji</w:t>
      </w:r>
    </w:p>
    <w:p w14:paraId="17F64178" w14:textId="595E0B3F" w:rsidR="005C2DD2" w:rsidRPr="001402A7" w:rsidRDefault="005C2DD2" w:rsidP="005C2DD2">
      <w:pPr>
        <w:spacing w:before="120" w:line="276" w:lineRule="auto"/>
        <w:ind w:left="357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B –</w:t>
      </w:r>
      <w:r w:rsidR="00963A02">
        <w:rPr>
          <w:rFonts w:ascii="Calibri" w:eastAsiaTheme="minorHAnsi" w:hAnsi="Calibri" w:cs="Calibri"/>
        </w:rPr>
        <w:t xml:space="preserve"> faktycznie uzyskana </w:t>
      </w:r>
      <w:r w:rsidRPr="001402A7">
        <w:rPr>
          <w:rFonts w:ascii="Calibri" w:eastAsiaTheme="minorHAnsi" w:hAnsi="Calibri" w:cs="Calibri"/>
        </w:rPr>
        <w:t xml:space="preserve">kwota dofinansowania </w:t>
      </w:r>
      <w:r>
        <w:rPr>
          <w:rFonts w:ascii="Calibri" w:eastAsiaTheme="minorHAnsi" w:hAnsi="Calibri" w:cs="Calibri"/>
        </w:rPr>
        <w:t>w ramach art. 26 ustawy o rehabilitacji.</w:t>
      </w:r>
      <w:bookmarkStart w:id="11" w:name="_Hlk104203333"/>
    </w:p>
    <w:bookmarkEnd w:id="11"/>
    <w:p w14:paraId="0CF9B150" w14:textId="77777777" w:rsidR="00764C02" w:rsidRPr="002A75E1" w:rsidRDefault="00764C02" w:rsidP="006512FF">
      <w:pPr>
        <w:numPr>
          <w:ilvl w:val="2"/>
          <w:numId w:val="11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Koszty wynagrodzenia osoby zatrudnionej w projekcie na podstawie stosunku pracy są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kwalifikowalne, o ile:</w:t>
      </w:r>
    </w:p>
    <w:p w14:paraId="6213F4FF" w14:textId="34A603F7" w:rsidR="0031682B" w:rsidRDefault="00764C02" w:rsidP="006512FF">
      <w:pPr>
        <w:numPr>
          <w:ilvl w:val="0"/>
          <w:numId w:val="12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>pracownik jest zatrudniony lub oddelegowany w celu wykonywania zadań związanych bezpośrednio z realizacją projektu (pod pojęciem „oddelegowania” należy rozumieć zmianę obowiązków służbowych pracownik</w:t>
      </w:r>
      <w:r w:rsidR="0096553B" w:rsidRPr="002A75E1">
        <w:rPr>
          <w:rFonts w:asciiTheme="minorHAnsi" w:hAnsiTheme="minorHAnsi" w:cstheme="minorHAnsi"/>
          <w:color w:val="000000"/>
        </w:rPr>
        <w:t>a na okres realizacji projektu);</w:t>
      </w:r>
    </w:p>
    <w:p w14:paraId="32AAB78D" w14:textId="13520AD7" w:rsidR="00D76264" w:rsidRDefault="00764C02" w:rsidP="006512FF">
      <w:pPr>
        <w:numPr>
          <w:ilvl w:val="0"/>
          <w:numId w:val="12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>zatrudnienie lub oddelegowanie do pełnienia zadań związanych z realizacją projektu jest odpowiednio udokumentowane postanowieniami umowy o pracę lub zakresem czynności służbowych pracownika lub opisem stanowiska pracy (przez „odpowiednie udokumentowanie” należy rozumieć m.in. wskazanie w ww. dokumentach nazwy projektu oraz wszystkich zadań, które dana osoba będzie wykonywała w ramach tego projektu).</w:t>
      </w:r>
      <w:r w:rsidR="00D76264">
        <w:rPr>
          <w:rFonts w:asciiTheme="minorHAnsi" w:hAnsiTheme="minorHAnsi" w:cstheme="minorHAnsi"/>
          <w:color w:val="000000"/>
        </w:rPr>
        <w:br w:type="page"/>
      </w:r>
    </w:p>
    <w:p w14:paraId="5A5058B0" w14:textId="77777777" w:rsidR="00764C02" w:rsidRPr="002A75E1" w:rsidRDefault="00764C02" w:rsidP="006512FF">
      <w:pPr>
        <w:numPr>
          <w:ilvl w:val="2"/>
          <w:numId w:val="11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 xml:space="preserve">Koszty wynagrodzenia osoby zatrudnionej w projekcie na </w:t>
      </w:r>
      <w:r w:rsidR="005F5B1A" w:rsidRPr="002A75E1">
        <w:rPr>
          <w:rFonts w:asciiTheme="minorHAnsi" w:hAnsiTheme="minorHAnsi" w:cstheme="minorHAnsi"/>
        </w:rPr>
        <w:t xml:space="preserve">podstawie umowy cywilnoprawnej, </w:t>
      </w:r>
      <w:r w:rsidRPr="002A75E1">
        <w:rPr>
          <w:rFonts w:asciiTheme="minorHAnsi" w:hAnsiTheme="minorHAnsi" w:cstheme="minorHAnsi"/>
        </w:rPr>
        <w:t>która jest jednocześnie zatrudniona u</w:t>
      </w:r>
      <w:r w:rsidR="00B25240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Zleceniobiorcy (lub</w:t>
      </w:r>
      <w:r w:rsidR="00B25240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w</w:t>
      </w:r>
      <w:r w:rsidR="0068649D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jednostkach organizacyjnych Zleceniobiorcy) na podstawie umowy o pracę są</w:t>
      </w:r>
      <w:r w:rsidR="00D0392F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kwalifikowalne, o ile:</w:t>
      </w:r>
    </w:p>
    <w:p w14:paraId="5767482E" w14:textId="77777777" w:rsidR="00764C02" w:rsidRPr="002A75E1" w:rsidRDefault="00764C02" w:rsidP="006512FF">
      <w:pPr>
        <w:numPr>
          <w:ilvl w:val="0"/>
          <w:numId w:val="13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zakres zadań zleconych w formie umowy cywilnopra</w:t>
      </w:r>
      <w:r w:rsidR="0096553B" w:rsidRPr="002A75E1">
        <w:rPr>
          <w:rFonts w:asciiTheme="minorHAnsi" w:hAnsiTheme="minorHAnsi" w:cstheme="minorHAnsi"/>
        </w:rPr>
        <w:t>wnej</w:t>
      </w:r>
      <w:r w:rsidR="00282E7A" w:rsidRPr="002A75E1">
        <w:rPr>
          <w:rFonts w:asciiTheme="minorHAnsi" w:hAnsiTheme="minorHAnsi" w:cstheme="minorHAnsi"/>
        </w:rPr>
        <w:t xml:space="preserve"> </w:t>
      </w:r>
      <w:r w:rsidR="0096553B" w:rsidRPr="002A75E1">
        <w:rPr>
          <w:rFonts w:asciiTheme="minorHAnsi" w:hAnsiTheme="minorHAnsi" w:cstheme="minorHAnsi"/>
        </w:rPr>
        <w:t>jest precyzyjnie określony;</w:t>
      </w:r>
    </w:p>
    <w:p w14:paraId="3048EA4C" w14:textId="77777777" w:rsidR="00764C02" w:rsidRPr="002A75E1" w:rsidRDefault="00764C02" w:rsidP="006512FF">
      <w:pPr>
        <w:numPr>
          <w:ilvl w:val="0"/>
          <w:numId w:val="13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zaangażowanie w ramach stosunku pracy pozwala na prawidłowe i efektywne wykonywanie zada</w:t>
      </w:r>
      <w:r w:rsidR="0096553B" w:rsidRPr="002A75E1">
        <w:rPr>
          <w:rFonts w:asciiTheme="minorHAnsi" w:hAnsiTheme="minorHAnsi" w:cstheme="minorHAnsi"/>
        </w:rPr>
        <w:t>ń w ramach umowy cywilnoprawnej;</w:t>
      </w:r>
    </w:p>
    <w:p w14:paraId="78513A6D" w14:textId="77777777" w:rsidR="00764C02" w:rsidRPr="002A75E1" w:rsidRDefault="00764C02" w:rsidP="006512FF">
      <w:pPr>
        <w:numPr>
          <w:ilvl w:val="0"/>
          <w:numId w:val="13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 ramach umowy cywilnoprawnej pracownik wykonuje pracę rodzajowo różną od</w:t>
      </w:r>
      <w:r w:rsidR="0068649D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pracy wykonywanej na podstawie stosunku pracy (dotyczy osób zatrudnionych w</w:t>
      </w:r>
      <w:r w:rsidR="0087183A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tym samym projekcie na podstawie umowy o pracę oraz na </w:t>
      </w:r>
      <w:r w:rsidR="0096553B" w:rsidRPr="002A75E1">
        <w:rPr>
          <w:rFonts w:asciiTheme="minorHAnsi" w:hAnsiTheme="minorHAnsi" w:cstheme="minorHAnsi"/>
        </w:rPr>
        <w:t>podstawie umowy cywilnoprawnej);</w:t>
      </w:r>
    </w:p>
    <w:p w14:paraId="5F3B591D" w14:textId="77777777" w:rsidR="00764C02" w:rsidRPr="002A75E1" w:rsidRDefault="00764C02" w:rsidP="006512FF">
      <w:pPr>
        <w:numPr>
          <w:ilvl w:val="0"/>
          <w:numId w:val="13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łączne zaangażowanie w realizację zadań wykonywanych zarówno na podstawie umowy o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pracę jak również umowy cywilnoprawnej nie przekracza </w:t>
      </w:r>
      <w:r w:rsidR="00324A18" w:rsidRPr="002A75E1">
        <w:rPr>
          <w:rFonts w:asciiTheme="minorHAnsi" w:hAnsiTheme="minorHAnsi" w:cstheme="minorHAnsi"/>
        </w:rPr>
        <w:t xml:space="preserve">276 </w:t>
      </w:r>
      <w:r w:rsidRPr="002A75E1">
        <w:rPr>
          <w:rFonts w:asciiTheme="minorHAnsi" w:hAnsiTheme="minorHAnsi" w:cstheme="minorHAnsi"/>
        </w:rPr>
        <w:t>g</w:t>
      </w:r>
      <w:r w:rsidR="0096553B" w:rsidRPr="002A75E1">
        <w:rPr>
          <w:rFonts w:asciiTheme="minorHAnsi" w:hAnsiTheme="minorHAnsi" w:cstheme="minorHAnsi"/>
        </w:rPr>
        <w:t>odzin miesięcznie;</w:t>
      </w:r>
    </w:p>
    <w:p w14:paraId="02D68E92" w14:textId="77777777" w:rsidR="00764C02" w:rsidRPr="002A75E1" w:rsidRDefault="00764C02" w:rsidP="006512FF">
      <w:pPr>
        <w:numPr>
          <w:ilvl w:val="0"/>
          <w:numId w:val="13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osoba ta prowadzi ewidencję godzin oraz zadań wykonanych w ramach projektu.</w:t>
      </w:r>
    </w:p>
    <w:p w14:paraId="7C283321" w14:textId="77777777" w:rsidR="00764C02" w:rsidRPr="002A75E1" w:rsidRDefault="00764C02" w:rsidP="006512FF">
      <w:pPr>
        <w:numPr>
          <w:ilvl w:val="2"/>
          <w:numId w:val="11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Koszty wynagrodzenia osoby zatrudnionej w projekcie na podstawie więcej niż jednej umowy cywilnoprawnej lub zatrudnionej w więcej niż jednym projekcie dofinansowanym ze środków PFRON są kwalifikowalne, o ile:</w:t>
      </w:r>
    </w:p>
    <w:p w14:paraId="2D3E6CC2" w14:textId="77777777" w:rsidR="00764C02" w:rsidRPr="002A75E1" w:rsidRDefault="00764C02" w:rsidP="006512FF">
      <w:pPr>
        <w:numPr>
          <w:ilvl w:val="0"/>
          <w:numId w:val="21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obciążenie z tego wynikające nie wyklucza możliwości prawidłowej i efektywnej realizacji wszystkich </w:t>
      </w:r>
      <w:r w:rsidR="0096553B" w:rsidRPr="002A75E1">
        <w:rPr>
          <w:rFonts w:asciiTheme="minorHAnsi" w:hAnsiTheme="minorHAnsi" w:cstheme="minorHAnsi"/>
        </w:rPr>
        <w:t>zadań powierzonych danej osobie;</w:t>
      </w:r>
    </w:p>
    <w:p w14:paraId="4EDF0AF1" w14:textId="77777777" w:rsidR="00764C02" w:rsidRPr="002A75E1" w:rsidRDefault="00764C02" w:rsidP="006512FF">
      <w:pPr>
        <w:numPr>
          <w:ilvl w:val="0"/>
          <w:numId w:val="21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łączne zaangażowanie w realizację zadań wykonywanych w projekcie na podstawie więcej niż jednej umowy cywilnoprawnej nie pr</w:t>
      </w:r>
      <w:r w:rsidR="0096553B" w:rsidRPr="002A75E1">
        <w:rPr>
          <w:rFonts w:asciiTheme="minorHAnsi" w:hAnsiTheme="minorHAnsi" w:cstheme="minorHAnsi"/>
        </w:rPr>
        <w:t xml:space="preserve">zekracza </w:t>
      </w:r>
      <w:r w:rsidR="00324A18" w:rsidRPr="002A75E1">
        <w:rPr>
          <w:rFonts w:asciiTheme="minorHAnsi" w:hAnsiTheme="minorHAnsi" w:cstheme="minorHAnsi"/>
        </w:rPr>
        <w:t xml:space="preserve">276 </w:t>
      </w:r>
      <w:r w:rsidR="0096553B" w:rsidRPr="002A75E1">
        <w:rPr>
          <w:rFonts w:asciiTheme="minorHAnsi" w:hAnsiTheme="minorHAnsi" w:cstheme="minorHAnsi"/>
        </w:rPr>
        <w:t>godzin miesięcznie;</w:t>
      </w:r>
    </w:p>
    <w:p w14:paraId="5DB3AFCB" w14:textId="77777777" w:rsidR="00764C02" w:rsidRPr="002A75E1" w:rsidRDefault="00764C02" w:rsidP="006512FF">
      <w:pPr>
        <w:numPr>
          <w:ilvl w:val="0"/>
          <w:numId w:val="21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łączne zaangażowanie w realizację zadań we wszystkich projektach dofinansowanych ze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środków PFRON nie pr</w:t>
      </w:r>
      <w:r w:rsidR="0096553B" w:rsidRPr="002A75E1">
        <w:rPr>
          <w:rFonts w:asciiTheme="minorHAnsi" w:hAnsiTheme="minorHAnsi" w:cstheme="minorHAnsi"/>
        </w:rPr>
        <w:t xml:space="preserve">zekracza </w:t>
      </w:r>
      <w:r w:rsidR="00324A18" w:rsidRPr="002A75E1">
        <w:rPr>
          <w:rFonts w:asciiTheme="minorHAnsi" w:hAnsiTheme="minorHAnsi" w:cstheme="minorHAnsi"/>
        </w:rPr>
        <w:t xml:space="preserve">276 </w:t>
      </w:r>
      <w:r w:rsidR="0096553B" w:rsidRPr="002A75E1">
        <w:rPr>
          <w:rFonts w:asciiTheme="minorHAnsi" w:hAnsiTheme="minorHAnsi" w:cstheme="minorHAnsi"/>
        </w:rPr>
        <w:t>godzin miesięcznie;</w:t>
      </w:r>
    </w:p>
    <w:p w14:paraId="516BDC55" w14:textId="77777777" w:rsidR="00764C02" w:rsidRPr="002A75E1" w:rsidRDefault="00764C02" w:rsidP="006512FF">
      <w:pPr>
        <w:numPr>
          <w:ilvl w:val="0"/>
          <w:numId w:val="21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osoba ta prowadzi ewidencję godzin oraz zadań wykonanych w ramach projektu (w ramach każdego z projektów dofinansowanych ze środków PFRON).</w:t>
      </w:r>
    </w:p>
    <w:p w14:paraId="31F07DB3" w14:textId="77777777" w:rsidR="00764C02" w:rsidRPr="002A75E1" w:rsidRDefault="00764C02" w:rsidP="006512FF">
      <w:pPr>
        <w:numPr>
          <w:ilvl w:val="2"/>
          <w:numId w:val="11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Osoba zatrudniona w projekcie na podstawie umowy o pracę lub umowy cywilnoprawnej może jednocześnie świadczyć w tym projekcie pracę jako wolontariusz (wartość tej pracy może być wykazana jako wkład własny niefinansowy osobowy), o ile:</w:t>
      </w:r>
    </w:p>
    <w:p w14:paraId="7213072D" w14:textId="77777777" w:rsidR="00764C02" w:rsidRPr="002A75E1" w:rsidRDefault="00764C02" w:rsidP="006512FF">
      <w:pPr>
        <w:numPr>
          <w:ilvl w:val="0"/>
          <w:numId w:val="22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praca w formie wolontariatu świadczona jest poza godzinami wykonywania obowiązków służbowych wynikających z umowy o</w:t>
      </w:r>
      <w:r w:rsidR="0096553B" w:rsidRPr="002A75E1">
        <w:rPr>
          <w:rFonts w:asciiTheme="minorHAnsi" w:hAnsiTheme="minorHAnsi" w:cstheme="minorHAnsi"/>
        </w:rPr>
        <w:t xml:space="preserve"> pracę lub umowy cywilnoprawnej;</w:t>
      </w:r>
    </w:p>
    <w:p w14:paraId="5F0750AB" w14:textId="77777777" w:rsidR="00764C02" w:rsidRPr="002A75E1" w:rsidRDefault="00764C02" w:rsidP="006512FF">
      <w:pPr>
        <w:numPr>
          <w:ilvl w:val="0"/>
          <w:numId w:val="22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łączne zaangażowanie w realizację zadań w projekcie (wykonywanych zarówno na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podstawie umowy o pracę, umowy cywilnoprawnej jak również na podstawie porozumienia zawartego z wolontariuszem) nie pr</w:t>
      </w:r>
      <w:r w:rsidR="0096553B" w:rsidRPr="002A75E1">
        <w:rPr>
          <w:rFonts w:asciiTheme="minorHAnsi" w:hAnsiTheme="minorHAnsi" w:cstheme="minorHAnsi"/>
        </w:rPr>
        <w:t xml:space="preserve">zekracza </w:t>
      </w:r>
      <w:r w:rsidR="00324A18" w:rsidRPr="002A75E1">
        <w:rPr>
          <w:rFonts w:asciiTheme="minorHAnsi" w:hAnsiTheme="minorHAnsi" w:cstheme="minorHAnsi"/>
        </w:rPr>
        <w:t xml:space="preserve">276 </w:t>
      </w:r>
      <w:r w:rsidR="0096553B" w:rsidRPr="002A75E1">
        <w:rPr>
          <w:rFonts w:asciiTheme="minorHAnsi" w:hAnsiTheme="minorHAnsi" w:cstheme="minorHAnsi"/>
        </w:rPr>
        <w:t>godzin miesięcznie;</w:t>
      </w:r>
    </w:p>
    <w:p w14:paraId="36AE8BC2" w14:textId="55563A2A" w:rsidR="00D76264" w:rsidRDefault="00764C02" w:rsidP="006512FF">
      <w:pPr>
        <w:numPr>
          <w:ilvl w:val="0"/>
          <w:numId w:val="22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osoba ta prowadzi ewidencję godzin oraz zadań wykonanych w ramach projektu.</w:t>
      </w:r>
      <w:r w:rsidR="00D76264">
        <w:rPr>
          <w:rFonts w:asciiTheme="minorHAnsi" w:hAnsiTheme="minorHAnsi" w:cstheme="minorHAnsi"/>
        </w:rPr>
        <w:br w:type="page"/>
      </w:r>
    </w:p>
    <w:p w14:paraId="613470EF" w14:textId="592AD2E7" w:rsidR="00D76264" w:rsidRDefault="00764C02" w:rsidP="006512FF">
      <w:pPr>
        <w:numPr>
          <w:ilvl w:val="2"/>
          <w:numId w:val="11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Ewidencja</w:t>
      </w:r>
      <w:r w:rsidR="00AA1FD5" w:rsidRPr="00AA1FD5">
        <w:rPr>
          <w:rFonts w:asciiTheme="minorHAnsi" w:hAnsiTheme="minorHAnsi" w:cstheme="minorHAnsi"/>
        </w:rPr>
        <w:t xml:space="preserve"> </w:t>
      </w:r>
      <w:r w:rsidR="00AA1FD5" w:rsidRPr="002A75E1">
        <w:rPr>
          <w:rFonts w:asciiTheme="minorHAnsi" w:hAnsiTheme="minorHAnsi" w:cstheme="minorHAnsi"/>
        </w:rPr>
        <w:t>godzin oraz zadań wykonanych w ramach projektu</w:t>
      </w:r>
      <w:r w:rsidRPr="002A75E1">
        <w:rPr>
          <w:rFonts w:asciiTheme="minorHAnsi" w:hAnsiTheme="minorHAnsi" w:cstheme="minorHAnsi"/>
        </w:rPr>
        <w:t xml:space="preserve">, może podlegać </w:t>
      </w:r>
      <w:r w:rsidR="00311C80" w:rsidRPr="002A75E1">
        <w:rPr>
          <w:rFonts w:asciiTheme="minorHAnsi" w:hAnsiTheme="minorHAnsi" w:cstheme="minorHAnsi"/>
        </w:rPr>
        <w:t xml:space="preserve">weryfikacji </w:t>
      </w:r>
      <w:r w:rsidRPr="002A75E1">
        <w:rPr>
          <w:rFonts w:asciiTheme="minorHAnsi" w:hAnsiTheme="minorHAnsi" w:cstheme="minorHAnsi"/>
        </w:rPr>
        <w:t xml:space="preserve">przez PFRON. Z ewidencji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wynikać jakie zadania, w</w:t>
      </w:r>
      <w:r w:rsidR="004751A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ramach jakiej umowy i</w:t>
      </w:r>
      <w:r w:rsidR="0087183A" w:rsidRPr="002A75E1">
        <w:rPr>
          <w:rFonts w:asciiTheme="minorHAnsi" w:hAnsiTheme="minorHAnsi" w:cstheme="minorHAnsi"/>
        </w:rPr>
        <w:t> w </w:t>
      </w:r>
      <w:r w:rsidRPr="002A75E1">
        <w:rPr>
          <w:rFonts w:asciiTheme="minorHAnsi" w:hAnsiTheme="minorHAnsi" w:cstheme="minorHAnsi"/>
        </w:rPr>
        <w:t>jakich godzinach wykonywała dana osoba każdego dnia (nie</w:t>
      </w:r>
      <w:r w:rsidR="004751A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jest wymagane szczegółowe wykazywanie poszczególnych czynności w</w:t>
      </w:r>
      <w:r w:rsidR="0063489D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ramach danej umowy). </w:t>
      </w:r>
      <w:r w:rsidR="007E0766" w:rsidRPr="007E0766">
        <w:rPr>
          <w:rFonts w:asciiTheme="minorHAnsi" w:hAnsiTheme="minorHAnsi" w:cstheme="minorHAnsi"/>
        </w:rPr>
        <w:t xml:space="preserve">Ewidencja musi zostać podpisana przez osobę </w:t>
      </w:r>
      <w:r w:rsidR="007E0766">
        <w:rPr>
          <w:rFonts w:asciiTheme="minorHAnsi" w:hAnsiTheme="minorHAnsi" w:cstheme="minorHAnsi"/>
        </w:rPr>
        <w:t>realizując</w:t>
      </w:r>
      <w:r w:rsidR="00D659B8">
        <w:rPr>
          <w:rFonts w:asciiTheme="minorHAnsi" w:hAnsiTheme="minorHAnsi" w:cstheme="minorHAnsi"/>
        </w:rPr>
        <w:t>ą</w:t>
      </w:r>
      <w:r w:rsidR="007E0766">
        <w:rPr>
          <w:rFonts w:asciiTheme="minorHAnsi" w:hAnsiTheme="minorHAnsi" w:cstheme="minorHAnsi"/>
        </w:rPr>
        <w:t xml:space="preserve"> poszczególne zadania </w:t>
      </w:r>
      <w:r w:rsidR="007E0766" w:rsidRPr="007E0766">
        <w:rPr>
          <w:rFonts w:asciiTheme="minorHAnsi" w:hAnsiTheme="minorHAnsi" w:cstheme="minorHAnsi"/>
        </w:rPr>
        <w:t xml:space="preserve">oraz osobę upoważnioną do odbioru wykonanej </w:t>
      </w:r>
      <w:r w:rsidR="007E0766">
        <w:rPr>
          <w:rFonts w:asciiTheme="minorHAnsi" w:hAnsiTheme="minorHAnsi" w:cstheme="minorHAnsi"/>
        </w:rPr>
        <w:t xml:space="preserve">przez tę osobę </w:t>
      </w:r>
      <w:r w:rsidR="007E0766" w:rsidRPr="007E0766">
        <w:rPr>
          <w:rFonts w:asciiTheme="minorHAnsi" w:hAnsiTheme="minorHAnsi" w:cstheme="minorHAnsi"/>
        </w:rPr>
        <w:t>pracy</w:t>
      </w:r>
      <w:r w:rsidR="007E0766">
        <w:rPr>
          <w:rFonts w:asciiTheme="minorHAnsi" w:hAnsiTheme="minorHAnsi" w:cstheme="minorHAnsi"/>
        </w:rPr>
        <w:t xml:space="preserve">. </w:t>
      </w:r>
      <w:r w:rsidRPr="002A75E1">
        <w:rPr>
          <w:rFonts w:asciiTheme="minorHAnsi" w:hAnsiTheme="minorHAnsi" w:cstheme="minorHAnsi"/>
        </w:rPr>
        <w:t>Osoby zatrudnione w więcej niż jednym projekcie dofinansowanym ze</w:t>
      </w:r>
      <w:r w:rsidR="004751A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środków PFRON zobowiązane są udostępnić Wnioskodawcy ewidencję godzin oraz zadań wykonywanych w projektach, których realizatorem nie jest Wnioskodawca (w odniesieniu do okresu realizacji projektu Wnioskodawcy).</w:t>
      </w:r>
    </w:p>
    <w:p w14:paraId="33DD6A66" w14:textId="60EF8241" w:rsidR="00D81A98" w:rsidRDefault="00282E7A" w:rsidP="006512FF">
      <w:pPr>
        <w:numPr>
          <w:ilvl w:val="2"/>
          <w:numId w:val="11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Postanowienia </w:t>
      </w:r>
      <w:r w:rsidR="00B25240" w:rsidRPr="002A75E1">
        <w:rPr>
          <w:rFonts w:asciiTheme="minorHAnsi" w:hAnsiTheme="minorHAnsi" w:cstheme="minorHAnsi"/>
        </w:rPr>
        <w:t xml:space="preserve">odnoszące się do osoby zatrudnionej na podstawie umowy cywilnoprawnej stosuje się analogicznie w przypadku osoby samozatrudnionej. </w:t>
      </w:r>
      <w:r w:rsidR="00EC35B3" w:rsidRPr="002A75E1">
        <w:rPr>
          <w:rFonts w:asciiTheme="minorHAnsi" w:hAnsiTheme="minorHAnsi" w:cstheme="minorHAnsi"/>
        </w:rPr>
        <w:t xml:space="preserve">Postanowienia </w:t>
      </w:r>
      <w:r w:rsidR="00AA1FD5">
        <w:rPr>
          <w:rFonts w:asciiTheme="minorHAnsi" w:hAnsiTheme="minorHAnsi" w:cstheme="minorHAnsi"/>
        </w:rPr>
        <w:t xml:space="preserve">dotyczące miesięcznego limitu godzin oraz prowadzenia ewidencji </w:t>
      </w:r>
      <w:r w:rsidR="00AA1FD5" w:rsidRPr="002A75E1">
        <w:rPr>
          <w:rFonts w:asciiTheme="minorHAnsi" w:hAnsiTheme="minorHAnsi" w:cstheme="minorHAnsi"/>
        </w:rPr>
        <w:t>godzin oraz zadań wykonanych w</w:t>
      </w:r>
      <w:r w:rsidR="0031682B">
        <w:rPr>
          <w:rFonts w:asciiTheme="minorHAnsi" w:hAnsiTheme="minorHAnsi" w:cstheme="minorHAnsi"/>
        </w:rPr>
        <w:t> </w:t>
      </w:r>
      <w:r w:rsidR="00AA1FD5" w:rsidRPr="002A75E1">
        <w:rPr>
          <w:rFonts w:asciiTheme="minorHAnsi" w:hAnsiTheme="minorHAnsi" w:cstheme="minorHAnsi"/>
        </w:rPr>
        <w:t xml:space="preserve">ramach projektu </w:t>
      </w:r>
      <w:r w:rsidR="00EC35B3" w:rsidRPr="002A75E1">
        <w:rPr>
          <w:rFonts w:asciiTheme="minorHAnsi" w:hAnsiTheme="minorHAnsi" w:cstheme="minorHAnsi"/>
        </w:rPr>
        <w:t xml:space="preserve">stosowane są </w:t>
      </w:r>
      <w:r w:rsidR="00AA1FD5">
        <w:rPr>
          <w:rFonts w:asciiTheme="minorHAnsi" w:hAnsiTheme="minorHAnsi" w:cstheme="minorHAnsi"/>
        </w:rPr>
        <w:t>także</w:t>
      </w:r>
      <w:r w:rsidR="00AA1FD5" w:rsidRPr="002A75E1">
        <w:rPr>
          <w:rFonts w:asciiTheme="minorHAnsi" w:hAnsiTheme="minorHAnsi" w:cstheme="minorHAnsi"/>
        </w:rPr>
        <w:t xml:space="preserve"> </w:t>
      </w:r>
      <w:r w:rsidR="00EC35B3" w:rsidRPr="002A75E1">
        <w:rPr>
          <w:rFonts w:asciiTheme="minorHAnsi" w:hAnsiTheme="minorHAnsi" w:cstheme="minorHAnsi"/>
        </w:rPr>
        <w:t>w sytuacji zatrudnienia danej osoby na podstawie jednej umowy cywilnoprawnej.</w:t>
      </w:r>
    </w:p>
    <w:p w14:paraId="11B664FB" w14:textId="77777777" w:rsidR="00764C02" w:rsidRPr="002A75E1" w:rsidRDefault="00764C02" w:rsidP="009270B1">
      <w:pPr>
        <w:pStyle w:val="Nagwek3"/>
        <w:spacing w:before="360" w:after="240"/>
        <w:ind w:left="624" w:hanging="624"/>
      </w:pPr>
      <w:bookmarkStart w:id="12" w:name="_Toc105500023"/>
      <w:r w:rsidRPr="002A75E1">
        <w:t>VI.2.</w:t>
      </w:r>
      <w:r w:rsidRPr="002A75E1">
        <w:tab/>
        <w:t>Koszty dojazdów uczestników projektu</w:t>
      </w:r>
      <w:bookmarkEnd w:id="12"/>
    </w:p>
    <w:p w14:paraId="1D4C9EBE" w14:textId="1B26BB5F" w:rsidR="008527C3" w:rsidRDefault="00764C02" w:rsidP="002A75E1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2A75E1">
        <w:rPr>
          <w:rFonts w:asciiTheme="minorHAnsi" w:hAnsiTheme="minorHAnsi" w:cstheme="minorHAnsi"/>
          <w:sz w:val="24"/>
        </w:rPr>
        <w:t>W przypadku kosztów związanych z dojazdami uczestników projektu przyjmuje się w szczególności następujące zasady:</w:t>
      </w:r>
    </w:p>
    <w:p w14:paraId="1F72A349" w14:textId="77777777" w:rsidR="00764C02" w:rsidRPr="002A75E1" w:rsidRDefault="00764C02" w:rsidP="006512FF">
      <w:pPr>
        <w:numPr>
          <w:ilvl w:val="0"/>
          <w:numId w:val="2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kwalifikowalne są koszty związane z przejazdem publicznymi lub prywatnymi środkami transportu (bilety kolejowe II klasą z miejscówką, a w przypadku gdy na danej trasie, zgodnie z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oświadczeniem uczestnika projektu, nie jest możliwe wykupienie tego rodzaju biletu – bilety kolejowe I klasą, bilety autobusowe, bilety komun</w:t>
      </w:r>
      <w:r w:rsidR="0096553B" w:rsidRPr="002A75E1">
        <w:rPr>
          <w:rFonts w:asciiTheme="minorHAnsi" w:hAnsiTheme="minorHAnsi" w:cstheme="minorHAnsi"/>
        </w:rPr>
        <w:t>ikacji miejskiej lub prywatnej);</w:t>
      </w:r>
    </w:p>
    <w:p w14:paraId="0BEEED35" w14:textId="3747AE23" w:rsidR="005C2DD2" w:rsidRDefault="00764C02" w:rsidP="006512FF">
      <w:pPr>
        <w:numPr>
          <w:ilvl w:val="0"/>
          <w:numId w:val="2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 przypadku rozliczania dojazdów biletami długoterminowymi (np. miesięcznymi) wymagane jest aby termin ważności biletu odpowiadał terminowi trwania udzielanej pomocy; w</w:t>
      </w:r>
      <w:r w:rsidR="000145B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biletów okresowych możliwe jest również wyliczenie odpowiedniej wartości zwrotu kosztów przejazdu, jeżeli forma wsparcia, w której bierze udział uczestnik projektu przypada na okres</w:t>
      </w:r>
      <w:r w:rsidR="0096553B" w:rsidRPr="002A75E1">
        <w:rPr>
          <w:rFonts w:asciiTheme="minorHAnsi" w:hAnsiTheme="minorHAnsi" w:cstheme="minorHAnsi"/>
        </w:rPr>
        <w:t xml:space="preserve"> krótszy niż wskazany w bilecie;</w:t>
      </w:r>
    </w:p>
    <w:p w14:paraId="680EBAE1" w14:textId="77777777" w:rsidR="00764C02" w:rsidRPr="002A75E1" w:rsidRDefault="00764C02" w:rsidP="006512FF">
      <w:pPr>
        <w:numPr>
          <w:ilvl w:val="0"/>
          <w:numId w:val="2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koszty poniesione przez uczestnika projektu w związku z przejazdem samochodem prywatnym są kwalifikowalne z uwzględnieniem przepisów o zwrocie kosztów używania do celów służbowych samochodów osobowych nie będących własnością pracodawcy; uczestnik projektu zobowiązany jest przedstawić oświadczenie, w którym musi wskazać trasę przejazdu (od – do), liczbę kilometrów, numer rejestracyjny samo</w:t>
      </w:r>
      <w:r w:rsidR="0096553B" w:rsidRPr="002A75E1">
        <w:rPr>
          <w:rFonts w:asciiTheme="minorHAnsi" w:hAnsiTheme="minorHAnsi" w:cstheme="minorHAnsi"/>
        </w:rPr>
        <w:t>chodu własnego lub użytkowanego;</w:t>
      </w:r>
    </w:p>
    <w:p w14:paraId="18244586" w14:textId="77777777" w:rsidR="00764C02" w:rsidRPr="002A75E1" w:rsidRDefault="00764C02" w:rsidP="006512FF">
      <w:pPr>
        <w:numPr>
          <w:ilvl w:val="0"/>
          <w:numId w:val="2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Wnioskodawca może zorganizować dla uczestników projektu transport </w:t>
      </w:r>
      <w:r w:rsidR="0096553B" w:rsidRPr="002A75E1">
        <w:rPr>
          <w:rFonts w:asciiTheme="minorHAnsi" w:hAnsiTheme="minorHAnsi" w:cstheme="minorHAnsi"/>
        </w:rPr>
        <w:t>zbiorowy, w tym specjalistyczny;</w:t>
      </w:r>
    </w:p>
    <w:p w14:paraId="428BDBDA" w14:textId="154DFA02" w:rsidR="00D76264" w:rsidRDefault="00764C02" w:rsidP="006512FF">
      <w:pPr>
        <w:numPr>
          <w:ilvl w:val="0"/>
          <w:numId w:val="2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Wnioskodawca zobowiązany jest przygotować i udostępniać na żądanie PFRON zestawienie kosztów związanych z dojazdem poszczególnych uczestników projektu (załącznikiem do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zestawienia muszą być dowody otrzymania przez uczestników projektu refundacji kosztów dojazdów).</w:t>
      </w:r>
      <w:r w:rsidR="00D76264">
        <w:rPr>
          <w:rFonts w:asciiTheme="minorHAnsi" w:hAnsiTheme="minorHAnsi" w:cstheme="minorHAnsi"/>
        </w:rPr>
        <w:br w:type="page"/>
      </w:r>
    </w:p>
    <w:p w14:paraId="0A7E208D" w14:textId="77777777" w:rsidR="00764C02" w:rsidRPr="002A75E1" w:rsidRDefault="00764C02" w:rsidP="009270B1">
      <w:pPr>
        <w:pStyle w:val="Nagwek3"/>
        <w:spacing w:before="360" w:after="240"/>
        <w:ind w:left="624" w:hanging="624"/>
      </w:pPr>
      <w:bookmarkStart w:id="13" w:name="_Toc105500024"/>
      <w:r w:rsidRPr="002A75E1">
        <w:lastRenderedPageBreak/>
        <w:t>VI.3.</w:t>
      </w:r>
      <w:r w:rsidRPr="002A75E1">
        <w:tab/>
        <w:t>Koszty dojazdów personelu projektu</w:t>
      </w:r>
      <w:bookmarkEnd w:id="13"/>
    </w:p>
    <w:p w14:paraId="23B37959" w14:textId="323F1C88" w:rsidR="00D76264" w:rsidRDefault="00764C02" w:rsidP="006512FF">
      <w:pPr>
        <w:numPr>
          <w:ilvl w:val="0"/>
          <w:numId w:val="14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Do należności z tytułu podróży służbowej odbywanej przez personel projektu należy stosować rozporządzenie Ministra Pracy i Polityki Społecznej z dnia 29 stycznia 2013 r. w sprawie należności przysługujących pracownikowi zatrudnionemu w państwowej lub samorządowej jednostce sfery budżetowej z tytułu podróży służbowej.</w:t>
      </w:r>
    </w:p>
    <w:p w14:paraId="374300AF" w14:textId="7FCB3787" w:rsidR="00764C02" w:rsidRPr="002A75E1" w:rsidRDefault="00764C02" w:rsidP="006512FF">
      <w:pPr>
        <w:numPr>
          <w:ilvl w:val="0"/>
          <w:numId w:val="14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Koszty przejazdów pojazdem niebędącym własnością pracodawcy (Wnioskodawcy) w związku z</w:t>
      </w:r>
      <w:r w:rsidR="00E2027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podróżą służbową personelu projektu są kwalifikowalne z uwzględnieniem postanowień rozporządzenia Ministra Infrastruktury z dnia 25 marca 2002 r. w sprawie warunków ustalania oraz sposobu dokonywania zwrotu kosztów używania do celów służbowych samochodów osobowych, motocykli i motorowerów niebędących własnością pracodawcy.</w:t>
      </w:r>
    </w:p>
    <w:p w14:paraId="207DF9A4" w14:textId="5F64DF8A" w:rsidR="00D81A98" w:rsidRDefault="00764C02" w:rsidP="006512FF">
      <w:pPr>
        <w:numPr>
          <w:ilvl w:val="0"/>
          <w:numId w:val="14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Zasady rozliczania podróży w celach służbowych mogą być stosowane analogicznie 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odniesieniu do osób zatrudnionych na podstawie umowy cywilnoprawnej, o ile</w:t>
      </w:r>
      <w:r w:rsidR="00570D54">
        <w:rPr>
          <w:rFonts w:asciiTheme="minorHAnsi" w:hAnsiTheme="minorHAnsi" w:cstheme="minorHAnsi"/>
        </w:rPr>
        <w:t xml:space="preserve"> w umowie cywilnoprawnej strony uwzględnią zwrot tego rodzaju kosztu</w:t>
      </w:r>
      <w:r w:rsidRPr="002A75E1">
        <w:rPr>
          <w:rFonts w:asciiTheme="minorHAnsi" w:hAnsiTheme="minorHAnsi" w:cstheme="minorHAnsi"/>
        </w:rPr>
        <w:t>.</w:t>
      </w:r>
    </w:p>
    <w:p w14:paraId="1BDEC7AC" w14:textId="77777777" w:rsidR="00764C02" w:rsidRPr="002A75E1" w:rsidRDefault="00764C02" w:rsidP="009270B1">
      <w:pPr>
        <w:pStyle w:val="Nagwek3"/>
        <w:spacing w:before="360" w:after="240"/>
        <w:ind w:left="624" w:hanging="624"/>
      </w:pPr>
      <w:bookmarkStart w:id="14" w:name="_Toc105500025"/>
      <w:r w:rsidRPr="002A75E1">
        <w:t>VI.4.</w:t>
      </w:r>
      <w:r w:rsidRPr="002A75E1">
        <w:tab/>
        <w:t>Koszty eksploatacji pomieszczeń</w:t>
      </w:r>
      <w:bookmarkEnd w:id="14"/>
    </w:p>
    <w:p w14:paraId="4C9EC2B6" w14:textId="77777777" w:rsidR="00764C02" w:rsidRPr="002A75E1" w:rsidRDefault="00764C02" w:rsidP="006512FF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Koszty eksploatacji pomieszczeń (wraz z mediami) wskazanych przez Wnioskodawcę do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realizacji projektu, w których Wnioskodawca prowadzi również inne zadania i projekty, mogą zostać uznane za kwalifikowalne w części przypadającej na dany projekt.</w:t>
      </w:r>
    </w:p>
    <w:p w14:paraId="01A0A6EC" w14:textId="77777777" w:rsidR="00764C02" w:rsidRPr="002A75E1" w:rsidRDefault="00764C02" w:rsidP="006512FF">
      <w:pPr>
        <w:numPr>
          <w:ilvl w:val="0"/>
          <w:numId w:val="15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Procent kosztów eksploatacji pomieszczeń, który stanowi podstawę wyliczenia kosztów eksploatacji tych pomieszczeń w projekcie, wyliczany jest jako stosunek łącznych kosztów kwalifikowalnych projektu do łącznych kosztów wszystkich zadań/projektów </w:t>
      </w:r>
      <w:r w:rsidR="00B345A3" w:rsidRPr="002A75E1">
        <w:rPr>
          <w:rFonts w:asciiTheme="minorHAnsi" w:hAnsiTheme="minorHAnsi" w:cstheme="minorHAnsi"/>
        </w:rPr>
        <w:t xml:space="preserve">(oraz innego rodzaju działalności) </w:t>
      </w:r>
      <w:r w:rsidRPr="002A75E1">
        <w:rPr>
          <w:rFonts w:asciiTheme="minorHAnsi" w:hAnsiTheme="minorHAnsi" w:cstheme="minorHAnsi"/>
        </w:rPr>
        <w:t>realizowanych przez Wnioskodawcę w tych pomieszczeniach.</w:t>
      </w:r>
    </w:p>
    <w:p w14:paraId="0B30674E" w14:textId="77777777" w:rsidR="00764C02" w:rsidRPr="002A75E1" w:rsidRDefault="00764C02" w:rsidP="006512FF">
      <w:pPr>
        <w:numPr>
          <w:ilvl w:val="0"/>
          <w:numId w:val="15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Wnioskodawca zobowiązany jest przedstawić we wniosku informacje pozwalające na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dokonanie oceny kwalifikowalności kosztów, w tym informacje odnoszące się do</w:t>
      </w:r>
      <w:r w:rsidR="00447FF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podstawy wyliczenia kosztów.</w:t>
      </w:r>
    </w:p>
    <w:p w14:paraId="5AF7DE52" w14:textId="18F3B7AE" w:rsidR="00EE3F49" w:rsidRDefault="00764C02" w:rsidP="006512FF">
      <w:pPr>
        <w:numPr>
          <w:ilvl w:val="0"/>
          <w:numId w:val="15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Postanowień niniejszego podrozdziału nie stosuje się do kosztów eksploatacji pomieszczeń administracyjnych rozliczanych ryczałtem.</w:t>
      </w:r>
    </w:p>
    <w:p w14:paraId="7218E3F6" w14:textId="1899C0CB" w:rsidR="00764C02" w:rsidRPr="002A75E1" w:rsidRDefault="00764C02" w:rsidP="009270B1">
      <w:pPr>
        <w:pStyle w:val="Nagwek2"/>
        <w:numPr>
          <w:ilvl w:val="0"/>
          <w:numId w:val="0"/>
        </w:numPr>
        <w:spacing w:before="480"/>
        <w:ind w:left="567" w:hanging="567"/>
      </w:pPr>
      <w:bookmarkStart w:id="15" w:name="_Toc105500026"/>
      <w:r w:rsidRPr="002A75E1">
        <w:t>VII.</w:t>
      </w:r>
      <w:r w:rsidRPr="002A75E1">
        <w:tab/>
      </w:r>
      <w:r w:rsidR="001B134D">
        <w:t xml:space="preserve">Powierzenie wykonania usług </w:t>
      </w:r>
      <w:r w:rsidRPr="002A75E1">
        <w:t>wykonawcy zewnętrznemu</w:t>
      </w:r>
      <w:bookmarkEnd w:id="15"/>
    </w:p>
    <w:p w14:paraId="3FEE59BD" w14:textId="5496A862" w:rsidR="00D76264" w:rsidRDefault="00764C02" w:rsidP="006512FF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512FF">
        <w:rPr>
          <w:rFonts w:asciiTheme="minorHAnsi" w:hAnsiTheme="minorHAnsi" w:cstheme="minorHAnsi"/>
        </w:rPr>
        <w:t xml:space="preserve">W przypadku, gdy </w:t>
      </w:r>
      <w:r w:rsidR="00885532" w:rsidRPr="006512FF">
        <w:rPr>
          <w:rFonts w:asciiTheme="minorHAnsi" w:hAnsiTheme="minorHAnsi" w:cstheme="minorHAnsi"/>
        </w:rPr>
        <w:t xml:space="preserve">Zleceniobiorca </w:t>
      </w:r>
      <w:r w:rsidRPr="006512FF">
        <w:rPr>
          <w:rFonts w:asciiTheme="minorHAnsi" w:hAnsiTheme="minorHAnsi" w:cstheme="minorHAnsi"/>
        </w:rPr>
        <w:t>nie może samodzielnie wykonać usług będących elementem projektu dopuszcza się możliwość powierzenia wykonania tych usług wykonawcy zewnętrznemu, na podstawie pisemnie zawartej umowy. Dopuszczalny jest tylko jeden poziom zlecania usługi.</w:t>
      </w:r>
      <w:r w:rsidR="00D76264">
        <w:rPr>
          <w:rFonts w:asciiTheme="minorHAnsi" w:hAnsiTheme="minorHAnsi" w:cstheme="minorHAnsi"/>
        </w:rPr>
        <w:br w:type="page"/>
      </w:r>
    </w:p>
    <w:p w14:paraId="35F58DCA" w14:textId="77FB8C85" w:rsidR="00231A7A" w:rsidRPr="00B74E29" w:rsidRDefault="00764C02" w:rsidP="00284FAE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74E29">
        <w:rPr>
          <w:rFonts w:asciiTheme="minorHAnsi" w:hAnsiTheme="minorHAnsi" w:cstheme="minorHAnsi"/>
        </w:rPr>
        <w:lastRenderedPageBreak/>
        <w:t>Po</w:t>
      </w:r>
      <w:r w:rsidR="00102867" w:rsidRPr="00B74E29">
        <w:rPr>
          <w:rFonts w:asciiTheme="minorHAnsi" w:hAnsiTheme="minorHAnsi" w:cstheme="minorHAnsi"/>
        </w:rPr>
        <w:t>d</w:t>
      </w:r>
      <w:r w:rsidRPr="00B74E29">
        <w:rPr>
          <w:rFonts w:asciiTheme="minorHAnsi" w:hAnsiTheme="minorHAnsi" w:cstheme="minorHAnsi"/>
        </w:rPr>
        <w:t xml:space="preserve"> pojęciem „powierzenia wykonania usługi wykonawcy zewnętrznemu” należy rozumieć sytuację, w której </w:t>
      </w:r>
      <w:r w:rsidR="00854CE6" w:rsidRPr="00B74E29">
        <w:rPr>
          <w:rFonts w:asciiTheme="minorHAnsi" w:hAnsiTheme="minorHAnsi" w:cstheme="minorHAnsi"/>
        </w:rPr>
        <w:t xml:space="preserve">podmiot prowadzący </w:t>
      </w:r>
      <w:r w:rsidRPr="00B74E29">
        <w:rPr>
          <w:rFonts w:asciiTheme="minorHAnsi" w:hAnsiTheme="minorHAnsi" w:cstheme="minorHAnsi"/>
        </w:rPr>
        <w:t>działalność gospodarczą otrzyma zlecenie na wykonanie usługi i będzie to zlecenie realizować przy pomocy swoich pracowników.</w:t>
      </w:r>
      <w:r w:rsidR="00D92E44" w:rsidRPr="00B74E29">
        <w:rPr>
          <w:rFonts w:asciiTheme="minorHAnsi" w:hAnsiTheme="minorHAnsi" w:cstheme="minorHAnsi"/>
        </w:rPr>
        <w:t xml:space="preserve"> Definicja obejmuje zarówno usługi merytoryczne, jak również </w:t>
      </w:r>
      <w:r w:rsidR="002538ED" w:rsidRPr="00B74E29">
        <w:rPr>
          <w:rFonts w:asciiTheme="minorHAnsi" w:hAnsiTheme="minorHAnsi" w:cstheme="minorHAnsi"/>
        </w:rPr>
        <w:t>usługi, których wykonanie nie jest związane z działaniami merytorycznymi w projekcie.</w:t>
      </w:r>
      <w:r w:rsidR="00B74E29">
        <w:rPr>
          <w:rFonts w:asciiTheme="minorHAnsi" w:hAnsiTheme="minorHAnsi" w:cstheme="minorHAnsi"/>
        </w:rPr>
        <w:t xml:space="preserve"> </w:t>
      </w:r>
      <w:r w:rsidR="002538ED" w:rsidRPr="00B74E29">
        <w:rPr>
          <w:rFonts w:asciiTheme="minorHAnsi" w:hAnsiTheme="minorHAnsi" w:cstheme="minorHAnsi"/>
        </w:rPr>
        <w:t>J</w:t>
      </w:r>
      <w:r w:rsidR="00231A7A" w:rsidRPr="00B74E29">
        <w:rPr>
          <w:rFonts w:asciiTheme="minorHAnsi" w:hAnsiTheme="minorHAnsi" w:cstheme="minorHAnsi"/>
        </w:rPr>
        <w:t xml:space="preserve">ako powierzenia wykonania usługi </w:t>
      </w:r>
      <w:r w:rsidR="002538ED" w:rsidRPr="00B74E29">
        <w:rPr>
          <w:rFonts w:asciiTheme="minorHAnsi" w:hAnsiTheme="minorHAnsi" w:cstheme="minorHAnsi"/>
        </w:rPr>
        <w:t xml:space="preserve">merytorycznej </w:t>
      </w:r>
      <w:r w:rsidR="00231A7A" w:rsidRPr="00B74E29">
        <w:rPr>
          <w:rFonts w:asciiTheme="minorHAnsi" w:hAnsiTheme="minorHAnsi" w:cstheme="minorHAnsi"/>
        </w:rPr>
        <w:t>nie należy rozumieć:</w:t>
      </w:r>
    </w:p>
    <w:p w14:paraId="284D47F7" w14:textId="367C52A3" w:rsidR="00231A7A" w:rsidRPr="002A75E1" w:rsidRDefault="00231A7A" w:rsidP="006512FF">
      <w:pPr>
        <w:numPr>
          <w:ilvl w:val="0"/>
          <w:numId w:val="26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zakupu pojedynczych towarów lub usług (np.</w:t>
      </w:r>
      <w:r w:rsidR="00BF1DB2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cateringowych</w:t>
      </w:r>
      <w:r w:rsidR="00223CDE" w:rsidRPr="002A75E1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hotelowych</w:t>
      </w:r>
      <w:r w:rsidR="00223CDE" w:rsidRPr="002A75E1">
        <w:rPr>
          <w:rFonts w:asciiTheme="minorHAnsi" w:hAnsiTheme="minorHAnsi" w:cstheme="minorHAnsi"/>
        </w:rPr>
        <w:t xml:space="preserve"> poligraficznych, </w:t>
      </w:r>
      <w:r w:rsidR="002E0E79">
        <w:rPr>
          <w:rFonts w:asciiTheme="minorHAnsi" w:hAnsiTheme="minorHAnsi" w:cstheme="minorHAnsi"/>
        </w:rPr>
        <w:t xml:space="preserve">transportowych, </w:t>
      </w:r>
      <w:r w:rsidR="00223CDE" w:rsidRPr="002A75E1">
        <w:rPr>
          <w:rFonts w:asciiTheme="minorHAnsi" w:hAnsiTheme="minorHAnsi" w:cstheme="minorHAnsi"/>
        </w:rPr>
        <w:t>wynajem sali</w:t>
      </w:r>
      <w:r w:rsidRPr="002A75E1">
        <w:rPr>
          <w:rFonts w:asciiTheme="minorHAnsi" w:hAnsiTheme="minorHAnsi" w:cstheme="minorHAnsi"/>
        </w:rPr>
        <w:t>), chyba że stanowią one część powierzonej usługi</w:t>
      </w:r>
      <w:r w:rsidR="00223CDE" w:rsidRPr="002A75E1">
        <w:rPr>
          <w:rFonts w:asciiTheme="minorHAnsi" w:hAnsiTheme="minorHAnsi" w:cstheme="minorHAnsi"/>
        </w:rPr>
        <w:t xml:space="preserve"> merytorycznej</w:t>
      </w:r>
      <w:r w:rsidRPr="002A75E1">
        <w:rPr>
          <w:rFonts w:asciiTheme="minorHAnsi" w:hAnsiTheme="minorHAnsi" w:cstheme="minorHAnsi"/>
        </w:rPr>
        <w:t>;</w:t>
      </w:r>
    </w:p>
    <w:p w14:paraId="37CE9072" w14:textId="59589E4C" w:rsidR="00764C02" w:rsidRPr="00EB608F" w:rsidRDefault="00372A9D" w:rsidP="006512FF">
      <w:pPr>
        <w:numPr>
          <w:ilvl w:val="0"/>
          <w:numId w:val="26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EB608F">
        <w:rPr>
          <w:rFonts w:asciiTheme="minorHAnsi" w:hAnsiTheme="minorHAnsi" w:cstheme="minorHAnsi"/>
        </w:rPr>
        <w:t>angażowania personelu projektu</w:t>
      </w:r>
      <w:r w:rsidR="002A08FE" w:rsidRPr="00EB608F">
        <w:rPr>
          <w:rFonts w:asciiTheme="minorHAnsi" w:hAnsiTheme="minorHAnsi" w:cstheme="minorHAnsi"/>
        </w:rPr>
        <w:t xml:space="preserve"> (personel projektu nie jest traktowany jako wyko</w:t>
      </w:r>
      <w:r w:rsidR="0091396B" w:rsidRPr="00EB608F">
        <w:rPr>
          <w:rFonts w:asciiTheme="minorHAnsi" w:hAnsiTheme="minorHAnsi" w:cstheme="minorHAnsi"/>
        </w:rPr>
        <w:t>nawca zewnętrzny)</w:t>
      </w:r>
      <w:r w:rsidRPr="00EB608F">
        <w:rPr>
          <w:rFonts w:asciiTheme="minorHAnsi" w:hAnsiTheme="minorHAnsi" w:cstheme="minorHAnsi"/>
        </w:rPr>
        <w:t>;</w:t>
      </w:r>
    </w:p>
    <w:p w14:paraId="36775083" w14:textId="50713D93" w:rsidR="002538ED" w:rsidRDefault="00223CDE" w:rsidP="006512FF">
      <w:pPr>
        <w:numPr>
          <w:ilvl w:val="0"/>
          <w:numId w:val="26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usługi związanej z </w:t>
      </w:r>
      <w:r w:rsidR="00372A9D" w:rsidRPr="002A75E1">
        <w:rPr>
          <w:rFonts w:asciiTheme="minorHAnsi" w:hAnsiTheme="minorHAnsi" w:cstheme="minorHAnsi"/>
        </w:rPr>
        <w:t>przeprowadzeni</w:t>
      </w:r>
      <w:r w:rsidRPr="002A75E1">
        <w:rPr>
          <w:rFonts w:asciiTheme="minorHAnsi" w:hAnsiTheme="minorHAnsi" w:cstheme="minorHAnsi"/>
        </w:rPr>
        <w:t>em</w:t>
      </w:r>
      <w:r w:rsidR="00372A9D" w:rsidRPr="002A75E1">
        <w:rPr>
          <w:rFonts w:asciiTheme="minorHAnsi" w:hAnsiTheme="minorHAnsi" w:cstheme="minorHAnsi"/>
        </w:rPr>
        <w:t xml:space="preserve"> audytu zewnętrznego projektu</w:t>
      </w:r>
      <w:r w:rsidR="002538ED">
        <w:rPr>
          <w:rFonts w:asciiTheme="minorHAnsi" w:hAnsiTheme="minorHAnsi" w:cstheme="minorHAnsi"/>
        </w:rPr>
        <w:t>;</w:t>
      </w:r>
    </w:p>
    <w:p w14:paraId="0A88245B" w14:textId="2F81600A" w:rsidR="00372A9D" w:rsidRPr="002A75E1" w:rsidRDefault="002538ED" w:rsidP="006512FF">
      <w:pPr>
        <w:numPr>
          <w:ilvl w:val="0"/>
          <w:numId w:val="26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usługi księgowo-kadrowe</w:t>
      </w:r>
      <w:r w:rsidR="00D94729">
        <w:rPr>
          <w:rFonts w:asciiTheme="minorHAnsi" w:hAnsiTheme="minorHAnsi" w:cstheme="minorHAnsi"/>
          <w:color w:val="000000"/>
        </w:rPr>
        <w:t>j</w:t>
      </w:r>
      <w:r w:rsidRPr="00F0703E">
        <w:rPr>
          <w:rFonts w:asciiTheme="minorHAnsi" w:hAnsiTheme="minorHAnsi" w:cstheme="minorHAnsi"/>
          <w:color w:val="000000"/>
        </w:rPr>
        <w:t xml:space="preserve"> zlecone</w:t>
      </w:r>
      <w:r w:rsidR="00D94729">
        <w:rPr>
          <w:rFonts w:asciiTheme="minorHAnsi" w:hAnsiTheme="minorHAnsi" w:cstheme="minorHAnsi"/>
          <w:color w:val="000000"/>
        </w:rPr>
        <w:t>j</w:t>
      </w:r>
      <w:r w:rsidRPr="00F0703E">
        <w:rPr>
          <w:rFonts w:asciiTheme="minorHAnsi" w:hAnsiTheme="minorHAnsi" w:cstheme="minorHAnsi"/>
          <w:color w:val="000000"/>
        </w:rPr>
        <w:t xml:space="preserve"> do biura rachunkowego</w:t>
      </w:r>
      <w:r>
        <w:rPr>
          <w:rFonts w:asciiTheme="minorHAnsi" w:hAnsiTheme="minorHAnsi" w:cstheme="minorHAnsi"/>
          <w:color w:val="000000"/>
        </w:rPr>
        <w:t>.</w:t>
      </w:r>
    </w:p>
    <w:p w14:paraId="23E780B7" w14:textId="1DFF9168" w:rsidR="00902ECC" w:rsidRDefault="00764C02" w:rsidP="006512FF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Wybór wykonawcy zewnętrznego musi zostać dokonany z zachowaniem zasady bezstronności, konkurencyjności i obiektywizmu, a </w:t>
      </w:r>
      <w:r w:rsidR="0087183A" w:rsidRPr="002A75E1">
        <w:rPr>
          <w:rFonts w:asciiTheme="minorHAnsi" w:hAnsiTheme="minorHAnsi" w:cstheme="minorHAnsi"/>
        </w:rPr>
        <w:t>także z zachowaniem przepisów o</w:t>
      </w:r>
      <w:r w:rsidR="00B74E29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zamówieniach publicznych w zakresie w jakim</w:t>
      </w:r>
      <w:r w:rsidR="006B305C">
        <w:rPr>
          <w:rFonts w:asciiTheme="minorHAnsi" w:hAnsiTheme="minorHAnsi" w:cstheme="minorHAnsi"/>
        </w:rPr>
        <w:t xml:space="preserve"> ustawa </w:t>
      </w:r>
      <w:r w:rsidR="006B305C" w:rsidRPr="00823A7B">
        <w:rPr>
          <w:rFonts w:asciiTheme="minorHAnsi" w:hAnsiTheme="minorHAnsi" w:cstheme="minorHAnsi"/>
        </w:rPr>
        <w:t>z dnia 11</w:t>
      </w:r>
      <w:r w:rsidR="006B305C">
        <w:rPr>
          <w:rFonts w:asciiTheme="minorHAnsi" w:hAnsiTheme="minorHAnsi" w:cstheme="minorHAnsi"/>
        </w:rPr>
        <w:t> </w:t>
      </w:r>
      <w:r w:rsidR="006B305C" w:rsidRPr="00823A7B">
        <w:rPr>
          <w:rFonts w:asciiTheme="minorHAnsi" w:hAnsiTheme="minorHAnsi" w:cstheme="minorHAnsi"/>
        </w:rPr>
        <w:t>września 2019 r. Prawo zamówień publicznych</w:t>
      </w:r>
      <w:r w:rsidRPr="006512FF">
        <w:rPr>
          <w:rFonts w:asciiTheme="minorHAnsi" w:hAnsiTheme="minorHAnsi" w:cstheme="minorHAnsi"/>
        </w:rPr>
        <w:t>, zobowiązuje</w:t>
      </w:r>
      <w:r w:rsidRPr="002A75E1">
        <w:rPr>
          <w:rFonts w:asciiTheme="minorHAnsi" w:hAnsiTheme="minorHAnsi" w:cstheme="minorHAnsi"/>
        </w:rPr>
        <w:t xml:space="preserve"> </w:t>
      </w:r>
      <w:r w:rsidR="00885532" w:rsidRPr="002A75E1">
        <w:rPr>
          <w:rFonts w:asciiTheme="minorHAnsi" w:hAnsiTheme="minorHAnsi" w:cstheme="minorHAnsi"/>
        </w:rPr>
        <w:t>Zleceniobiorcę</w:t>
      </w:r>
      <w:r w:rsidRPr="002A75E1">
        <w:rPr>
          <w:rFonts w:asciiTheme="minorHAnsi" w:hAnsiTheme="minorHAnsi" w:cstheme="minorHAnsi"/>
        </w:rPr>
        <w:t xml:space="preserve"> do jej stosowania.</w:t>
      </w:r>
    </w:p>
    <w:p w14:paraId="7E4807EC" w14:textId="13ABFC71" w:rsidR="00D94729" w:rsidRDefault="00500252" w:rsidP="006512FF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Wykonawcą zewnętrznym nie może być osoba prawna lub inny podmiot wchodzący w</w:t>
      </w:r>
      <w:r w:rsidR="0087183A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skład struktury organizacyjnej </w:t>
      </w:r>
      <w:r w:rsidR="00885532" w:rsidRPr="002A75E1">
        <w:rPr>
          <w:rFonts w:asciiTheme="minorHAnsi" w:hAnsiTheme="minorHAnsi" w:cstheme="minorHAnsi"/>
        </w:rPr>
        <w:t>Zleceniobiorcy</w:t>
      </w:r>
      <w:r w:rsidRPr="002A75E1">
        <w:rPr>
          <w:rFonts w:asciiTheme="minorHAnsi" w:hAnsiTheme="minorHAnsi" w:cstheme="minorHAnsi"/>
        </w:rPr>
        <w:t>.</w:t>
      </w:r>
    </w:p>
    <w:p w14:paraId="0341B52A" w14:textId="707A0697" w:rsidR="00151C43" w:rsidRPr="002A75E1" w:rsidRDefault="00151C43" w:rsidP="006512FF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Wyklucza się możliwość </w:t>
      </w:r>
      <w:r w:rsidR="00D0086A" w:rsidRPr="002A75E1">
        <w:rPr>
          <w:rFonts w:asciiTheme="minorHAnsi" w:hAnsiTheme="minorHAnsi" w:cstheme="minorHAnsi"/>
        </w:rPr>
        <w:t>powierzenia wykonania usług</w:t>
      </w:r>
      <w:r w:rsidRPr="002A75E1">
        <w:rPr>
          <w:rFonts w:asciiTheme="minorHAnsi" w:hAnsiTheme="minorHAnsi" w:cstheme="minorHAnsi"/>
        </w:rPr>
        <w:t xml:space="preserve"> podmiotom powiązanym osobowo lub kapitałowo ze</w:t>
      </w:r>
      <w:r w:rsidR="0087183A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Zleceniobiorcą lub osobami upoważnionymi do zaciągania zobowiązań w imieniu Zleceniobiorcy lub osobami wykonującymi w imieniu Zleceniobiorcy czynności związane z przygotowaniem i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przeprowadzeniem procedury wyboru wykonawcy, w</w:t>
      </w:r>
      <w:r w:rsidR="00D94729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szczególności poprzez:</w:t>
      </w:r>
    </w:p>
    <w:p w14:paraId="0ACFC715" w14:textId="77777777" w:rsidR="00151C43" w:rsidRPr="002A75E1" w:rsidRDefault="00151C43" w:rsidP="006512FF">
      <w:pPr>
        <w:numPr>
          <w:ilvl w:val="0"/>
          <w:numId w:val="27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spółki cywilnej lub spółki osobowej;</w:t>
      </w:r>
    </w:p>
    <w:p w14:paraId="6015144C" w14:textId="77777777" w:rsidR="00151C43" w:rsidRPr="002A75E1" w:rsidRDefault="00151C43" w:rsidP="006512FF">
      <w:pPr>
        <w:numPr>
          <w:ilvl w:val="0"/>
          <w:numId w:val="27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udziałów lub co najmniej 10% akcji;</w:t>
      </w:r>
    </w:p>
    <w:p w14:paraId="23B883C4" w14:textId="77777777" w:rsidR="00151C43" w:rsidRPr="002A75E1" w:rsidRDefault="00151C43" w:rsidP="006512FF">
      <w:pPr>
        <w:numPr>
          <w:ilvl w:val="0"/>
          <w:numId w:val="27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zarządzającego, prokurenta, pełnomocnika;</w:t>
      </w:r>
    </w:p>
    <w:p w14:paraId="78A3AA6D" w14:textId="77777777" w:rsidR="00151C43" w:rsidRPr="002A75E1" w:rsidRDefault="00151C43" w:rsidP="006512FF">
      <w:pPr>
        <w:numPr>
          <w:ilvl w:val="0"/>
          <w:numId w:val="27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 linii prostej, pokrewieństwa lub powinowactwa w linii bocznej do drugiego stopnia lub w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5CB49FE2" w14:textId="2BC154D8" w:rsidR="00D94729" w:rsidRDefault="00D94729" w:rsidP="006512FF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Wyłączenia osobowe i kapitałowe</w:t>
      </w:r>
      <w:r w:rsidR="00AA1F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mają zastosowanie zarówno do </w:t>
      </w:r>
      <w:r w:rsidRPr="00D94729">
        <w:rPr>
          <w:rFonts w:asciiTheme="minorHAnsi" w:hAnsiTheme="minorHAnsi" w:cstheme="minorHAnsi"/>
        </w:rPr>
        <w:t>usług merytoryczn</w:t>
      </w:r>
      <w:r>
        <w:rPr>
          <w:rFonts w:asciiTheme="minorHAnsi" w:hAnsiTheme="minorHAnsi" w:cstheme="minorHAnsi"/>
        </w:rPr>
        <w:t>ych</w:t>
      </w:r>
      <w:r w:rsidRPr="00D94729">
        <w:rPr>
          <w:rFonts w:asciiTheme="minorHAnsi" w:hAnsiTheme="minorHAnsi" w:cstheme="minorHAnsi"/>
        </w:rPr>
        <w:t>, jak również usług, których wykonanie nie jest związane z działaniami merytorycznymi w projekcie</w:t>
      </w:r>
      <w:r>
        <w:rPr>
          <w:rFonts w:asciiTheme="minorHAnsi" w:hAnsiTheme="minorHAnsi" w:cstheme="minorHAnsi"/>
        </w:rPr>
        <w:t>.</w:t>
      </w:r>
    </w:p>
    <w:p w14:paraId="163F4172" w14:textId="1BD5308F" w:rsidR="000F7188" w:rsidRPr="002A75E1" w:rsidRDefault="000F7188" w:rsidP="006512FF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Warunkiem uznania kosztów powierzenia wykonania usług za kwalifikowalne jest:</w:t>
      </w:r>
    </w:p>
    <w:p w14:paraId="13BE7028" w14:textId="6C9403DB" w:rsidR="006512FF" w:rsidRDefault="00B74E29" w:rsidP="006512FF">
      <w:pPr>
        <w:numPr>
          <w:ilvl w:val="0"/>
          <w:numId w:val="24"/>
        </w:numPr>
        <w:spacing w:before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usług merytorycznych – </w:t>
      </w:r>
      <w:r w:rsidR="000F7188" w:rsidRPr="002A75E1">
        <w:rPr>
          <w:rFonts w:asciiTheme="minorHAnsi" w:hAnsiTheme="minorHAnsi" w:cstheme="minorHAnsi"/>
        </w:rPr>
        <w:t>wskazanie przez Wnioskodawcę we wniosku o</w:t>
      </w:r>
      <w:r>
        <w:rPr>
          <w:rFonts w:asciiTheme="minorHAnsi" w:hAnsiTheme="minorHAnsi" w:cstheme="minorHAnsi"/>
        </w:rPr>
        <w:t> </w:t>
      </w:r>
      <w:r w:rsidR="000F7188" w:rsidRPr="002A75E1">
        <w:rPr>
          <w:rFonts w:asciiTheme="minorHAnsi" w:hAnsiTheme="minorHAnsi" w:cstheme="minorHAnsi"/>
        </w:rPr>
        <w:t>zlecenie realizacji zadań zakresu usług, które zamierza powierzać wykonawcom</w:t>
      </w:r>
      <w:r>
        <w:rPr>
          <w:rFonts w:asciiTheme="minorHAnsi" w:hAnsiTheme="minorHAnsi" w:cstheme="minorHAnsi"/>
        </w:rPr>
        <w:t xml:space="preserve"> zewnętrznym</w:t>
      </w:r>
      <w:r w:rsidR="000F7188" w:rsidRPr="002A75E1">
        <w:rPr>
          <w:rFonts w:asciiTheme="minorHAnsi" w:hAnsiTheme="minorHAnsi" w:cstheme="minorHAnsi"/>
        </w:rPr>
        <w:t xml:space="preserve"> i wniosek w</w:t>
      </w:r>
      <w:r w:rsidR="0032634B" w:rsidRPr="002A75E1">
        <w:rPr>
          <w:rFonts w:asciiTheme="minorHAnsi" w:hAnsiTheme="minorHAnsi" w:cstheme="minorHAnsi"/>
        </w:rPr>
        <w:t xml:space="preserve"> </w:t>
      </w:r>
      <w:r w:rsidR="000F7188" w:rsidRPr="002A75E1">
        <w:rPr>
          <w:rFonts w:asciiTheme="minorHAnsi" w:hAnsiTheme="minorHAnsi" w:cstheme="minorHAnsi"/>
        </w:rPr>
        <w:t>takiej formie zo</w:t>
      </w:r>
      <w:r w:rsidR="0096553B" w:rsidRPr="002A75E1">
        <w:rPr>
          <w:rFonts w:asciiTheme="minorHAnsi" w:hAnsiTheme="minorHAnsi" w:cstheme="minorHAnsi"/>
        </w:rPr>
        <w:t>stanie zatwierdzony przez PFRON;</w:t>
      </w:r>
    </w:p>
    <w:p w14:paraId="390E092F" w14:textId="3952D4AB" w:rsidR="00DE221B" w:rsidRDefault="006B305C" w:rsidP="006512FF">
      <w:pPr>
        <w:numPr>
          <w:ilvl w:val="0"/>
          <w:numId w:val="24"/>
        </w:numPr>
        <w:spacing w:before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zastosowanie</w:t>
      </w:r>
      <w:r w:rsidR="006751A5">
        <w:rPr>
          <w:rFonts w:asciiTheme="minorHAnsi" w:hAnsiTheme="minorHAnsi" w:cstheme="minorHAnsi"/>
        </w:rPr>
        <w:t xml:space="preserve"> postanowień</w:t>
      </w:r>
      <w:r w:rsidR="00AA1FD5">
        <w:rPr>
          <w:rFonts w:asciiTheme="minorHAnsi" w:hAnsiTheme="minorHAnsi" w:cstheme="minorHAnsi"/>
        </w:rPr>
        <w:t xml:space="preserve"> dotyczących rozeznania rynku</w:t>
      </w:r>
      <w:r w:rsidR="006751A5">
        <w:rPr>
          <w:rFonts w:asciiTheme="minorHAnsi" w:hAnsiTheme="minorHAnsi" w:cstheme="minorHAnsi"/>
        </w:rPr>
        <w:t>, lub</w:t>
      </w:r>
    </w:p>
    <w:p w14:paraId="0BE17BC9" w14:textId="088838D8" w:rsidR="000F7188" w:rsidRPr="002A75E1" w:rsidRDefault="00DE221B" w:rsidP="006512FF">
      <w:pPr>
        <w:numPr>
          <w:ilvl w:val="0"/>
          <w:numId w:val="24"/>
        </w:numPr>
        <w:spacing w:before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zastosowanie </w:t>
      </w:r>
      <w:r w:rsidR="00231A7A" w:rsidRPr="002A75E1">
        <w:rPr>
          <w:rFonts w:asciiTheme="minorHAnsi" w:hAnsiTheme="minorHAnsi" w:cstheme="minorHAnsi"/>
        </w:rPr>
        <w:t xml:space="preserve">trybu określonego </w:t>
      </w:r>
      <w:r w:rsidR="00DF5356" w:rsidRPr="002A75E1">
        <w:rPr>
          <w:rFonts w:asciiTheme="minorHAnsi" w:hAnsiTheme="minorHAnsi" w:cstheme="minorHAnsi"/>
        </w:rPr>
        <w:t>w rozdziale VIII niniejszego dokumentu – w</w:t>
      </w:r>
      <w:r>
        <w:rPr>
          <w:rFonts w:asciiTheme="minorHAnsi" w:hAnsiTheme="minorHAnsi" w:cstheme="minorHAnsi"/>
        </w:rPr>
        <w:t> </w:t>
      </w:r>
      <w:r w:rsidR="00DF5356" w:rsidRPr="002A75E1">
        <w:rPr>
          <w:rFonts w:asciiTheme="minorHAnsi" w:hAnsiTheme="minorHAnsi" w:cstheme="minorHAnsi"/>
        </w:rPr>
        <w:t xml:space="preserve">przypadku zamówień których wartość przekracza </w:t>
      </w:r>
      <w:r w:rsidR="00874B18" w:rsidRPr="002A75E1">
        <w:rPr>
          <w:rFonts w:asciiTheme="minorHAnsi" w:hAnsiTheme="minorHAnsi" w:cstheme="minorHAnsi"/>
        </w:rPr>
        <w:t>wyrażoną w złotych równowartość kwoty 14</w:t>
      </w:r>
      <w:r w:rsidR="0087183A" w:rsidRPr="002A75E1">
        <w:rPr>
          <w:rFonts w:asciiTheme="minorHAnsi" w:hAnsiTheme="minorHAnsi" w:cstheme="minorHAnsi"/>
        </w:rPr>
        <w:t> </w:t>
      </w:r>
      <w:r w:rsidR="00874B18" w:rsidRPr="002A75E1">
        <w:rPr>
          <w:rFonts w:asciiTheme="minorHAnsi" w:hAnsiTheme="minorHAnsi" w:cstheme="minorHAnsi"/>
        </w:rPr>
        <w:t>tys.</w:t>
      </w:r>
      <w:r w:rsidR="0087183A" w:rsidRPr="002A75E1">
        <w:rPr>
          <w:rFonts w:asciiTheme="minorHAnsi" w:hAnsiTheme="minorHAnsi" w:cstheme="minorHAnsi"/>
        </w:rPr>
        <w:t> euro netto (tj. </w:t>
      </w:r>
      <w:r w:rsidR="00874B18" w:rsidRPr="002A75E1">
        <w:rPr>
          <w:rFonts w:asciiTheme="minorHAnsi" w:hAnsiTheme="minorHAnsi" w:cstheme="minorHAnsi"/>
        </w:rPr>
        <w:t>bez podatku VAT)</w:t>
      </w:r>
      <w:bookmarkStart w:id="16" w:name="_Hlk75439625"/>
      <w:r w:rsidR="00C709AB" w:rsidRPr="002A75E1">
        <w:rPr>
          <w:rFonts w:asciiTheme="minorHAnsi" w:hAnsiTheme="minorHAnsi" w:cstheme="minorHAnsi"/>
        </w:rPr>
        <w:t>.</w:t>
      </w:r>
      <w:bookmarkEnd w:id="16"/>
    </w:p>
    <w:p w14:paraId="2F5230CC" w14:textId="193758E4" w:rsidR="00F276B0" w:rsidRDefault="00DE221B" w:rsidP="006512FF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bookmarkStart w:id="17" w:name="_Hlk75438559"/>
      <w:r w:rsidRPr="00902ECC">
        <w:rPr>
          <w:rFonts w:asciiTheme="minorHAnsi" w:hAnsiTheme="minorHAnsi" w:cstheme="minorHAnsi"/>
        </w:rPr>
        <w:t xml:space="preserve">W przypadku, gdy wartość </w:t>
      </w:r>
      <w:r>
        <w:rPr>
          <w:rFonts w:asciiTheme="minorHAnsi" w:hAnsiTheme="minorHAnsi" w:cstheme="minorHAnsi"/>
        </w:rPr>
        <w:t>usługi</w:t>
      </w:r>
      <w:r w:rsidRPr="00902ECC">
        <w:rPr>
          <w:rFonts w:asciiTheme="minorHAnsi" w:hAnsiTheme="minorHAnsi" w:cstheme="minorHAnsi"/>
        </w:rPr>
        <w:t xml:space="preserve"> nie przekracza kwoty 20 tys.</w:t>
      </w:r>
      <w:r>
        <w:rPr>
          <w:rFonts w:asciiTheme="minorHAnsi" w:hAnsiTheme="minorHAnsi" w:cstheme="minorHAnsi"/>
        </w:rPr>
        <w:t> </w:t>
      </w:r>
      <w:r w:rsidRPr="00902ECC">
        <w:rPr>
          <w:rFonts w:asciiTheme="minorHAnsi" w:hAnsiTheme="minorHAnsi" w:cstheme="minorHAnsi"/>
        </w:rPr>
        <w:t xml:space="preserve">zł netto </w:t>
      </w:r>
      <w:r>
        <w:rPr>
          <w:rFonts w:asciiTheme="minorHAnsi" w:hAnsiTheme="minorHAnsi" w:cstheme="minorHAnsi"/>
        </w:rPr>
        <w:t>–</w:t>
      </w:r>
      <w:r w:rsidRPr="00902ECC">
        <w:rPr>
          <w:rFonts w:asciiTheme="minorHAnsi" w:hAnsiTheme="minorHAnsi" w:cstheme="minorHAnsi"/>
        </w:rPr>
        <w:t xml:space="preserve"> </w:t>
      </w:r>
      <w:r w:rsidR="006751A5">
        <w:rPr>
          <w:rFonts w:asciiTheme="minorHAnsi" w:hAnsiTheme="minorHAnsi" w:cstheme="minorHAnsi"/>
        </w:rPr>
        <w:t>Zleceniobiorca</w:t>
      </w:r>
      <w:r w:rsidRPr="00902ECC">
        <w:rPr>
          <w:rFonts w:asciiTheme="minorHAnsi" w:hAnsiTheme="minorHAnsi" w:cstheme="minorHAnsi"/>
        </w:rPr>
        <w:t xml:space="preserve"> zobowiązany jest do dołożenia należytej staranności, aby wydatkowanie środków PFRON nastąpiło w sposób przejrzysty, racjonalny i efektywny. W</w:t>
      </w:r>
      <w:r>
        <w:rPr>
          <w:rFonts w:asciiTheme="minorHAnsi" w:hAnsiTheme="minorHAnsi" w:cstheme="minorHAnsi"/>
        </w:rPr>
        <w:t> </w:t>
      </w:r>
      <w:r w:rsidRPr="00902ECC">
        <w:rPr>
          <w:rFonts w:asciiTheme="minorHAnsi" w:hAnsiTheme="minorHAnsi" w:cstheme="minorHAnsi"/>
        </w:rPr>
        <w:t xml:space="preserve">przypadku, gdy wartość </w:t>
      </w:r>
      <w:r>
        <w:rPr>
          <w:rFonts w:asciiTheme="minorHAnsi" w:hAnsiTheme="minorHAnsi" w:cstheme="minorHAnsi"/>
        </w:rPr>
        <w:t>usługi</w:t>
      </w:r>
      <w:r w:rsidRPr="00902ECC">
        <w:rPr>
          <w:rFonts w:asciiTheme="minorHAnsi" w:hAnsiTheme="minorHAnsi" w:cstheme="minorHAnsi"/>
        </w:rPr>
        <w:t xml:space="preserve"> przekracza kwotę 20 tys.</w:t>
      </w:r>
      <w:r w:rsidR="006B305C">
        <w:rPr>
          <w:rFonts w:asciiTheme="minorHAnsi" w:hAnsiTheme="minorHAnsi" w:cstheme="minorHAnsi"/>
        </w:rPr>
        <w:t> </w:t>
      </w:r>
      <w:r w:rsidRPr="00902ECC">
        <w:rPr>
          <w:rFonts w:asciiTheme="minorHAnsi" w:hAnsiTheme="minorHAnsi" w:cstheme="minorHAnsi"/>
        </w:rPr>
        <w:t xml:space="preserve">zł netto, ale nie przekracza kwoty 14 tys. euro netto </w:t>
      </w:r>
      <w:r w:rsidR="0054730A">
        <w:rPr>
          <w:rFonts w:asciiTheme="minorHAnsi" w:hAnsiTheme="minorHAnsi" w:cstheme="minorHAnsi"/>
        </w:rPr>
        <w:t>(</w:t>
      </w:r>
      <w:r w:rsidR="0054730A" w:rsidRPr="002A75E1">
        <w:rPr>
          <w:rFonts w:asciiTheme="minorHAnsi" w:hAnsiTheme="minorHAnsi" w:cstheme="minorHAnsi"/>
        </w:rPr>
        <w:t xml:space="preserve">zgodnie ze średnim kursem złotego w stosunku do euro, o którym mowa w </w:t>
      </w:r>
      <w:r w:rsidR="0054730A">
        <w:rPr>
          <w:rFonts w:asciiTheme="minorHAnsi" w:hAnsiTheme="minorHAnsi" w:cstheme="minorHAnsi"/>
        </w:rPr>
        <w:t xml:space="preserve">art. 3 ust. 2 </w:t>
      </w:r>
      <w:r w:rsidR="0054730A" w:rsidRPr="002A75E1">
        <w:rPr>
          <w:rFonts w:asciiTheme="minorHAnsi" w:hAnsiTheme="minorHAnsi" w:cstheme="minorHAnsi"/>
        </w:rPr>
        <w:t>ustawy Prawo zamówień publicznyc</w:t>
      </w:r>
      <w:r w:rsidR="0054730A">
        <w:rPr>
          <w:rFonts w:asciiTheme="minorHAnsi" w:hAnsiTheme="minorHAnsi" w:cstheme="minorHAnsi"/>
        </w:rPr>
        <w:t xml:space="preserve">h) </w:t>
      </w:r>
      <w:r w:rsidRPr="00902ECC">
        <w:rPr>
          <w:rFonts w:asciiTheme="minorHAnsi" w:hAnsiTheme="minorHAnsi" w:cstheme="minorHAnsi"/>
        </w:rPr>
        <w:t xml:space="preserve">– </w:t>
      </w:r>
      <w:r w:rsidR="006751A5">
        <w:rPr>
          <w:rFonts w:asciiTheme="minorHAnsi" w:hAnsiTheme="minorHAnsi" w:cstheme="minorHAnsi"/>
        </w:rPr>
        <w:t>Zleceniobiorca</w:t>
      </w:r>
      <w:r w:rsidRPr="00902ECC">
        <w:rPr>
          <w:rFonts w:asciiTheme="minorHAnsi" w:hAnsiTheme="minorHAnsi" w:cstheme="minorHAnsi"/>
        </w:rPr>
        <w:t xml:space="preserve"> zobowiązany jest do dokonania tzw.</w:t>
      </w:r>
      <w:r w:rsidR="006B305C">
        <w:rPr>
          <w:rFonts w:asciiTheme="minorHAnsi" w:hAnsiTheme="minorHAnsi" w:cstheme="minorHAnsi"/>
        </w:rPr>
        <w:t> </w:t>
      </w:r>
      <w:r w:rsidRPr="00902ECC">
        <w:rPr>
          <w:rFonts w:asciiTheme="minorHAnsi" w:hAnsiTheme="minorHAnsi" w:cstheme="minorHAnsi"/>
        </w:rPr>
        <w:t>rozeznania rynku, tzn.</w:t>
      </w:r>
      <w:r w:rsidR="006B305C">
        <w:rPr>
          <w:rFonts w:asciiTheme="minorHAnsi" w:hAnsiTheme="minorHAnsi" w:cstheme="minorHAnsi"/>
        </w:rPr>
        <w:t> </w:t>
      </w:r>
      <w:r w:rsidRPr="00902ECC">
        <w:rPr>
          <w:rFonts w:asciiTheme="minorHAnsi" w:hAnsiTheme="minorHAnsi" w:cstheme="minorHAnsi"/>
        </w:rPr>
        <w:t>powinien zamieścić zapytanie ofertowe na stronie internetowej lub wysłać je do co</w:t>
      </w:r>
      <w:r w:rsidR="0054730A">
        <w:rPr>
          <w:rFonts w:asciiTheme="minorHAnsi" w:hAnsiTheme="minorHAnsi" w:cstheme="minorHAnsi"/>
        </w:rPr>
        <w:t> </w:t>
      </w:r>
      <w:r w:rsidRPr="00902ECC">
        <w:rPr>
          <w:rFonts w:asciiTheme="minorHAnsi" w:hAnsiTheme="minorHAnsi" w:cstheme="minorHAnsi"/>
        </w:rPr>
        <w:t>najmniej trzech wykonawców i porównać oferty</w:t>
      </w:r>
      <w:r>
        <w:rPr>
          <w:rFonts w:asciiTheme="minorHAnsi" w:hAnsiTheme="minorHAnsi" w:cstheme="minorHAnsi"/>
        </w:rPr>
        <w:t>. W</w:t>
      </w:r>
      <w:r w:rsidRPr="00902ECC">
        <w:rPr>
          <w:rFonts w:asciiTheme="minorHAnsi" w:hAnsiTheme="minorHAnsi" w:cstheme="minorHAnsi"/>
        </w:rPr>
        <w:t xml:space="preserve"> celu potwierdzenia wyłonienia najkorzystniejszej oferty, </w:t>
      </w:r>
      <w:r w:rsidR="006751A5">
        <w:rPr>
          <w:rFonts w:asciiTheme="minorHAnsi" w:hAnsiTheme="minorHAnsi" w:cstheme="minorHAnsi"/>
        </w:rPr>
        <w:t>Zleceniob</w:t>
      </w:r>
      <w:r w:rsidR="006B305C">
        <w:rPr>
          <w:rFonts w:asciiTheme="minorHAnsi" w:hAnsiTheme="minorHAnsi" w:cstheme="minorHAnsi"/>
        </w:rPr>
        <w:t>iorca</w:t>
      </w:r>
      <w:r w:rsidRPr="00902ECC">
        <w:rPr>
          <w:rFonts w:asciiTheme="minorHAnsi" w:hAnsiTheme="minorHAnsi" w:cstheme="minorHAnsi"/>
        </w:rPr>
        <w:t xml:space="preserve"> może również przedstawić wydruki ze stron internetowych z cenami i opisami usług (jeżeli nikt nie odpowiedział na zapytanie zamieszczone na stronie lub wysłane do wykonawców).</w:t>
      </w:r>
      <w:bookmarkEnd w:id="17"/>
    </w:p>
    <w:p w14:paraId="64568BE9" w14:textId="28DFD5E0" w:rsidR="00DE221B" w:rsidRDefault="00764C02" w:rsidP="006512FF">
      <w:pPr>
        <w:pStyle w:val="Akapitzlist"/>
        <w:numPr>
          <w:ilvl w:val="0"/>
          <w:numId w:val="28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 przypadku wniosku wspólnego wykonawcą zewnętrznym nie może być żaden </w:t>
      </w:r>
      <w:r w:rsidR="006B305C">
        <w:rPr>
          <w:rFonts w:asciiTheme="minorHAnsi" w:hAnsiTheme="minorHAnsi" w:cstheme="minorHAnsi"/>
        </w:rPr>
        <w:t>ze Zleceniobiorców</w:t>
      </w:r>
      <w:r w:rsidRPr="002A75E1">
        <w:rPr>
          <w:rFonts w:asciiTheme="minorHAnsi" w:hAnsiTheme="minorHAnsi" w:cstheme="minorHAnsi"/>
        </w:rPr>
        <w:t xml:space="preserve"> składających wniosek wspólny – nie jest zatem możliwe zlecanie wykonania usług jednemu </w:t>
      </w:r>
      <w:r w:rsidR="006B305C">
        <w:rPr>
          <w:rFonts w:asciiTheme="minorHAnsi" w:hAnsiTheme="minorHAnsi" w:cstheme="minorHAnsi"/>
        </w:rPr>
        <w:t xml:space="preserve">ze Zleceniobiorców przez innego Zleceniobiorcę </w:t>
      </w:r>
      <w:r w:rsidRPr="002A75E1">
        <w:rPr>
          <w:rFonts w:asciiTheme="minorHAnsi" w:hAnsiTheme="minorHAnsi" w:cstheme="minorHAnsi"/>
        </w:rPr>
        <w:t>składającego wniosek wspólny.</w:t>
      </w:r>
    </w:p>
    <w:p w14:paraId="6C41EF3D" w14:textId="0B940FCA" w:rsidR="002A08FE" w:rsidRDefault="002A08FE" w:rsidP="00F276B0">
      <w:pPr>
        <w:pStyle w:val="Akapitzlist"/>
        <w:numPr>
          <w:ilvl w:val="0"/>
          <w:numId w:val="28"/>
        </w:numPr>
        <w:spacing w:before="120" w:line="276" w:lineRule="auto"/>
        <w:ind w:left="341" w:hanging="45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Postanowienia niniejszego rozdziału </w:t>
      </w:r>
      <w:r w:rsidR="0091396B">
        <w:rPr>
          <w:rFonts w:asciiTheme="minorHAnsi" w:hAnsiTheme="minorHAnsi" w:cstheme="minorHAnsi"/>
        </w:rPr>
        <w:t xml:space="preserve">dotyczące wykonawców zewnętrznych (zgodnie z definicją „wykonawcy zewnętrznego” określoną w </w:t>
      </w:r>
      <w:r w:rsidR="00AA1FD5">
        <w:rPr>
          <w:rFonts w:asciiTheme="minorHAnsi" w:hAnsiTheme="minorHAnsi" w:cstheme="minorHAnsi"/>
        </w:rPr>
        <w:t xml:space="preserve">niniejszym rozdziale </w:t>
      </w:r>
      <w:r>
        <w:rPr>
          <w:rFonts w:asciiTheme="minorHAnsi" w:hAnsiTheme="minorHAnsi" w:cstheme="minorHAnsi"/>
        </w:rPr>
        <w:t xml:space="preserve">nie mają zastosowania do angażowania </w:t>
      </w:r>
      <w:r w:rsidRPr="002A08FE">
        <w:rPr>
          <w:rFonts w:asciiTheme="minorHAnsi" w:hAnsiTheme="minorHAnsi" w:cstheme="minorHAnsi"/>
        </w:rPr>
        <w:t>personel</w:t>
      </w:r>
      <w:r>
        <w:rPr>
          <w:rFonts w:asciiTheme="minorHAnsi" w:hAnsiTheme="minorHAnsi" w:cstheme="minorHAnsi"/>
        </w:rPr>
        <w:t>u</w:t>
      </w:r>
      <w:r w:rsidRPr="002A08FE">
        <w:rPr>
          <w:rFonts w:asciiTheme="minorHAnsi" w:hAnsiTheme="minorHAnsi" w:cstheme="minorHAnsi"/>
        </w:rPr>
        <w:t xml:space="preserve"> projektu</w:t>
      </w:r>
      <w:r>
        <w:rPr>
          <w:rFonts w:asciiTheme="minorHAnsi" w:hAnsiTheme="minorHAnsi" w:cstheme="minorHAnsi"/>
        </w:rPr>
        <w:t>.</w:t>
      </w:r>
    </w:p>
    <w:p w14:paraId="674244D5" w14:textId="77777777" w:rsidR="00764C02" w:rsidRPr="002A75E1" w:rsidRDefault="00764C02" w:rsidP="009270B1">
      <w:pPr>
        <w:pStyle w:val="Nagwek2"/>
        <w:numPr>
          <w:ilvl w:val="0"/>
          <w:numId w:val="0"/>
        </w:numPr>
        <w:spacing w:before="480"/>
        <w:ind w:left="680" w:hanging="680"/>
      </w:pPr>
      <w:bookmarkStart w:id="18" w:name="_Toc105500027"/>
      <w:r w:rsidRPr="002A75E1">
        <w:t>VIII.</w:t>
      </w:r>
      <w:r w:rsidRPr="002A75E1">
        <w:tab/>
        <w:t>Zasada konkurencyjności</w:t>
      </w:r>
      <w:bookmarkEnd w:id="18"/>
    </w:p>
    <w:p w14:paraId="74577B63" w14:textId="2EC3C12A" w:rsidR="00EE3F49" w:rsidRDefault="00764C02" w:rsidP="006512FF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Zleceniobiorca, który nie jest zobowiązany do </w:t>
      </w:r>
      <w:r w:rsidRPr="00902ECC">
        <w:rPr>
          <w:rFonts w:asciiTheme="minorHAnsi" w:hAnsiTheme="minorHAnsi" w:cstheme="minorHAnsi"/>
        </w:rPr>
        <w:t>stosowania przepisów</w:t>
      </w:r>
      <w:r w:rsidR="00902ECC" w:rsidRPr="00902ECC">
        <w:rPr>
          <w:rFonts w:asciiTheme="minorHAnsi" w:hAnsiTheme="minorHAnsi" w:cstheme="minorHAnsi"/>
        </w:rPr>
        <w:t xml:space="preserve"> </w:t>
      </w:r>
      <w:r w:rsidR="00902ECC">
        <w:rPr>
          <w:rFonts w:asciiTheme="minorHAnsi" w:hAnsiTheme="minorHAnsi" w:cstheme="minorHAnsi"/>
        </w:rPr>
        <w:t xml:space="preserve">ustawy </w:t>
      </w:r>
      <w:r w:rsidR="00902ECC" w:rsidRPr="00823A7B">
        <w:rPr>
          <w:rFonts w:asciiTheme="minorHAnsi" w:hAnsiTheme="minorHAnsi" w:cstheme="minorHAnsi"/>
        </w:rPr>
        <w:t>z dnia 11</w:t>
      </w:r>
      <w:r w:rsidR="00902ECC">
        <w:rPr>
          <w:rFonts w:asciiTheme="minorHAnsi" w:hAnsiTheme="minorHAnsi" w:cstheme="minorHAnsi"/>
        </w:rPr>
        <w:t> </w:t>
      </w:r>
      <w:r w:rsidR="00902ECC" w:rsidRPr="00823A7B">
        <w:rPr>
          <w:rFonts w:asciiTheme="minorHAnsi" w:hAnsiTheme="minorHAnsi" w:cstheme="minorHAnsi"/>
        </w:rPr>
        <w:t>września 2019 r. Prawo zamówień publicznych</w:t>
      </w:r>
      <w:r w:rsidRPr="00902ECC">
        <w:rPr>
          <w:rFonts w:asciiTheme="minorHAnsi" w:hAnsiTheme="minorHAnsi" w:cstheme="minorHAnsi"/>
          <w:bCs/>
        </w:rPr>
        <w:t>,</w:t>
      </w:r>
      <w:r w:rsidRPr="002A75E1">
        <w:rPr>
          <w:rFonts w:asciiTheme="minorHAnsi" w:hAnsiTheme="minorHAnsi" w:cstheme="minorHAnsi"/>
          <w:bCs/>
        </w:rPr>
        <w:t xml:space="preserve"> zobligowany</w:t>
      </w:r>
      <w:r w:rsidRPr="002A75E1">
        <w:rPr>
          <w:rFonts w:asciiTheme="minorHAnsi" w:hAnsiTheme="minorHAnsi" w:cstheme="minorHAnsi"/>
        </w:rPr>
        <w:t xml:space="preserve"> jest do ponoszenia kosztów w ramach projektu zgodnie z zasadą konkurencyjności.</w:t>
      </w:r>
    </w:p>
    <w:p w14:paraId="5B258744" w14:textId="21611A6E" w:rsidR="00B658EA" w:rsidRDefault="00764C02" w:rsidP="006512FF">
      <w:pPr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Zasada konkurencyjności dotyczy wszystkich zamówień </w:t>
      </w:r>
      <w:r w:rsidR="00F643A4" w:rsidRPr="002A75E1">
        <w:rPr>
          <w:rFonts w:asciiTheme="minorHAnsi" w:hAnsiTheme="minorHAnsi" w:cstheme="minorHAnsi"/>
        </w:rPr>
        <w:t>wykonywanych przez wykonawcę na</w:t>
      </w:r>
      <w:r w:rsidR="0087183A" w:rsidRPr="002A75E1">
        <w:rPr>
          <w:rFonts w:asciiTheme="minorHAnsi" w:hAnsiTheme="minorHAnsi" w:cstheme="minorHAnsi"/>
        </w:rPr>
        <w:t> </w:t>
      </w:r>
      <w:r w:rsidR="00F643A4" w:rsidRPr="002A75E1">
        <w:rPr>
          <w:rFonts w:asciiTheme="minorHAnsi" w:hAnsiTheme="minorHAnsi" w:cstheme="minorHAnsi"/>
        </w:rPr>
        <w:t xml:space="preserve">rzecz Zleceniobiorcy w ramach projektu, których wartość przekracza </w:t>
      </w:r>
      <w:r w:rsidR="00874B18" w:rsidRPr="002A75E1">
        <w:rPr>
          <w:rFonts w:asciiTheme="minorHAnsi" w:hAnsiTheme="minorHAnsi" w:cstheme="minorHAnsi"/>
        </w:rPr>
        <w:t>wyrażoną w złotych równowartość kwoty 14 tys.</w:t>
      </w:r>
      <w:r w:rsidR="0063489D" w:rsidRPr="002A75E1">
        <w:rPr>
          <w:rFonts w:asciiTheme="minorHAnsi" w:hAnsiTheme="minorHAnsi" w:cstheme="minorHAnsi"/>
        </w:rPr>
        <w:t> </w:t>
      </w:r>
      <w:r w:rsidR="00874B18" w:rsidRPr="002A75E1">
        <w:rPr>
          <w:rFonts w:asciiTheme="minorHAnsi" w:hAnsiTheme="minorHAnsi" w:cstheme="minorHAnsi"/>
        </w:rPr>
        <w:t>euro netto (tj.</w:t>
      </w:r>
      <w:r w:rsidR="0063489D" w:rsidRPr="002A75E1">
        <w:rPr>
          <w:rFonts w:asciiTheme="minorHAnsi" w:hAnsiTheme="minorHAnsi" w:cstheme="minorHAnsi"/>
        </w:rPr>
        <w:t> </w:t>
      </w:r>
      <w:r w:rsidR="00874B18" w:rsidRPr="002A75E1">
        <w:rPr>
          <w:rFonts w:asciiTheme="minorHAnsi" w:hAnsiTheme="minorHAnsi" w:cstheme="minorHAnsi"/>
        </w:rPr>
        <w:t>bez podatku VAT)</w:t>
      </w:r>
      <w:r w:rsidR="00F643A4" w:rsidRPr="002A75E1">
        <w:rPr>
          <w:rFonts w:asciiTheme="minorHAnsi" w:hAnsiTheme="minorHAnsi" w:cstheme="minorHAnsi"/>
        </w:rPr>
        <w:t xml:space="preserve">. </w:t>
      </w:r>
      <w:r w:rsidR="00874B18" w:rsidRPr="002A75E1">
        <w:rPr>
          <w:rFonts w:asciiTheme="minorHAnsi" w:hAnsiTheme="minorHAnsi" w:cstheme="minorHAnsi"/>
        </w:rPr>
        <w:t xml:space="preserve">Wartość zamówienia ustalana jest zgodnie ze średnim kursem złotego w stosunku do euro, o którym mowa w </w:t>
      </w:r>
      <w:r w:rsidR="004E2301">
        <w:rPr>
          <w:rFonts w:asciiTheme="minorHAnsi" w:hAnsiTheme="minorHAnsi" w:cstheme="minorHAnsi"/>
        </w:rPr>
        <w:t xml:space="preserve">art. 3 ust. 2 </w:t>
      </w:r>
      <w:r w:rsidR="00874B18" w:rsidRPr="002A75E1">
        <w:rPr>
          <w:rFonts w:asciiTheme="minorHAnsi" w:hAnsiTheme="minorHAnsi" w:cstheme="minorHAnsi"/>
        </w:rPr>
        <w:t>ustawy Prawo zamówień publicznych.</w:t>
      </w:r>
      <w:r w:rsidR="00DE221B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Pod pojęciem „zamówienia” należy rozumieć odpłatną umowę zawieraną pomiędzy Zleceniobiorcą a</w:t>
      </w:r>
      <w:r w:rsidR="0063489D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wykonawcą, której przedmiotem są usługi, dostawy lub roboty budowlane.</w:t>
      </w:r>
      <w:r w:rsidR="00854CE6" w:rsidRPr="002A75E1">
        <w:rPr>
          <w:rFonts w:asciiTheme="minorHAnsi" w:hAnsiTheme="minorHAnsi" w:cstheme="minorHAnsi"/>
        </w:rPr>
        <w:t xml:space="preserve"> Zasady konkurencyjności nie stosuje </w:t>
      </w:r>
      <w:r w:rsidR="00F643A4" w:rsidRPr="002A75E1">
        <w:rPr>
          <w:rFonts w:asciiTheme="minorHAnsi" w:hAnsiTheme="minorHAnsi" w:cstheme="minorHAnsi"/>
        </w:rPr>
        <w:t xml:space="preserve">się </w:t>
      </w:r>
      <w:r w:rsidR="00854CE6" w:rsidRPr="002A75E1">
        <w:rPr>
          <w:rFonts w:asciiTheme="minorHAnsi" w:hAnsiTheme="minorHAnsi" w:cstheme="minorHAnsi"/>
        </w:rPr>
        <w:t xml:space="preserve">do zamówień dotyczących zadań wykonywanych przez personel </w:t>
      </w:r>
      <w:r w:rsidR="00FF2339">
        <w:rPr>
          <w:rFonts w:asciiTheme="minorHAnsi" w:hAnsiTheme="minorHAnsi" w:cstheme="minorHAnsi"/>
        </w:rPr>
        <w:t xml:space="preserve">administracyjny lub merytoryczny </w:t>
      </w:r>
      <w:r w:rsidR="00854CE6" w:rsidRPr="002A75E1">
        <w:rPr>
          <w:rFonts w:asciiTheme="minorHAnsi" w:hAnsiTheme="minorHAnsi" w:cstheme="minorHAnsi"/>
        </w:rPr>
        <w:t>projektu</w:t>
      </w:r>
      <w:r w:rsidR="00FF2339">
        <w:rPr>
          <w:rFonts w:asciiTheme="minorHAnsi" w:hAnsiTheme="minorHAnsi" w:cstheme="minorHAnsi"/>
        </w:rPr>
        <w:t>.</w:t>
      </w:r>
    </w:p>
    <w:p w14:paraId="49C310BF" w14:textId="77777777" w:rsidR="00764C02" w:rsidRPr="002A75E1" w:rsidRDefault="00764C02" w:rsidP="006512FF">
      <w:pPr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Zamówienia sumowane są w ramach danego projektu realizowanego przez Zleceniobiorcę. Zleceniobiorca zobowiązany jest przeanalizować budżet projektu w celu zidentyfikowania tych zamówień, które będą się powtarzać i które mogą skutkować przekroczeniem progu, dla którego zasada konkurencyjności jest obowiązkowa.</w:t>
      </w:r>
    </w:p>
    <w:p w14:paraId="5B664F72" w14:textId="77777777" w:rsidR="00764C02" w:rsidRPr="002A75E1" w:rsidRDefault="00764C02" w:rsidP="006512FF">
      <w:pPr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Łączne spełnienie następujących kryteriów pozwala na ustalenie przez Zleceniobiorcę, czy w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zlecenia usług, dostaw i robót budowlanych występuje jedno zamówienie, czy też odrębne zamówienia:</w:t>
      </w:r>
    </w:p>
    <w:p w14:paraId="7F029D01" w14:textId="4842ABEE" w:rsidR="00764C02" w:rsidRPr="002A75E1" w:rsidRDefault="006512FF" w:rsidP="006512FF">
      <w:pPr>
        <w:pStyle w:val="Tekstpodstawowywcity2"/>
        <w:numPr>
          <w:ilvl w:val="0"/>
          <w:numId w:val="29"/>
        </w:numPr>
        <w:spacing w:before="6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64C02" w:rsidRPr="002A75E1">
        <w:rPr>
          <w:rFonts w:asciiTheme="minorHAnsi" w:hAnsiTheme="minorHAnsi" w:cstheme="minorHAnsi"/>
        </w:rPr>
        <w:t>ożsamość przedmiotowa zamówienia – dostawy, usługi i roboty budowlane tego samego rodz</w:t>
      </w:r>
      <w:r w:rsidR="0096553B" w:rsidRPr="002A75E1">
        <w:rPr>
          <w:rFonts w:asciiTheme="minorHAnsi" w:hAnsiTheme="minorHAnsi" w:cstheme="minorHAnsi"/>
        </w:rPr>
        <w:t>aju i o tym samym przeznaczeniu;</w:t>
      </w:r>
    </w:p>
    <w:p w14:paraId="224E3257" w14:textId="62DCBEA8" w:rsidR="00764C02" w:rsidRPr="002A75E1" w:rsidRDefault="00764C02" w:rsidP="006512FF">
      <w:pPr>
        <w:pStyle w:val="Tekstpodstawowywcity2"/>
        <w:numPr>
          <w:ilvl w:val="0"/>
          <w:numId w:val="29"/>
        </w:numPr>
        <w:spacing w:before="60" w:after="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czasowa zamówienia – możliwe udzieleni</w:t>
      </w:r>
      <w:r w:rsidR="0096553B" w:rsidRPr="002A75E1">
        <w:rPr>
          <w:rFonts w:asciiTheme="minorHAnsi" w:hAnsiTheme="minorHAnsi" w:cstheme="minorHAnsi"/>
        </w:rPr>
        <w:t>e zamówienia w tym samym czasie;</w:t>
      </w:r>
    </w:p>
    <w:p w14:paraId="2CEDFA90" w14:textId="746049BC" w:rsidR="00764C02" w:rsidRPr="002A75E1" w:rsidRDefault="00764C02" w:rsidP="006512FF">
      <w:pPr>
        <w:pStyle w:val="Tekstpodstawowywcity2"/>
        <w:numPr>
          <w:ilvl w:val="0"/>
          <w:numId w:val="29"/>
        </w:numPr>
        <w:spacing w:before="60" w:after="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podmiotowa zamówienia – możliwość wykonania zamówienia przez jednego wykonawcę.</w:t>
      </w:r>
    </w:p>
    <w:p w14:paraId="40B240AD" w14:textId="57977CA2" w:rsidR="00F276B0" w:rsidRDefault="00764C02" w:rsidP="006512FF">
      <w:pPr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Zgodnie z zasadą konkurencyjności Zleceniobiorca zobowiązany jest do wysłania zapytania ofertowego do co najmniej trzech potencjalnych wykonawców – o ile na rynku istnieje trzech potencjalnych wykonawców danego zamówienia.</w:t>
      </w:r>
    </w:p>
    <w:p w14:paraId="18704320" w14:textId="18FAA519" w:rsidR="00764C02" w:rsidRPr="002A75E1" w:rsidRDefault="00764C02" w:rsidP="006512FF">
      <w:pPr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Zleceniobiorca zobowiązany jest </w:t>
      </w:r>
      <w:r w:rsidR="00AA1FD5">
        <w:rPr>
          <w:rFonts w:asciiTheme="minorHAnsi" w:hAnsiTheme="minorHAnsi" w:cstheme="minorHAnsi"/>
        </w:rPr>
        <w:t xml:space="preserve">również </w:t>
      </w:r>
      <w:r w:rsidRPr="002A75E1">
        <w:rPr>
          <w:rFonts w:asciiTheme="minorHAnsi" w:hAnsiTheme="minorHAnsi" w:cstheme="minorHAnsi"/>
        </w:rPr>
        <w:t>do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upublicznienia zapytania ofertowego – jeżeli Zleceniobiorca posiada stronę internetową zobowiązany jest do zamieszczenia zapytania ofertowego na swojej stronie internetowej. Zapytanie ofertowe może zostać zamieszczone 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siedzibie Zleceniobiorcy, w szczególności w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sytuacji gdy charakter zamówienia wskazuje, że może być to</w:t>
      </w:r>
      <w:r w:rsidR="0032634B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podstawowa forma dotarcia do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potencjalnych wykonawców.</w:t>
      </w:r>
    </w:p>
    <w:p w14:paraId="25CBD175" w14:textId="77777777" w:rsidR="00D669E7" w:rsidRPr="002A75E1" w:rsidRDefault="00D669E7" w:rsidP="006512FF">
      <w:pPr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w szczególności:</w:t>
      </w:r>
    </w:p>
    <w:p w14:paraId="172F3D23" w14:textId="77777777" w:rsidR="00D669E7" w:rsidRPr="002A75E1" w:rsidRDefault="0096553B" w:rsidP="006512FF">
      <w:pPr>
        <w:numPr>
          <w:ilvl w:val="0"/>
          <w:numId w:val="25"/>
        </w:numPr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opis przedmiotu zamówienia;</w:t>
      </w:r>
    </w:p>
    <w:p w14:paraId="0A493412" w14:textId="77777777" w:rsidR="00D669E7" w:rsidRPr="002A75E1" w:rsidRDefault="0096553B" w:rsidP="006512FF">
      <w:pPr>
        <w:numPr>
          <w:ilvl w:val="0"/>
          <w:numId w:val="25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kryteria oceny oferty;</w:t>
      </w:r>
    </w:p>
    <w:p w14:paraId="355F4D8A" w14:textId="77777777" w:rsidR="00D669E7" w:rsidRPr="002A75E1" w:rsidRDefault="00D669E7" w:rsidP="006512FF">
      <w:pPr>
        <w:numPr>
          <w:ilvl w:val="0"/>
          <w:numId w:val="25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wag punktowych lub procentowych przypisanych do poszcz</w:t>
      </w:r>
      <w:r w:rsidR="00241315" w:rsidRPr="002A75E1">
        <w:rPr>
          <w:rFonts w:asciiTheme="minorHAnsi" w:hAnsiTheme="minorHAnsi" w:cstheme="minorHAnsi"/>
        </w:rPr>
        <w:t>ególnych kryteriów oceny oferty</w:t>
      </w:r>
      <w:r w:rsidR="0096553B" w:rsidRPr="002A75E1">
        <w:rPr>
          <w:rFonts w:asciiTheme="minorHAnsi" w:hAnsiTheme="minorHAnsi" w:cstheme="minorHAnsi"/>
        </w:rPr>
        <w:t>;</w:t>
      </w:r>
    </w:p>
    <w:p w14:paraId="242E670C" w14:textId="77777777" w:rsidR="00D669E7" w:rsidRPr="002A75E1" w:rsidRDefault="00D669E7" w:rsidP="006512FF">
      <w:pPr>
        <w:numPr>
          <w:ilvl w:val="0"/>
          <w:numId w:val="25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sposobu przyznawania punktacji</w:t>
      </w:r>
      <w:r w:rsidR="00241315" w:rsidRPr="002A75E1">
        <w:rPr>
          <w:rFonts w:asciiTheme="minorHAnsi" w:hAnsiTheme="minorHAnsi" w:cstheme="minorHAnsi"/>
        </w:rPr>
        <w:t xml:space="preserve"> za spełnienie danego kryterium</w:t>
      </w:r>
      <w:r w:rsidR="0096553B" w:rsidRPr="002A75E1">
        <w:rPr>
          <w:rFonts w:asciiTheme="minorHAnsi" w:hAnsiTheme="minorHAnsi" w:cstheme="minorHAnsi"/>
        </w:rPr>
        <w:t>;</w:t>
      </w:r>
    </w:p>
    <w:p w14:paraId="23340EE1" w14:textId="77777777" w:rsidR="00D669E7" w:rsidRPr="002A75E1" w:rsidRDefault="00D669E7" w:rsidP="006512FF">
      <w:pPr>
        <w:numPr>
          <w:ilvl w:val="0"/>
          <w:numId w:val="25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zakresu wykluczenia z m</w:t>
      </w:r>
      <w:r w:rsidR="0096553B" w:rsidRPr="002A75E1">
        <w:rPr>
          <w:rFonts w:asciiTheme="minorHAnsi" w:hAnsiTheme="minorHAnsi" w:cstheme="minorHAnsi"/>
        </w:rPr>
        <w:t>ożliwości realizacji zamówienia;</w:t>
      </w:r>
    </w:p>
    <w:p w14:paraId="1F2B8736" w14:textId="77777777" w:rsidR="00D669E7" w:rsidRPr="002A75E1" w:rsidRDefault="00D669E7" w:rsidP="006512FF">
      <w:pPr>
        <w:numPr>
          <w:ilvl w:val="0"/>
          <w:numId w:val="25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tryb składania ofert oraz powiadamiania oferentów o wynikach prowadzonego po</w:t>
      </w:r>
      <w:r w:rsidR="0096553B" w:rsidRPr="002A75E1">
        <w:rPr>
          <w:rFonts w:asciiTheme="minorHAnsi" w:hAnsiTheme="minorHAnsi" w:cstheme="minorHAnsi"/>
        </w:rPr>
        <w:t>stępowania w sprawie zamówienia;</w:t>
      </w:r>
    </w:p>
    <w:p w14:paraId="63EEE24E" w14:textId="253FA20A" w:rsidR="00B658EA" w:rsidRDefault="00D669E7" w:rsidP="006512FF">
      <w:pPr>
        <w:numPr>
          <w:ilvl w:val="0"/>
          <w:numId w:val="25"/>
        </w:numPr>
        <w:spacing w:before="60" w:line="276" w:lineRule="auto"/>
        <w:ind w:left="714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termin składania ofert, przy czym termin ten nie może </w:t>
      </w:r>
      <w:r w:rsidR="009C1432" w:rsidRPr="002A75E1">
        <w:rPr>
          <w:rFonts w:asciiTheme="minorHAnsi" w:hAnsiTheme="minorHAnsi" w:cstheme="minorHAnsi"/>
        </w:rPr>
        <w:t>być</w:t>
      </w:r>
      <w:r w:rsidRPr="002A75E1">
        <w:rPr>
          <w:rFonts w:asciiTheme="minorHAnsi" w:hAnsiTheme="minorHAnsi" w:cstheme="minorHAnsi"/>
        </w:rPr>
        <w:t xml:space="preserve"> krótszy niż 5 dni roboczych od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dnia upublicznienia zapytania ofertowego (w</w:t>
      </w:r>
      <w:r w:rsidR="00657C3F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ofert składanych drogą pocztową powinna decydować data stempla pocztowego)</w:t>
      </w:r>
      <w:r w:rsidR="00657C3F" w:rsidRPr="002A75E1">
        <w:rPr>
          <w:rFonts w:asciiTheme="minorHAnsi" w:hAnsiTheme="minorHAnsi" w:cstheme="minorHAnsi"/>
        </w:rPr>
        <w:t>.</w:t>
      </w:r>
    </w:p>
    <w:p w14:paraId="5E6CB34F" w14:textId="02CA98E5" w:rsidR="00D76264" w:rsidRDefault="00764C02" w:rsidP="006512FF">
      <w:pPr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Dopuszcza się możliwość dzielenia zamówienia, tj. powierzenia wykonania danej usługi lub dostawy towarów kilku wykonawcom. Jeżeli suma części zamówienia przekracza </w:t>
      </w:r>
      <w:r w:rsidR="00AA1FD5" w:rsidRPr="002A75E1">
        <w:rPr>
          <w:rFonts w:asciiTheme="minorHAnsi" w:hAnsiTheme="minorHAnsi" w:cstheme="minorHAnsi"/>
        </w:rPr>
        <w:t>równowartość kwoty 14 tys. euro netto (tj. bez podatku VAT)</w:t>
      </w:r>
      <w:r w:rsidRPr="002A75E1">
        <w:rPr>
          <w:rFonts w:asciiTheme="minorHAnsi" w:hAnsiTheme="minorHAnsi" w:cstheme="minorHAnsi"/>
        </w:rPr>
        <w:t xml:space="preserve">, Zleceniobiorca zobowiązany jest do stosowania zasady konkurencyjności oraz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wskazać w</w:t>
      </w:r>
      <w:r w:rsidR="00D04C9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zapytaniu ofertowym, że dotyczy ono realizacji częściowych zamówień przez wykonawców. W przypadku gdy możliwe jest składanie ofert częściowych postępowanie może zakończyć się wyborem kilku wykonawców.</w:t>
      </w:r>
      <w:r w:rsidR="00D76264">
        <w:rPr>
          <w:rFonts w:asciiTheme="minorHAnsi" w:hAnsiTheme="minorHAnsi" w:cstheme="minorHAnsi"/>
        </w:rPr>
        <w:br w:type="page"/>
      </w:r>
    </w:p>
    <w:p w14:paraId="0B27C9E6" w14:textId="77777777" w:rsidR="00071B37" w:rsidRPr="002A75E1" w:rsidRDefault="00071B37" w:rsidP="006512FF">
      <w:pPr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Zamówienie</w:t>
      </w:r>
      <w:r w:rsidR="00C356CB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nie może zostać udzielone podmiotom powiązanym osobowo lub kapitałowo ze</w:t>
      </w:r>
      <w:r w:rsidR="00FE5689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Zleceniobiorcą lub osobami upoważnio</w:t>
      </w:r>
      <w:r w:rsidR="008711F6" w:rsidRPr="002A75E1">
        <w:rPr>
          <w:rFonts w:asciiTheme="minorHAnsi" w:hAnsiTheme="minorHAnsi" w:cstheme="minorHAnsi"/>
        </w:rPr>
        <w:t xml:space="preserve">nymi do zaciągania zobowiązań w </w:t>
      </w:r>
      <w:r w:rsidRPr="002A75E1">
        <w:rPr>
          <w:rFonts w:asciiTheme="minorHAnsi" w:hAnsiTheme="minorHAnsi" w:cstheme="minorHAnsi"/>
        </w:rPr>
        <w:t>imieniu Zleceniobiorcy lub osobami wykonującymi w imieniu Zleceniobiorcy czynności związane z</w:t>
      </w:r>
      <w:r w:rsidR="008711F6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przygotowaniem i</w:t>
      </w:r>
      <w:r w:rsidR="00C356C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przeprowadzeniem procedury wyboru wykonawcy, w szczególności poprzez:</w:t>
      </w:r>
    </w:p>
    <w:p w14:paraId="10793B1F" w14:textId="77777777" w:rsidR="00071B37" w:rsidRPr="002A75E1" w:rsidRDefault="00071B37" w:rsidP="006512FF">
      <w:pPr>
        <w:numPr>
          <w:ilvl w:val="0"/>
          <w:numId w:val="17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</w:t>
      </w:r>
      <w:r w:rsidR="0096553B" w:rsidRPr="002A75E1">
        <w:rPr>
          <w:rFonts w:asciiTheme="minorHAnsi" w:hAnsiTheme="minorHAnsi" w:cstheme="minorHAnsi"/>
        </w:rPr>
        <w:t>ki cywilnej lub spółki osobowej;</w:t>
      </w:r>
    </w:p>
    <w:p w14:paraId="15DDE171" w14:textId="77777777" w:rsidR="00071B37" w:rsidRPr="002A75E1" w:rsidRDefault="00071B37" w:rsidP="006512FF">
      <w:pPr>
        <w:numPr>
          <w:ilvl w:val="0"/>
          <w:numId w:val="17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</w:t>
      </w:r>
      <w:r w:rsidR="0096553B" w:rsidRPr="002A75E1">
        <w:rPr>
          <w:rFonts w:asciiTheme="minorHAnsi" w:hAnsiTheme="minorHAnsi" w:cstheme="minorHAnsi"/>
        </w:rPr>
        <w:t>iałów lub co najmniej 10% akcji;</w:t>
      </w:r>
    </w:p>
    <w:p w14:paraId="7C1E62F8" w14:textId="77777777" w:rsidR="00071B37" w:rsidRPr="002A75E1" w:rsidRDefault="00071B37" w:rsidP="006512FF">
      <w:pPr>
        <w:numPr>
          <w:ilvl w:val="0"/>
          <w:numId w:val="17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</w:t>
      </w:r>
      <w:r w:rsidR="0096553B" w:rsidRPr="002A75E1">
        <w:rPr>
          <w:rFonts w:asciiTheme="minorHAnsi" w:hAnsiTheme="minorHAnsi" w:cstheme="minorHAnsi"/>
        </w:rPr>
        <w:t>ącego, prokurenta, pełnomocnika;</w:t>
      </w:r>
    </w:p>
    <w:p w14:paraId="34C7C9C4" w14:textId="212ADB06" w:rsidR="00F276B0" w:rsidRDefault="00071B37" w:rsidP="006512FF">
      <w:pPr>
        <w:numPr>
          <w:ilvl w:val="0"/>
          <w:numId w:val="17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</w:t>
      </w:r>
      <w:r w:rsidR="006512FF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linii prostej, pokrewieństwa lub powinowactwa w linii bocznej do drugiego stopnia lub w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6F943FD6" w14:textId="049EC5D2" w:rsidR="00764C02" w:rsidRPr="002A75E1" w:rsidRDefault="00764C02" w:rsidP="006512FF">
      <w:pPr>
        <w:numPr>
          <w:ilvl w:val="0"/>
          <w:numId w:val="20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Potencjalny wykonawca zobowiązany jest załączyć do oferty oświadczenie o braku powiązań kapitałowych lub osobowych.</w:t>
      </w:r>
      <w:r w:rsidR="008711F6" w:rsidRPr="002A75E1">
        <w:rPr>
          <w:rFonts w:asciiTheme="minorHAnsi" w:hAnsiTheme="minorHAnsi" w:cstheme="minorHAnsi"/>
        </w:rPr>
        <w:t xml:space="preserve"> </w:t>
      </w:r>
      <w:r w:rsidR="00D04C97">
        <w:rPr>
          <w:rFonts w:asciiTheme="minorHAnsi" w:hAnsiTheme="minorHAnsi" w:cstheme="minorHAnsi"/>
        </w:rPr>
        <w:t xml:space="preserve">Wyłączenia kapitałowe lub osobowe </w:t>
      </w:r>
      <w:r w:rsidR="008711F6" w:rsidRPr="002A75E1">
        <w:rPr>
          <w:rFonts w:asciiTheme="minorHAnsi" w:hAnsiTheme="minorHAnsi" w:cstheme="minorHAnsi"/>
        </w:rPr>
        <w:t xml:space="preserve">nie mają zastosowania do zamówień dotyczących zadań wykonywanych przez personel </w:t>
      </w:r>
      <w:r w:rsidR="00FF2339">
        <w:rPr>
          <w:rFonts w:asciiTheme="minorHAnsi" w:hAnsiTheme="minorHAnsi" w:cstheme="minorHAnsi"/>
        </w:rPr>
        <w:t xml:space="preserve">administracyjny lub merytoryczny </w:t>
      </w:r>
      <w:r w:rsidR="008711F6" w:rsidRPr="002A75E1">
        <w:rPr>
          <w:rFonts w:asciiTheme="minorHAnsi" w:hAnsiTheme="minorHAnsi" w:cstheme="minorHAnsi"/>
        </w:rPr>
        <w:t>projektu.</w:t>
      </w:r>
    </w:p>
    <w:p w14:paraId="2561FA91" w14:textId="25A18F5C" w:rsidR="00D81A98" w:rsidRDefault="00764C02" w:rsidP="006512FF">
      <w:pPr>
        <w:numPr>
          <w:ilvl w:val="0"/>
          <w:numId w:val="20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Wybór najkorzystniejszej oferty dokonywany jest w oparciu o ustalone w zapytaniu ofertowym kryteria. Wybór oferty musi zostać udokumentowany protokołem, sporządzonym w</w:t>
      </w:r>
      <w:r w:rsidR="00DE221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formie pisemnej. Protokół jest dokumentem potwierdzającym prawidłowość wyboru wykonawcy zgodnie z zasadą konkurencyjności 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co najmniej:</w:t>
      </w:r>
    </w:p>
    <w:p w14:paraId="3AD65009" w14:textId="77777777" w:rsidR="00764C02" w:rsidRPr="002A75E1" w:rsidRDefault="00764C02" w:rsidP="006512FF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do jakich co najmniej trzech potencjalnych wykonawców Zleceniobiorca wysłał zapytanie ofertowe lub informację o tym, że na rynku nie istnieje trzech potencjalnych wykonawców wraz z uzasadnieniem wskazującym na obiektywne prz</w:t>
      </w:r>
      <w:r w:rsidR="0096553B" w:rsidRPr="002A75E1">
        <w:rPr>
          <w:rFonts w:asciiTheme="minorHAnsi" w:hAnsiTheme="minorHAnsi" w:cstheme="minorHAnsi"/>
        </w:rPr>
        <w:t>esłanki potwierdzające ten fakt;</w:t>
      </w:r>
    </w:p>
    <w:p w14:paraId="4AC94E6C" w14:textId="77777777" w:rsidR="00764C02" w:rsidRPr="002A75E1" w:rsidRDefault="00764C02" w:rsidP="006512FF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o sposobie upub</w:t>
      </w:r>
      <w:r w:rsidR="0096553B" w:rsidRPr="002A75E1">
        <w:rPr>
          <w:rFonts w:asciiTheme="minorHAnsi" w:hAnsiTheme="minorHAnsi" w:cstheme="minorHAnsi"/>
        </w:rPr>
        <w:t>licznienia zapytania ofertowego;</w:t>
      </w:r>
    </w:p>
    <w:p w14:paraId="27D26751" w14:textId="04662447" w:rsidR="005C2DD2" w:rsidRDefault="00764C02" w:rsidP="006512FF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wykaz ofert, które wpłynęły do Zleceniobiorcy w odpowiedzi na zapytanie ofertowe wraz ze wskazaniem daty wpływu oferty do Zleceniobiorcy oraz z podaniem tych danych z ofert, które stanowią od</w:t>
      </w:r>
      <w:r w:rsidR="0096553B" w:rsidRPr="002A75E1">
        <w:rPr>
          <w:rFonts w:asciiTheme="minorHAnsi" w:hAnsiTheme="minorHAnsi" w:cstheme="minorHAnsi"/>
        </w:rPr>
        <w:t>powiedź na kryteria oceny ofert;</w:t>
      </w:r>
    </w:p>
    <w:p w14:paraId="4DD25F59" w14:textId="77777777" w:rsidR="00764C02" w:rsidRPr="002A75E1" w:rsidRDefault="00764C02" w:rsidP="006512FF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o wagach punktowych lub procentowych przypisanych do poszczególnych kryteriów oceny, sposobu przyznawania punktacji</w:t>
      </w:r>
      <w:r w:rsidR="0096553B" w:rsidRPr="002A75E1">
        <w:rPr>
          <w:rFonts w:asciiTheme="minorHAnsi" w:hAnsiTheme="minorHAnsi" w:cstheme="minorHAnsi"/>
        </w:rPr>
        <w:t xml:space="preserve"> za spełnienie danego kryterium;</w:t>
      </w:r>
    </w:p>
    <w:p w14:paraId="1AA0B9C4" w14:textId="77777777" w:rsidR="00764C02" w:rsidRPr="002A75E1" w:rsidRDefault="00764C02" w:rsidP="006512FF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wskazanie wybranej ofe</w:t>
      </w:r>
      <w:r w:rsidR="0096553B" w:rsidRPr="002A75E1">
        <w:rPr>
          <w:rFonts w:asciiTheme="minorHAnsi" w:hAnsiTheme="minorHAnsi" w:cstheme="minorHAnsi"/>
        </w:rPr>
        <w:t>rty wraz z uzasadnieniem wyboru;</w:t>
      </w:r>
    </w:p>
    <w:p w14:paraId="23036547" w14:textId="77777777" w:rsidR="00764C02" w:rsidRPr="002A75E1" w:rsidRDefault="00764C02" w:rsidP="006512FF">
      <w:pPr>
        <w:numPr>
          <w:ilvl w:val="0"/>
          <w:numId w:val="18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datę sporządzenia protokołu i podpis Zleceniobiorcy lub osoby upoważnionej przez Zleceniobiorcę do podejmowania czynności w jego imieniu.</w:t>
      </w:r>
    </w:p>
    <w:p w14:paraId="54511CCC" w14:textId="40A9A084" w:rsidR="00764C02" w:rsidRPr="002A75E1" w:rsidRDefault="00764C02" w:rsidP="006512FF">
      <w:pPr>
        <w:numPr>
          <w:ilvl w:val="0"/>
          <w:numId w:val="20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Do protokołu Zleceniobiorca załącza:</w:t>
      </w:r>
    </w:p>
    <w:p w14:paraId="46CAAD4E" w14:textId="77777777" w:rsidR="00764C02" w:rsidRPr="002A75E1" w:rsidRDefault="00764C02" w:rsidP="006512FF">
      <w:pPr>
        <w:numPr>
          <w:ilvl w:val="0"/>
          <w:numId w:val="19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potwierdzenie udokumentowania publikacji za</w:t>
      </w:r>
      <w:r w:rsidR="0096553B" w:rsidRPr="002A75E1">
        <w:rPr>
          <w:rFonts w:asciiTheme="minorHAnsi" w:hAnsiTheme="minorHAnsi" w:cstheme="minorHAnsi"/>
        </w:rPr>
        <w:t>pytania na stronie internetowej;</w:t>
      </w:r>
    </w:p>
    <w:p w14:paraId="68675217" w14:textId="5B363280" w:rsidR="00D76264" w:rsidRDefault="00764C02" w:rsidP="006512FF">
      <w:pPr>
        <w:numPr>
          <w:ilvl w:val="0"/>
          <w:numId w:val="19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złożone oferty wraz z oświadczeniami wykonawców o braku powiązań kapitałowych lub </w:t>
      </w:r>
      <w:r w:rsidR="0096553B" w:rsidRPr="002A75E1">
        <w:rPr>
          <w:rFonts w:asciiTheme="minorHAnsi" w:hAnsiTheme="minorHAnsi" w:cstheme="minorHAnsi"/>
        </w:rPr>
        <w:t>osobowych;</w:t>
      </w:r>
      <w:r w:rsidR="00D76264">
        <w:rPr>
          <w:rFonts w:asciiTheme="minorHAnsi" w:hAnsiTheme="minorHAnsi" w:cstheme="minorHAnsi"/>
        </w:rPr>
        <w:br w:type="page"/>
      </w:r>
    </w:p>
    <w:p w14:paraId="5EC52481" w14:textId="77777777" w:rsidR="00764C02" w:rsidRPr="002A75E1" w:rsidRDefault="00764C02" w:rsidP="006512FF">
      <w:pPr>
        <w:numPr>
          <w:ilvl w:val="0"/>
          <w:numId w:val="19"/>
        </w:numPr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lastRenderedPageBreak/>
        <w:t>oświadczenie/oświadczenia Zleceniobiorcy o braku powiązań z wykonawcami, którzy złożyli oferty – podpisane przez Zleceniobiorcę lub osoby upoważnione do zaciągania zobowiązań w imieniu Zleceniobiorcy lub osoby wykonujące w imieniu Zleceniobiorcy czynności związane z przygotowaniem i przeprowadzeniem procedury wyboru wykonawcy.</w:t>
      </w:r>
    </w:p>
    <w:p w14:paraId="4C165522" w14:textId="77777777" w:rsidR="00764C02" w:rsidRPr="002A75E1" w:rsidRDefault="00764C02" w:rsidP="006512FF">
      <w:pPr>
        <w:numPr>
          <w:ilvl w:val="0"/>
          <w:numId w:val="20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Po zakończeniu postępowania Zleceniobiorca </w:t>
      </w:r>
      <w:r w:rsidR="004562A6" w:rsidRPr="002A75E1">
        <w:rPr>
          <w:rFonts w:asciiTheme="minorHAnsi" w:hAnsiTheme="minorHAnsi" w:cstheme="minorHAnsi"/>
        </w:rPr>
        <w:t xml:space="preserve">bezzwłocznie </w:t>
      </w:r>
      <w:r w:rsidRPr="002A75E1">
        <w:rPr>
          <w:rFonts w:asciiTheme="minorHAnsi" w:hAnsiTheme="minorHAnsi" w:cstheme="minorHAnsi"/>
        </w:rPr>
        <w:t xml:space="preserve">informuje każdego wykonawcę, który złożył ofertę o wyniku postępowania. </w:t>
      </w:r>
      <w:r w:rsidR="004562A6" w:rsidRPr="002A75E1">
        <w:rPr>
          <w:rFonts w:asciiTheme="minorHAnsi" w:hAnsiTheme="minorHAnsi" w:cstheme="minorHAnsi"/>
        </w:rPr>
        <w:t xml:space="preserve">Jeżeli Zleceniobiorca posiada stronę internetową – zobowiązany jest do zamieszczenia bezzwłocznie na stronie internetowej informacji dotyczących zakończonego postępowania (w tym o wyborze najkorzystniejszej oferty) oraz ogłoszenia o udzieleniu zamówienia. </w:t>
      </w:r>
      <w:r w:rsidR="00AE5DEC" w:rsidRPr="002A75E1">
        <w:rPr>
          <w:rFonts w:asciiTheme="minorHAnsi" w:hAnsiTheme="minorHAnsi" w:cstheme="minorHAnsi"/>
        </w:rPr>
        <w:t>Z</w:t>
      </w:r>
      <w:r w:rsidR="0063489D" w:rsidRPr="002A75E1">
        <w:rPr>
          <w:rFonts w:asciiTheme="minorHAnsi" w:hAnsiTheme="minorHAnsi" w:cstheme="minorHAnsi"/>
        </w:rPr>
        <w:t xml:space="preserve"> </w:t>
      </w:r>
      <w:r w:rsidR="009153BC" w:rsidRPr="002A75E1">
        <w:rPr>
          <w:rFonts w:asciiTheme="minorHAnsi" w:hAnsiTheme="minorHAnsi" w:cstheme="minorHAnsi"/>
        </w:rPr>
        <w:t>wybranym zgodnie z zasadą konkurencyjności wykonawcą (wykonawcami) Zleceniobiorca zawiera w</w:t>
      </w:r>
      <w:r w:rsidR="004562A6" w:rsidRPr="002A75E1">
        <w:rPr>
          <w:rFonts w:asciiTheme="minorHAnsi" w:hAnsiTheme="minorHAnsi" w:cstheme="minorHAnsi"/>
        </w:rPr>
        <w:t xml:space="preserve"> </w:t>
      </w:r>
      <w:r w:rsidR="009153BC" w:rsidRPr="002A75E1">
        <w:rPr>
          <w:rFonts w:asciiTheme="minorHAnsi" w:hAnsiTheme="minorHAnsi" w:cstheme="minorHAnsi"/>
        </w:rPr>
        <w:t>formie pisemnej umowę o</w:t>
      </w:r>
      <w:r w:rsidR="004562A6" w:rsidRPr="002A75E1">
        <w:rPr>
          <w:rFonts w:asciiTheme="minorHAnsi" w:hAnsiTheme="minorHAnsi" w:cstheme="minorHAnsi"/>
        </w:rPr>
        <w:t> </w:t>
      </w:r>
      <w:r w:rsidR="009153BC" w:rsidRPr="002A75E1">
        <w:rPr>
          <w:rFonts w:asciiTheme="minorHAnsi" w:hAnsiTheme="minorHAnsi" w:cstheme="minorHAnsi"/>
        </w:rPr>
        <w:t>wykonanie zamówienia.</w:t>
      </w:r>
    </w:p>
    <w:p w14:paraId="0FCCE540" w14:textId="77777777" w:rsidR="00764C02" w:rsidRPr="002A75E1" w:rsidRDefault="00764C02" w:rsidP="006512FF">
      <w:pPr>
        <w:numPr>
          <w:ilvl w:val="0"/>
          <w:numId w:val="20"/>
        </w:numPr>
        <w:spacing w:before="120" w:line="276" w:lineRule="auto"/>
        <w:ind w:left="341" w:hanging="454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Zasadę konkurencyjności uważa się za spełnioną w przypadku gdy Zleceniobiorca pomimo wysłania zapytania ofertowego do tr</w:t>
      </w:r>
      <w:r w:rsidR="0032634B" w:rsidRPr="002A75E1">
        <w:rPr>
          <w:rFonts w:asciiTheme="minorHAnsi" w:hAnsiTheme="minorHAnsi" w:cstheme="minorHAnsi"/>
        </w:rPr>
        <w:t xml:space="preserve">zech potencjalnych wykonawców i </w:t>
      </w:r>
      <w:r w:rsidRPr="002A75E1">
        <w:rPr>
          <w:rFonts w:asciiTheme="minorHAnsi" w:hAnsiTheme="minorHAnsi" w:cstheme="minorHAnsi"/>
        </w:rPr>
        <w:t>upublicznienia zapytania ofertowego otrzymał tylko jedną ważną ofertę.</w:t>
      </w:r>
    </w:p>
    <w:sectPr w:rsidR="00764C02" w:rsidRPr="002A75E1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671D3" w14:textId="77777777" w:rsidR="00CB2179" w:rsidRDefault="00CB2179">
      <w:r>
        <w:separator/>
      </w:r>
    </w:p>
  </w:endnote>
  <w:endnote w:type="continuationSeparator" w:id="0">
    <w:p w14:paraId="762B69E4" w14:textId="77777777" w:rsidR="00CB2179" w:rsidRDefault="00CB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3B090" w14:textId="430EE795" w:rsidR="00C15D4B" w:rsidRPr="000145BA" w:rsidRDefault="00764C02" w:rsidP="00D76264">
    <w:pPr>
      <w:pStyle w:val="Stopka"/>
      <w:tabs>
        <w:tab w:val="clear" w:pos="4536"/>
        <w:tab w:val="clear" w:pos="9072"/>
      </w:tabs>
      <w:jc w:val="right"/>
      <w:rPr>
        <w:rFonts w:asciiTheme="minorHAnsi" w:hAnsiTheme="minorHAnsi" w:cstheme="minorHAnsi"/>
      </w:rPr>
    </w:pPr>
    <w:r w:rsidRPr="000145BA">
      <w:rPr>
        <w:rFonts w:asciiTheme="minorHAnsi" w:hAnsiTheme="minorHAnsi" w:cstheme="minorHAnsi"/>
      </w:rPr>
      <w:fldChar w:fldCharType="begin"/>
    </w:r>
    <w:r w:rsidRPr="000145BA">
      <w:rPr>
        <w:rFonts w:asciiTheme="minorHAnsi" w:hAnsiTheme="minorHAnsi" w:cstheme="minorHAnsi"/>
      </w:rPr>
      <w:instrText xml:space="preserve"> PAGE   \* MERGEFORMAT </w:instrText>
    </w:r>
    <w:r w:rsidRPr="000145BA">
      <w:rPr>
        <w:rFonts w:asciiTheme="minorHAnsi" w:hAnsiTheme="minorHAnsi" w:cstheme="minorHAnsi"/>
      </w:rPr>
      <w:fldChar w:fldCharType="separate"/>
    </w:r>
    <w:r w:rsidR="00FE5689" w:rsidRPr="000145BA">
      <w:rPr>
        <w:rFonts w:asciiTheme="minorHAnsi" w:hAnsiTheme="minorHAnsi" w:cstheme="minorHAnsi"/>
        <w:noProof/>
      </w:rPr>
      <w:t>13</w:t>
    </w:r>
    <w:r w:rsidRPr="000145BA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3914E" w14:textId="77777777" w:rsidR="00CB2179" w:rsidRDefault="00CB2179">
      <w:r>
        <w:separator/>
      </w:r>
    </w:p>
  </w:footnote>
  <w:footnote w:type="continuationSeparator" w:id="0">
    <w:p w14:paraId="2266246D" w14:textId="77777777" w:rsidR="00CB2179" w:rsidRDefault="00CB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D0A2D" w14:textId="67BCF4B6" w:rsidR="00764C02" w:rsidRPr="000145BA" w:rsidRDefault="00764C02">
    <w:pPr>
      <w:pStyle w:val="Nagwek"/>
      <w:jc w:val="center"/>
      <w:rPr>
        <w:rFonts w:asciiTheme="minorHAnsi" w:hAnsiTheme="minorHAnsi" w:cstheme="minorHAnsi"/>
        <w:iCs/>
        <w:sz w:val="22"/>
        <w:szCs w:val="22"/>
      </w:rPr>
    </w:pPr>
    <w:r w:rsidRPr="000145BA">
      <w:rPr>
        <w:rFonts w:asciiTheme="minorHAnsi" w:hAnsiTheme="minorHAnsi" w:cstheme="minorHAnsi"/>
        <w:iCs/>
        <w:sz w:val="22"/>
        <w:szCs w:val="22"/>
      </w:rPr>
      <w:t>Wytyczne w zakresie kwalifikowalności kosztów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3F6C"/>
    <w:multiLevelType w:val="hybridMultilevel"/>
    <w:tmpl w:val="692C457A"/>
    <w:lvl w:ilvl="0" w:tplc="DE5635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C21F4"/>
    <w:multiLevelType w:val="hybridMultilevel"/>
    <w:tmpl w:val="12EA0434"/>
    <w:lvl w:ilvl="0" w:tplc="64383D6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C9626038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2" w:tplc="5810E886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3" w:tplc="771C0A46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234BE"/>
    <w:multiLevelType w:val="hybridMultilevel"/>
    <w:tmpl w:val="C1A0CEBE"/>
    <w:lvl w:ilvl="0" w:tplc="A372E2C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2DEB"/>
    <w:multiLevelType w:val="hybridMultilevel"/>
    <w:tmpl w:val="583C74AE"/>
    <w:lvl w:ilvl="0" w:tplc="AE7C5250">
      <w:start w:val="1"/>
      <w:numFmt w:val="decimal"/>
      <w:pStyle w:val="Nagwek2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25888"/>
    <w:multiLevelType w:val="hybridMultilevel"/>
    <w:tmpl w:val="20548B7A"/>
    <w:lvl w:ilvl="0" w:tplc="F8AEE904">
      <w:start w:val="1"/>
      <w:numFmt w:val="lowerLetter"/>
      <w:lvlText w:val="%1)"/>
      <w:lvlJc w:val="left"/>
      <w:pPr>
        <w:ind w:left="1097" w:hanging="360"/>
      </w:pPr>
      <w:rPr>
        <w:rFonts w:ascii="Calibri" w:hAnsi="Calibri" w:cstheme="minorBid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7FA0AB4"/>
    <w:multiLevelType w:val="hybridMultilevel"/>
    <w:tmpl w:val="E1C283BA"/>
    <w:lvl w:ilvl="0" w:tplc="DC9E34D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7562C"/>
    <w:multiLevelType w:val="hybridMultilevel"/>
    <w:tmpl w:val="0938E3B8"/>
    <w:lvl w:ilvl="0" w:tplc="F724E790">
      <w:start w:val="1"/>
      <w:numFmt w:val="decimal"/>
      <w:lvlText w:val="%1)"/>
      <w:lvlJc w:val="left"/>
      <w:pPr>
        <w:ind w:left="701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7" w15:restartNumberingAfterBreak="0">
    <w:nsid w:val="24133917"/>
    <w:multiLevelType w:val="hybridMultilevel"/>
    <w:tmpl w:val="455424F8"/>
    <w:lvl w:ilvl="0" w:tplc="4A668B6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4050F"/>
    <w:multiLevelType w:val="hybridMultilevel"/>
    <w:tmpl w:val="A5A07162"/>
    <w:lvl w:ilvl="0" w:tplc="1CC62EF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D7B1A"/>
    <w:multiLevelType w:val="hybridMultilevel"/>
    <w:tmpl w:val="692EA4BE"/>
    <w:lvl w:ilvl="0" w:tplc="A604864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65DC9"/>
    <w:multiLevelType w:val="hybridMultilevel"/>
    <w:tmpl w:val="98940EB0"/>
    <w:lvl w:ilvl="0" w:tplc="671AC3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3BA234A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2" w:tplc="BE1247FA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3" w:tplc="7414A5C0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5DEA7104">
      <w:start w:val="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D34468"/>
    <w:multiLevelType w:val="hybridMultilevel"/>
    <w:tmpl w:val="DECE4106"/>
    <w:lvl w:ilvl="0" w:tplc="6882BF2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4722462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B341B"/>
    <w:multiLevelType w:val="hybridMultilevel"/>
    <w:tmpl w:val="85A8EE40"/>
    <w:lvl w:ilvl="0" w:tplc="73423D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D75A0F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C025A"/>
    <w:multiLevelType w:val="hybridMultilevel"/>
    <w:tmpl w:val="BE3C9BEA"/>
    <w:lvl w:ilvl="0" w:tplc="BE86CD2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C1204"/>
    <w:multiLevelType w:val="hybridMultilevel"/>
    <w:tmpl w:val="116A8CF2"/>
    <w:lvl w:ilvl="0" w:tplc="AB22CE4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B7E69"/>
    <w:multiLevelType w:val="hybridMultilevel"/>
    <w:tmpl w:val="879A95F8"/>
    <w:lvl w:ilvl="0" w:tplc="A9EA263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16A1"/>
    <w:multiLevelType w:val="hybridMultilevel"/>
    <w:tmpl w:val="EB24679C"/>
    <w:lvl w:ilvl="0" w:tplc="CB783F90">
      <w:start w:val="1"/>
      <w:numFmt w:val="decimal"/>
      <w:lvlText w:val="%1)"/>
      <w:lvlJc w:val="left"/>
      <w:pPr>
        <w:ind w:left="701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7" w15:restartNumberingAfterBreak="0">
    <w:nsid w:val="4D574720"/>
    <w:multiLevelType w:val="hybridMultilevel"/>
    <w:tmpl w:val="252A10F0"/>
    <w:lvl w:ilvl="0" w:tplc="F592666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2B1D5F"/>
    <w:multiLevelType w:val="hybridMultilevel"/>
    <w:tmpl w:val="736A2BD8"/>
    <w:lvl w:ilvl="0" w:tplc="54E426E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003ED"/>
    <w:multiLevelType w:val="hybridMultilevel"/>
    <w:tmpl w:val="82DA5E3E"/>
    <w:lvl w:ilvl="0" w:tplc="1CC62EF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B312567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2" w:tplc="B90EC44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B4899"/>
    <w:multiLevelType w:val="hybridMultilevel"/>
    <w:tmpl w:val="26AA9410"/>
    <w:lvl w:ilvl="0" w:tplc="1E1A2D2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76F7A"/>
    <w:multiLevelType w:val="hybridMultilevel"/>
    <w:tmpl w:val="5F8CE81E"/>
    <w:lvl w:ilvl="0" w:tplc="40289A00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E743A"/>
    <w:multiLevelType w:val="hybridMultilevel"/>
    <w:tmpl w:val="EF60EB2E"/>
    <w:lvl w:ilvl="0" w:tplc="1D9415A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8534B"/>
    <w:multiLevelType w:val="hybridMultilevel"/>
    <w:tmpl w:val="01C2D7CC"/>
    <w:lvl w:ilvl="0" w:tplc="7D26919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5AF8"/>
    <w:multiLevelType w:val="hybridMultilevel"/>
    <w:tmpl w:val="83A86E48"/>
    <w:lvl w:ilvl="0" w:tplc="696E108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A45FF"/>
    <w:multiLevelType w:val="hybridMultilevel"/>
    <w:tmpl w:val="DF9E479A"/>
    <w:lvl w:ilvl="0" w:tplc="5968480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E6F40"/>
    <w:multiLevelType w:val="hybridMultilevel"/>
    <w:tmpl w:val="7A660C0E"/>
    <w:lvl w:ilvl="0" w:tplc="57D27E16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1C359E"/>
    <w:multiLevelType w:val="singleLevel"/>
    <w:tmpl w:val="53B0E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28" w15:restartNumberingAfterBreak="0">
    <w:nsid w:val="7C331327"/>
    <w:multiLevelType w:val="hybridMultilevel"/>
    <w:tmpl w:val="40DCC3E6"/>
    <w:lvl w:ilvl="0" w:tplc="A95EEF4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7A7319"/>
    <w:multiLevelType w:val="hybridMultilevel"/>
    <w:tmpl w:val="C7549C24"/>
    <w:lvl w:ilvl="0" w:tplc="C962603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5"/>
  </w:num>
  <w:num w:numId="3">
    <w:abstractNumId w:val="11"/>
  </w:num>
  <w:num w:numId="4">
    <w:abstractNumId w:val="1"/>
  </w:num>
  <w:num w:numId="5">
    <w:abstractNumId w:val="20"/>
  </w:num>
  <w:num w:numId="6">
    <w:abstractNumId w:val="26"/>
  </w:num>
  <w:num w:numId="7">
    <w:abstractNumId w:val="27"/>
  </w:num>
  <w:num w:numId="8">
    <w:abstractNumId w:val="9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2"/>
  </w:num>
  <w:num w:numId="14">
    <w:abstractNumId w:val="7"/>
  </w:num>
  <w:num w:numId="15">
    <w:abstractNumId w:val="5"/>
  </w:num>
  <w:num w:numId="16">
    <w:abstractNumId w:val="3"/>
  </w:num>
  <w:num w:numId="17">
    <w:abstractNumId w:val="28"/>
  </w:num>
  <w:num w:numId="18">
    <w:abstractNumId w:val="18"/>
  </w:num>
  <w:num w:numId="19">
    <w:abstractNumId w:val="17"/>
  </w:num>
  <w:num w:numId="20">
    <w:abstractNumId w:val="12"/>
  </w:num>
  <w:num w:numId="21">
    <w:abstractNumId w:val="22"/>
  </w:num>
  <w:num w:numId="22">
    <w:abstractNumId w:val="6"/>
  </w:num>
  <w:num w:numId="23">
    <w:abstractNumId w:val="16"/>
  </w:num>
  <w:num w:numId="24">
    <w:abstractNumId w:val="21"/>
  </w:num>
  <w:num w:numId="25">
    <w:abstractNumId w:val="13"/>
  </w:num>
  <w:num w:numId="26">
    <w:abstractNumId w:val="24"/>
  </w:num>
  <w:num w:numId="27">
    <w:abstractNumId w:val="23"/>
  </w:num>
  <w:num w:numId="28">
    <w:abstractNumId w:val="29"/>
  </w:num>
  <w:num w:numId="29">
    <w:abstractNumId w:val="8"/>
  </w:num>
  <w:num w:numId="30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F9"/>
    <w:rsid w:val="00000DE8"/>
    <w:rsid w:val="0000212B"/>
    <w:rsid w:val="00005949"/>
    <w:rsid w:val="0000733E"/>
    <w:rsid w:val="000145BA"/>
    <w:rsid w:val="000220F9"/>
    <w:rsid w:val="00022CA1"/>
    <w:rsid w:val="00030870"/>
    <w:rsid w:val="000339B7"/>
    <w:rsid w:val="00036AB8"/>
    <w:rsid w:val="00047FD4"/>
    <w:rsid w:val="00062D05"/>
    <w:rsid w:val="00071B37"/>
    <w:rsid w:val="00081E8D"/>
    <w:rsid w:val="0008351E"/>
    <w:rsid w:val="00084970"/>
    <w:rsid w:val="000B11C1"/>
    <w:rsid w:val="000B4734"/>
    <w:rsid w:val="000F0E16"/>
    <w:rsid w:val="000F7188"/>
    <w:rsid w:val="00102867"/>
    <w:rsid w:val="0011758E"/>
    <w:rsid w:val="001214B3"/>
    <w:rsid w:val="0013272E"/>
    <w:rsid w:val="00136E11"/>
    <w:rsid w:val="001459F3"/>
    <w:rsid w:val="00151C43"/>
    <w:rsid w:val="00165312"/>
    <w:rsid w:val="00186001"/>
    <w:rsid w:val="001965BE"/>
    <w:rsid w:val="001A6D77"/>
    <w:rsid w:val="001B134D"/>
    <w:rsid w:val="001D53E3"/>
    <w:rsid w:val="001E7AAA"/>
    <w:rsid w:val="00202F93"/>
    <w:rsid w:val="00221645"/>
    <w:rsid w:val="00223CDE"/>
    <w:rsid w:val="00231A7A"/>
    <w:rsid w:val="0023357A"/>
    <w:rsid w:val="00236CB7"/>
    <w:rsid w:val="00241315"/>
    <w:rsid w:val="00252E75"/>
    <w:rsid w:val="002538ED"/>
    <w:rsid w:val="00254E8B"/>
    <w:rsid w:val="0027423E"/>
    <w:rsid w:val="00275728"/>
    <w:rsid w:val="00282E7A"/>
    <w:rsid w:val="002A08FE"/>
    <w:rsid w:val="002A75E1"/>
    <w:rsid w:val="002B4432"/>
    <w:rsid w:val="002C601F"/>
    <w:rsid w:val="002D7CB3"/>
    <w:rsid w:val="002E0E79"/>
    <w:rsid w:val="00311C80"/>
    <w:rsid w:val="00313C25"/>
    <w:rsid w:val="0031682B"/>
    <w:rsid w:val="0031746E"/>
    <w:rsid w:val="00322E11"/>
    <w:rsid w:val="00324A18"/>
    <w:rsid w:val="00325498"/>
    <w:rsid w:val="0032634B"/>
    <w:rsid w:val="00341AB5"/>
    <w:rsid w:val="003643DC"/>
    <w:rsid w:val="003661F0"/>
    <w:rsid w:val="00367BC4"/>
    <w:rsid w:val="00372A9D"/>
    <w:rsid w:val="003A6C4B"/>
    <w:rsid w:val="003B6ED4"/>
    <w:rsid w:val="003F3251"/>
    <w:rsid w:val="003F6486"/>
    <w:rsid w:val="00421DF3"/>
    <w:rsid w:val="00436C79"/>
    <w:rsid w:val="00442D40"/>
    <w:rsid w:val="00447FFA"/>
    <w:rsid w:val="004562A6"/>
    <w:rsid w:val="00456BF3"/>
    <w:rsid w:val="004751AA"/>
    <w:rsid w:val="00492112"/>
    <w:rsid w:val="00495804"/>
    <w:rsid w:val="004A28A2"/>
    <w:rsid w:val="004A4B0F"/>
    <w:rsid w:val="004A7C22"/>
    <w:rsid w:val="004C42AC"/>
    <w:rsid w:val="004E2301"/>
    <w:rsid w:val="004E5D0A"/>
    <w:rsid w:val="004E77FE"/>
    <w:rsid w:val="00500252"/>
    <w:rsid w:val="00502B4F"/>
    <w:rsid w:val="00525818"/>
    <w:rsid w:val="0053620C"/>
    <w:rsid w:val="00537BD9"/>
    <w:rsid w:val="0054730A"/>
    <w:rsid w:val="00550EF9"/>
    <w:rsid w:val="00553039"/>
    <w:rsid w:val="00557E2D"/>
    <w:rsid w:val="00570D54"/>
    <w:rsid w:val="00574BC7"/>
    <w:rsid w:val="005B70BB"/>
    <w:rsid w:val="005C2DD2"/>
    <w:rsid w:val="005E556E"/>
    <w:rsid w:val="005F0400"/>
    <w:rsid w:val="005F0429"/>
    <w:rsid w:val="005F5B1A"/>
    <w:rsid w:val="00613BDC"/>
    <w:rsid w:val="00624284"/>
    <w:rsid w:val="00624A65"/>
    <w:rsid w:val="0063489D"/>
    <w:rsid w:val="00645467"/>
    <w:rsid w:val="006476A1"/>
    <w:rsid w:val="006512FF"/>
    <w:rsid w:val="00656EED"/>
    <w:rsid w:val="00657C3F"/>
    <w:rsid w:val="006751A5"/>
    <w:rsid w:val="0068511D"/>
    <w:rsid w:val="00685BC6"/>
    <w:rsid w:val="0068649D"/>
    <w:rsid w:val="00686709"/>
    <w:rsid w:val="00692100"/>
    <w:rsid w:val="00693C4A"/>
    <w:rsid w:val="006B072E"/>
    <w:rsid w:val="006B0CEB"/>
    <w:rsid w:val="006B0F5D"/>
    <w:rsid w:val="006B305C"/>
    <w:rsid w:val="006D1A73"/>
    <w:rsid w:val="007466CF"/>
    <w:rsid w:val="007514D2"/>
    <w:rsid w:val="00764C02"/>
    <w:rsid w:val="00780EC4"/>
    <w:rsid w:val="00784A00"/>
    <w:rsid w:val="007A343D"/>
    <w:rsid w:val="007A6BE9"/>
    <w:rsid w:val="007C06A5"/>
    <w:rsid w:val="007D2096"/>
    <w:rsid w:val="007E0766"/>
    <w:rsid w:val="007E2547"/>
    <w:rsid w:val="0081336F"/>
    <w:rsid w:val="008247D2"/>
    <w:rsid w:val="0083533D"/>
    <w:rsid w:val="008421A5"/>
    <w:rsid w:val="00846FFE"/>
    <w:rsid w:val="00850A18"/>
    <w:rsid w:val="008527C3"/>
    <w:rsid w:val="00854CE6"/>
    <w:rsid w:val="00862313"/>
    <w:rsid w:val="008711F6"/>
    <w:rsid w:val="0087183A"/>
    <w:rsid w:val="00874B18"/>
    <w:rsid w:val="00885532"/>
    <w:rsid w:val="00885F86"/>
    <w:rsid w:val="00887841"/>
    <w:rsid w:val="00897A3F"/>
    <w:rsid w:val="008A028D"/>
    <w:rsid w:val="008C4378"/>
    <w:rsid w:val="008C7E39"/>
    <w:rsid w:val="008D1240"/>
    <w:rsid w:val="008D2A55"/>
    <w:rsid w:val="00902ECC"/>
    <w:rsid w:val="009047F5"/>
    <w:rsid w:val="00911BF2"/>
    <w:rsid w:val="0091396B"/>
    <w:rsid w:val="009153BC"/>
    <w:rsid w:val="00922F75"/>
    <w:rsid w:val="009270B1"/>
    <w:rsid w:val="00943EEE"/>
    <w:rsid w:val="009563FB"/>
    <w:rsid w:val="00963A02"/>
    <w:rsid w:val="0096553B"/>
    <w:rsid w:val="00980280"/>
    <w:rsid w:val="00993878"/>
    <w:rsid w:val="00995951"/>
    <w:rsid w:val="009971D5"/>
    <w:rsid w:val="009A0E5E"/>
    <w:rsid w:val="009A2B62"/>
    <w:rsid w:val="009A730E"/>
    <w:rsid w:val="009B2A7F"/>
    <w:rsid w:val="009C1432"/>
    <w:rsid w:val="009D1120"/>
    <w:rsid w:val="009D47FA"/>
    <w:rsid w:val="00A15943"/>
    <w:rsid w:val="00A408D3"/>
    <w:rsid w:val="00A65EC3"/>
    <w:rsid w:val="00A72D07"/>
    <w:rsid w:val="00A77501"/>
    <w:rsid w:val="00A94DC3"/>
    <w:rsid w:val="00AA1FD5"/>
    <w:rsid w:val="00AD3F13"/>
    <w:rsid w:val="00AE5DEC"/>
    <w:rsid w:val="00AE6A8E"/>
    <w:rsid w:val="00B21ACD"/>
    <w:rsid w:val="00B25240"/>
    <w:rsid w:val="00B25931"/>
    <w:rsid w:val="00B31D9E"/>
    <w:rsid w:val="00B345A3"/>
    <w:rsid w:val="00B46454"/>
    <w:rsid w:val="00B576B3"/>
    <w:rsid w:val="00B60D73"/>
    <w:rsid w:val="00B658EA"/>
    <w:rsid w:val="00B74E29"/>
    <w:rsid w:val="00B83E44"/>
    <w:rsid w:val="00BB223E"/>
    <w:rsid w:val="00BC0034"/>
    <w:rsid w:val="00BE042C"/>
    <w:rsid w:val="00BF1DB2"/>
    <w:rsid w:val="00BF216E"/>
    <w:rsid w:val="00BF3984"/>
    <w:rsid w:val="00C15D4B"/>
    <w:rsid w:val="00C24994"/>
    <w:rsid w:val="00C356CB"/>
    <w:rsid w:val="00C3699E"/>
    <w:rsid w:val="00C44F29"/>
    <w:rsid w:val="00C5497F"/>
    <w:rsid w:val="00C709AB"/>
    <w:rsid w:val="00CA7D5E"/>
    <w:rsid w:val="00CB2179"/>
    <w:rsid w:val="00CB7F1C"/>
    <w:rsid w:val="00CD0684"/>
    <w:rsid w:val="00CD33A2"/>
    <w:rsid w:val="00CD6BE3"/>
    <w:rsid w:val="00CE54C4"/>
    <w:rsid w:val="00CF2380"/>
    <w:rsid w:val="00CF5CC1"/>
    <w:rsid w:val="00CF7EDD"/>
    <w:rsid w:val="00D0086A"/>
    <w:rsid w:val="00D0392F"/>
    <w:rsid w:val="00D04C97"/>
    <w:rsid w:val="00D42DC3"/>
    <w:rsid w:val="00D578B5"/>
    <w:rsid w:val="00D6454B"/>
    <w:rsid w:val="00D659B8"/>
    <w:rsid w:val="00D669E7"/>
    <w:rsid w:val="00D7317C"/>
    <w:rsid w:val="00D76264"/>
    <w:rsid w:val="00D81A98"/>
    <w:rsid w:val="00D871D7"/>
    <w:rsid w:val="00D92E44"/>
    <w:rsid w:val="00D94729"/>
    <w:rsid w:val="00D9516B"/>
    <w:rsid w:val="00D96BEA"/>
    <w:rsid w:val="00DA00BB"/>
    <w:rsid w:val="00DE221B"/>
    <w:rsid w:val="00DE725C"/>
    <w:rsid w:val="00DF5356"/>
    <w:rsid w:val="00E15AA4"/>
    <w:rsid w:val="00E2027B"/>
    <w:rsid w:val="00E20C06"/>
    <w:rsid w:val="00E25536"/>
    <w:rsid w:val="00E44222"/>
    <w:rsid w:val="00E80E2F"/>
    <w:rsid w:val="00E872BC"/>
    <w:rsid w:val="00EA0CD8"/>
    <w:rsid w:val="00EB1DC7"/>
    <w:rsid w:val="00EB608F"/>
    <w:rsid w:val="00EB68FC"/>
    <w:rsid w:val="00EC166E"/>
    <w:rsid w:val="00EC35B3"/>
    <w:rsid w:val="00ED386A"/>
    <w:rsid w:val="00EE3F49"/>
    <w:rsid w:val="00F07379"/>
    <w:rsid w:val="00F075AC"/>
    <w:rsid w:val="00F16471"/>
    <w:rsid w:val="00F23A82"/>
    <w:rsid w:val="00F276B0"/>
    <w:rsid w:val="00F42E42"/>
    <w:rsid w:val="00F439A3"/>
    <w:rsid w:val="00F46E06"/>
    <w:rsid w:val="00F504DE"/>
    <w:rsid w:val="00F57A86"/>
    <w:rsid w:val="00F60240"/>
    <w:rsid w:val="00F643A4"/>
    <w:rsid w:val="00F65966"/>
    <w:rsid w:val="00F76A87"/>
    <w:rsid w:val="00FA0046"/>
    <w:rsid w:val="00FA4530"/>
    <w:rsid w:val="00FB5F28"/>
    <w:rsid w:val="00FE5689"/>
    <w:rsid w:val="00FE7405"/>
    <w:rsid w:val="00FF2339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ED2497B"/>
  <w15:chartTrackingRefBased/>
  <w15:docId w15:val="{BB418EC6-77B0-4E32-98E1-D3DE0B77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link w:val="Nagwek2Znak"/>
    <w:qFormat/>
    <w:rsid w:val="002A75E1"/>
    <w:pPr>
      <w:numPr>
        <w:numId w:val="16"/>
      </w:numPr>
      <w:spacing w:before="360" w:after="240" w:line="276" w:lineRule="auto"/>
      <w:outlineLvl w:val="1"/>
    </w:pPr>
    <w:rPr>
      <w:rFonts w:ascii="Calibri" w:hAnsi="Calibri" w:cs="Arial"/>
      <w:b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A75E1"/>
    <w:pPr>
      <w:spacing w:line="276" w:lineRule="auto"/>
      <w:outlineLvl w:val="2"/>
    </w:pPr>
    <w:rPr>
      <w:rFonts w:ascii="Calibri" w:hAnsi="Calibri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rFonts w:ascii="Times New Roman" w:eastAsia="Times New Roman" w:hAnsi="Times New Roman"/>
      <w:b/>
      <w:sz w:val="40"/>
      <w:szCs w:val="24"/>
    </w:rPr>
  </w:style>
  <w:style w:type="character" w:customStyle="1" w:styleId="Nagwek3Znak">
    <w:name w:val="Nagłówek 3 Znak"/>
    <w:rPr>
      <w:rFonts w:ascii="Times New Roman" w:eastAsia="Times New Roman" w:hAnsi="Times New Roman"/>
      <w:i/>
      <w:sz w:val="28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rFonts w:ascii="Times New Roman" w:eastAsia="Times New Roman" w:hAnsi="Times New Roman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odstawowy2">
    <w:name w:val="Body Text 2"/>
    <w:basedOn w:val="Normalny"/>
    <w:semiHidden/>
    <w:pPr>
      <w:jc w:val="both"/>
    </w:pPr>
    <w:rPr>
      <w:sz w:val="26"/>
    </w:rPr>
  </w:style>
  <w:style w:type="character" w:customStyle="1" w:styleId="Nagwek2Znak">
    <w:name w:val="Nagłówek 2 Znak"/>
    <w:basedOn w:val="Domylnaczcionkaakapitu"/>
    <w:link w:val="Nagwek2"/>
    <w:rsid w:val="002A75E1"/>
    <w:rPr>
      <w:rFonts w:ascii="Calibri" w:eastAsia="Times New Roman" w:hAnsi="Calibri" w:cs="Arial"/>
      <w:b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6512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E2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E29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1682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1682B"/>
    <w:pPr>
      <w:tabs>
        <w:tab w:val="right" w:leader="dot" w:pos="9628"/>
      </w:tabs>
      <w:spacing w:after="24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31682B"/>
    <w:pPr>
      <w:tabs>
        <w:tab w:val="left" w:pos="660"/>
        <w:tab w:val="right" w:leader="dot" w:pos="9628"/>
      </w:tabs>
      <w:spacing w:after="100" w:line="276" w:lineRule="auto"/>
      <w:ind w:left="918" w:hanging="680"/>
    </w:pPr>
  </w:style>
  <w:style w:type="paragraph" w:styleId="Spistreci3">
    <w:name w:val="toc 3"/>
    <w:basedOn w:val="Normalny"/>
    <w:next w:val="Normalny"/>
    <w:autoRedefine/>
    <w:uiPriority w:val="39"/>
    <w:unhideWhenUsed/>
    <w:rsid w:val="0031682B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316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BBBE-9D2D-49D9-B8B0-5EF39DB0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17</Pages>
  <Words>5805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Wyszomirska-Salem Małgorzata</cp:lastModifiedBy>
  <cp:revision>41</cp:revision>
  <cp:lastPrinted>2013-08-27T09:55:00Z</cp:lastPrinted>
  <dcterms:created xsi:type="dcterms:W3CDTF">2021-05-18T17:26:00Z</dcterms:created>
  <dcterms:modified xsi:type="dcterms:W3CDTF">2022-07-08T12:03:00Z</dcterms:modified>
</cp:coreProperties>
</file>