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547A" w14:textId="1E6132A6" w:rsidR="007B2501" w:rsidRPr="00607B0A" w:rsidRDefault="007B2501" w:rsidP="008402D8">
      <w:pPr>
        <w:pStyle w:val="Nagwek1"/>
      </w:pPr>
      <w:r w:rsidRPr="00607B0A">
        <w:t>Załącznik nr 1 do SIWZ</w:t>
      </w:r>
    </w:p>
    <w:p w14:paraId="50412ADB" w14:textId="77777777" w:rsidR="00920504" w:rsidRPr="008402D8" w:rsidRDefault="00920504" w:rsidP="008402D8">
      <w:pPr>
        <w:pStyle w:val="Nagwek1"/>
      </w:pPr>
    </w:p>
    <w:p w14:paraId="4EBD10D6" w14:textId="61C8F2F2" w:rsidR="007B2501" w:rsidRPr="008402D8" w:rsidRDefault="007B2501" w:rsidP="008402D8">
      <w:pPr>
        <w:pStyle w:val="Nagwek1"/>
      </w:pPr>
      <w:r w:rsidRPr="008402D8">
        <w:t>OPIS PRZEDMIOTU ZAMÓWIENIA</w:t>
      </w:r>
    </w:p>
    <w:p w14:paraId="1296826C" w14:textId="77777777" w:rsidR="00920504" w:rsidRPr="00607B0A" w:rsidRDefault="00920504" w:rsidP="007B2501">
      <w:pPr>
        <w:spacing w:before="240" w:after="240"/>
        <w:jc w:val="center"/>
        <w:rPr>
          <w:rFonts w:cstheme="minorHAnsi"/>
          <w:b/>
        </w:rPr>
      </w:pPr>
    </w:p>
    <w:p w14:paraId="0444D1DC" w14:textId="3095DBF7" w:rsidR="00920504" w:rsidRPr="00C9185A" w:rsidRDefault="00920504" w:rsidP="00C9185A">
      <w:pPr>
        <w:pStyle w:val="Nagwek3"/>
        <w:numPr>
          <w:ilvl w:val="0"/>
          <w:numId w:val="12"/>
        </w:numPr>
        <w:rPr>
          <w:rFonts w:eastAsia="Calibri"/>
          <w:b/>
          <w:color w:val="auto"/>
        </w:rPr>
      </w:pPr>
      <w:bookmarkStart w:id="0" w:name="_Toc418774099"/>
      <w:bookmarkStart w:id="1" w:name="_Toc418690481"/>
      <w:r w:rsidRPr="00C9185A">
        <w:rPr>
          <w:rFonts w:eastAsia="Calibri"/>
          <w:b/>
          <w:color w:val="auto"/>
        </w:rPr>
        <w:t>Definicje</w:t>
      </w:r>
      <w:r w:rsidR="007B2501" w:rsidRPr="00C9185A">
        <w:rPr>
          <w:rFonts w:eastAsia="Calibri"/>
          <w:b/>
          <w:color w:val="auto"/>
        </w:rPr>
        <w:t>.</w:t>
      </w:r>
      <w:bookmarkEnd w:id="0"/>
    </w:p>
    <w:p w14:paraId="0F255D10" w14:textId="10D0C93E" w:rsidR="00920504" w:rsidRPr="00607B0A" w:rsidRDefault="00920504" w:rsidP="00920504">
      <w:pPr>
        <w:suppressAutoHyphens/>
        <w:spacing w:before="120" w:after="120" w:line="264" w:lineRule="auto"/>
        <w:jc w:val="both"/>
        <w:rPr>
          <w:rFonts w:eastAsia="Times New Roman" w:cstheme="minorHAnsi"/>
          <w:lang w:eastAsia="pl-PL"/>
        </w:rPr>
      </w:pPr>
      <w:r w:rsidRPr="00607B0A">
        <w:rPr>
          <w:rFonts w:eastAsia="Times New Roman" w:cstheme="minorHAnsi"/>
          <w:lang w:eastAsia="pl-PL"/>
        </w:rPr>
        <w:t>Strony nadają terminom używanym w dalszej treści Umowy następujące znaczenie:</w:t>
      </w:r>
    </w:p>
    <w:tbl>
      <w:tblPr>
        <w:tblW w:w="93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A0" w:firstRow="1" w:lastRow="0" w:firstColumn="1" w:lastColumn="0" w:noHBand="1" w:noVBand="1"/>
      </w:tblPr>
      <w:tblGrid>
        <w:gridCol w:w="1824"/>
        <w:gridCol w:w="8398"/>
      </w:tblGrid>
      <w:tr w:rsidR="00920504" w:rsidRPr="00607B0A" w14:paraId="0711A544" w14:textId="77777777" w:rsidTr="008402D8">
        <w:trPr>
          <w:tblHeader/>
        </w:trPr>
        <w:tc>
          <w:tcPr>
            <w:tcW w:w="1727" w:type="dxa"/>
            <w:shd w:val="clear" w:color="auto" w:fill="DDDDDD"/>
            <w:vAlign w:val="center"/>
          </w:tcPr>
          <w:p w14:paraId="0DCD3CE2" w14:textId="77777777" w:rsidR="00920504" w:rsidRPr="00607B0A" w:rsidRDefault="00920504" w:rsidP="007E020C">
            <w:pPr>
              <w:spacing w:before="60" w:after="60" w:line="264" w:lineRule="auto"/>
              <w:rPr>
                <w:rFonts w:eastAsia="Times New Roman" w:cstheme="minorHAnsi"/>
                <w:b/>
                <w:bCs/>
              </w:rPr>
            </w:pPr>
            <w:bookmarkStart w:id="2" w:name="_GoBack"/>
            <w:r w:rsidRPr="00607B0A">
              <w:rPr>
                <w:rFonts w:eastAsia="Times New Roman" w:cstheme="minorHAnsi"/>
                <w:b/>
                <w:bCs/>
              </w:rPr>
              <w:t>Termin</w:t>
            </w:r>
          </w:p>
        </w:tc>
        <w:tc>
          <w:tcPr>
            <w:tcW w:w="7596" w:type="dxa"/>
            <w:shd w:val="clear" w:color="auto" w:fill="DDDDDD"/>
            <w:vAlign w:val="center"/>
          </w:tcPr>
          <w:p w14:paraId="15A571F6" w14:textId="77777777" w:rsidR="00920504" w:rsidRPr="00607B0A" w:rsidRDefault="00920504" w:rsidP="007E020C">
            <w:pPr>
              <w:spacing w:before="60" w:after="60" w:line="264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607B0A">
              <w:rPr>
                <w:rFonts w:eastAsia="Times New Roman" w:cstheme="minorHAnsi"/>
                <w:b/>
                <w:bCs/>
              </w:rPr>
              <w:t>Definicja</w:t>
            </w:r>
          </w:p>
        </w:tc>
      </w:tr>
      <w:bookmarkEnd w:id="2"/>
      <w:tr w:rsidR="00920504" w:rsidRPr="00607B0A" w14:paraId="3C6114E5" w14:textId="77777777" w:rsidTr="00920504">
        <w:tc>
          <w:tcPr>
            <w:tcW w:w="1727" w:type="dxa"/>
            <w:shd w:val="clear" w:color="auto" w:fill="DDDDDD"/>
          </w:tcPr>
          <w:p w14:paraId="4AFDCC56" w14:textId="77777777" w:rsidR="00920504" w:rsidRPr="00607B0A" w:rsidRDefault="00920504" w:rsidP="007E020C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Awaria</w:t>
            </w:r>
          </w:p>
        </w:tc>
        <w:tc>
          <w:tcPr>
            <w:tcW w:w="7596" w:type="dxa"/>
            <w:vAlign w:val="center"/>
          </w:tcPr>
          <w:p w14:paraId="0594E6A6" w14:textId="77777777" w:rsidR="00920504" w:rsidRPr="00607B0A" w:rsidRDefault="00920504" w:rsidP="007E020C">
            <w:pPr>
              <w:numPr>
                <w:ilvl w:val="1"/>
                <w:numId w:val="0"/>
              </w:num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Wada inna niż Błąd i Usterka, powodująca całkowite zatrzymanie lub poważne zakłócenie pracy Systemu lub poszczególnych jego części, dla której nie ma alternatywnej metody wykonania danej operacji w Systemie, uniemożliwiająca korzystanie z funkcji Systemu przez jego Użytkowników tak jak było to możliwe przed wystąpieniem Awarii lub uniemożliwienie wywiązania się przez Zamawiającego z nałożonych na niego obowiązków/zadań wynikających z przepisów prawa, lub wysokiego ryzyka powstania sytuacji, w której nie będzie możliwe wywiązanie się przez Zamawiającego z nałożonych na niego obowiązków/zadań wynikających z przepisów prawa.</w:t>
            </w:r>
          </w:p>
        </w:tc>
      </w:tr>
      <w:tr w:rsidR="00920504" w:rsidRPr="00607B0A" w14:paraId="670941B4" w14:textId="77777777" w:rsidTr="00920504">
        <w:tc>
          <w:tcPr>
            <w:tcW w:w="1727" w:type="dxa"/>
            <w:shd w:val="clear" w:color="auto" w:fill="DDDDDD"/>
          </w:tcPr>
          <w:p w14:paraId="736B5D92" w14:textId="77777777" w:rsidR="00920504" w:rsidRPr="00607B0A" w:rsidRDefault="00920504" w:rsidP="007E020C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Błąd</w:t>
            </w:r>
          </w:p>
        </w:tc>
        <w:tc>
          <w:tcPr>
            <w:tcW w:w="7596" w:type="dxa"/>
            <w:vAlign w:val="center"/>
          </w:tcPr>
          <w:p w14:paraId="78F195B5" w14:textId="77777777" w:rsidR="00920504" w:rsidRPr="00607B0A" w:rsidRDefault="00920504" w:rsidP="007E020C">
            <w:pPr>
              <w:numPr>
                <w:ilvl w:val="1"/>
                <w:numId w:val="0"/>
              </w:num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Wada inna niż Awaria i Usterka, powodująca istotne zakłócenia pracy Systemu lub poszczególnych jego części, która jednak nie uniemożliwia Użytkownikom korzystania z funkcji Systemu, i nie stwarza ryzyka powstania sytuacji, w której nie będzie możliwe wywiązanie się przez Zamawiającego z nałożonych na niego obowiązków/zadań wynikających z przepisów prawa, polegająca w szczególności na ograniczeniu realizacji lub uciążliwości w realizacji co najmniej jednej z funkcji Systemu.</w:t>
            </w:r>
          </w:p>
        </w:tc>
      </w:tr>
      <w:tr w:rsidR="00920504" w:rsidRPr="00607B0A" w14:paraId="5F0E287B" w14:textId="77777777" w:rsidTr="00920504">
        <w:tc>
          <w:tcPr>
            <w:tcW w:w="1727" w:type="dxa"/>
            <w:shd w:val="clear" w:color="auto" w:fill="DDDDDD"/>
          </w:tcPr>
          <w:p w14:paraId="1B06A803" w14:textId="77777777" w:rsidR="00920504" w:rsidRPr="00607B0A" w:rsidRDefault="00920504" w:rsidP="007E020C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Usterka</w:t>
            </w:r>
          </w:p>
        </w:tc>
        <w:tc>
          <w:tcPr>
            <w:tcW w:w="7596" w:type="dxa"/>
          </w:tcPr>
          <w:p w14:paraId="69683D8D" w14:textId="77777777" w:rsidR="00920504" w:rsidRPr="00607B0A" w:rsidRDefault="00920504" w:rsidP="007E020C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Wada niebędąca Awarią ani Błędem, powodująca zakłócenie pracy Systemu lub poszczególnych jego części mogąca mieć wpływ na jego funkcjonalność, natomiast nieograniczająca możliwości operacyjnych Systemu w sposób mogący mieć negatywny wpływ na jakość i terminowość realizacji zadań w Systemie.</w:t>
            </w:r>
          </w:p>
        </w:tc>
      </w:tr>
      <w:tr w:rsidR="00920504" w:rsidRPr="00607B0A" w14:paraId="71245CBD" w14:textId="77777777" w:rsidTr="00920504">
        <w:tc>
          <w:tcPr>
            <w:tcW w:w="1727" w:type="dxa"/>
            <w:shd w:val="clear" w:color="auto" w:fill="DDDDDD"/>
          </w:tcPr>
          <w:p w14:paraId="609104A6" w14:textId="062B55D6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Budowa Systemu / Budowa i Wdrożenie Systemu</w:t>
            </w:r>
          </w:p>
        </w:tc>
        <w:tc>
          <w:tcPr>
            <w:tcW w:w="7596" w:type="dxa"/>
            <w:vAlign w:val="center"/>
          </w:tcPr>
          <w:p w14:paraId="366C3B1B" w14:textId="4788B3A1" w:rsidR="00920504" w:rsidRPr="00607B0A" w:rsidRDefault="00920504" w:rsidP="00920504">
            <w:pPr>
              <w:numPr>
                <w:ilvl w:val="1"/>
                <w:numId w:val="0"/>
              </w:num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Budowa systemu realizującego wszystkie Wymagania na system przewidziane dla jego wersji podstawowej i docelowej</w:t>
            </w:r>
          </w:p>
        </w:tc>
      </w:tr>
      <w:tr w:rsidR="00920504" w:rsidRPr="00607B0A" w14:paraId="5300349F" w14:textId="77777777" w:rsidTr="00920504">
        <w:tc>
          <w:tcPr>
            <w:tcW w:w="1727" w:type="dxa"/>
            <w:shd w:val="clear" w:color="auto" w:fill="DDDDDD"/>
          </w:tcPr>
          <w:p w14:paraId="4EB9A39C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 xml:space="preserve">Czas Naprawy </w:t>
            </w:r>
          </w:p>
        </w:tc>
        <w:tc>
          <w:tcPr>
            <w:tcW w:w="7596" w:type="dxa"/>
            <w:vAlign w:val="center"/>
          </w:tcPr>
          <w:p w14:paraId="42C67841" w14:textId="77777777" w:rsidR="00920504" w:rsidRPr="00607B0A" w:rsidRDefault="00920504" w:rsidP="00920504">
            <w:pPr>
              <w:numPr>
                <w:ilvl w:val="1"/>
                <w:numId w:val="0"/>
              </w:num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Czas liczony od momentu dokonania Zgłoszenia Wady przez Zamawiającego do chwili udostępnienia Zamawiającemu Naprawy na Środowisku Produkcyjnym.</w:t>
            </w:r>
          </w:p>
        </w:tc>
      </w:tr>
      <w:tr w:rsidR="00920504" w:rsidRPr="00607B0A" w14:paraId="0A6E66DC" w14:textId="77777777" w:rsidTr="00920504">
        <w:tc>
          <w:tcPr>
            <w:tcW w:w="1727" w:type="dxa"/>
            <w:shd w:val="clear" w:color="auto" w:fill="DDDDDD"/>
          </w:tcPr>
          <w:p w14:paraId="49EF9DE4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Dokumentacja Systemu</w:t>
            </w:r>
          </w:p>
        </w:tc>
        <w:tc>
          <w:tcPr>
            <w:tcW w:w="7596" w:type="dxa"/>
            <w:vAlign w:val="center"/>
          </w:tcPr>
          <w:p w14:paraId="0888FD69" w14:textId="77777777" w:rsidR="00920504" w:rsidRPr="00607B0A" w:rsidRDefault="00920504" w:rsidP="00920504">
            <w:p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Integralna część systemu stanowiąca jego warstwę opisową, dotycząc aspektów technicznych, funkcjonalnych i użytkowych związanych z korzystaniem z Systemu w formie skompilowanej oraz źródłowej, jego działaniem i rozwojem, w tym dokumentacja Systemu w wersji </w:t>
            </w:r>
            <w:r w:rsidRPr="00607B0A">
              <w:rPr>
                <w:rFonts w:eastAsia="Times New Roman" w:cstheme="minorHAnsi"/>
                <w:lang w:eastAsia="ar-SA"/>
              </w:rPr>
              <w:t>papierowej oraz elektronicznej</w:t>
            </w:r>
            <w:r w:rsidRPr="00607B0A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</w:tr>
      <w:tr w:rsidR="00920504" w:rsidRPr="00607B0A" w14:paraId="3141B53C" w14:textId="77777777" w:rsidTr="00920504">
        <w:tc>
          <w:tcPr>
            <w:tcW w:w="1727" w:type="dxa"/>
            <w:shd w:val="clear" w:color="auto" w:fill="DDDDDD"/>
          </w:tcPr>
          <w:p w14:paraId="486CC4DD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lastRenderedPageBreak/>
              <w:t>Dzień Roboczy</w:t>
            </w:r>
          </w:p>
        </w:tc>
        <w:tc>
          <w:tcPr>
            <w:tcW w:w="7596" w:type="dxa"/>
            <w:vAlign w:val="center"/>
          </w:tcPr>
          <w:p w14:paraId="0FC91BF1" w14:textId="77777777" w:rsidR="00920504" w:rsidRPr="00607B0A" w:rsidRDefault="00920504" w:rsidP="00920504">
            <w:p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Każdy dzień tygodnia od poniedziałku do piątku, za wyjątkiem dni ustawowo wolnych od pracy w Rzeczpospolitej </w:t>
            </w:r>
            <w:r w:rsidRPr="00607B0A">
              <w:rPr>
                <w:rFonts w:eastAsia="Times New Roman" w:cstheme="minorHAnsi"/>
                <w:bCs/>
                <w:lang w:eastAsia="pl-PL"/>
              </w:rPr>
              <w:t>Polskiej</w:t>
            </w:r>
            <w:r w:rsidRPr="00607B0A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920504" w:rsidRPr="00607B0A" w14:paraId="709C7D1E" w14:textId="77777777" w:rsidTr="00920504">
        <w:tc>
          <w:tcPr>
            <w:tcW w:w="1727" w:type="dxa"/>
            <w:shd w:val="clear" w:color="auto" w:fill="DDDDDD"/>
          </w:tcPr>
          <w:p w14:paraId="40D2799E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Godziny Robocze</w:t>
            </w:r>
          </w:p>
        </w:tc>
        <w:tc>
          <w:tcPr>
            <w:tcW w:w="7596" w:type="dxa"/>
            <w:vAlign w:val="center"/>
          </w:tcPr>
          <w:p w14:paraId="65906C6D" w14:textId="44B2832C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Godziny od 6:00 do 17:00 w Dni Robocze</w:t>
            </w:r>
            <w:r w:rsidR="003A427F" w:rsidRPr="00607B0A">
              <w:rPr>
                <w:rFonts w:eastAsia="Times New Roman" w:cstheme="minorHAnsi"/>
                <w:lang w:eastAsia="pl-PL"/>
              </w:rPr>
              <w:t>, z wyjątkiem dni ustawowo wolnych od pracy</w:t>
            </w:r>
          </w:p>
        </w:tc>
      </w:tr>
      <w:tr w:rsidR="00920504" w:rsidRPr="00607B0A" w14:paraId="14DA8463" w14:textId="77777777" w:rsidTr="00920504">
        <w:tc>
          <w:tcPr>
            <w:tcW w:w="1727" w:type="dxa"/>
            <w:shd w:val="clear" w:color="auto" w:fill="DDDDDD"/>
          </w:tcPr>
          <w:p w14:paraId="3E78DAD7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Informacje Poufne</w:t>
            </w:r>
          </w:p>
        </w:tc>
        <w:tc>
          <w:tcPr>
            <w:tcW w:w="7596" w:type="dxa"/>
            <w:vAlign w:val="center"/>
          </w:tcPr>
          <w:p w14:paraId="3D703628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Wszelkie informacje, dokumenty oraz materiały dotyczące działalności jednej ze Stron, do których druga Strona Umowy uzyskała dostęp w związku z wykonywaniem niniejszej Umowy. Informacjami Poufnymi są w szczególności dane zawarte w dokumentach przekazywanych lub przetwarzanych za pośrednictwem Systemu, wszelkie informacje finansowe, organizacyjne, technologiczne, dane osobowe oraz inne informacje o działalności jednej ze Stron, które posiadają wartość gospodarczą lub zostały udostępnione drugiej Stronie z zastrzeżeniem poufności.</w:t>
            </w:r>
          </w:p>
        </w:tc>
      </w:tr>
      <w:tr w:rsidR="00920504" w:rsidRPr="00607B0A" w14:paraId="57F7595F" w14:textId="77777777" w:rsidTr="00920504">
        <w:tc>
          <w:tcPr>
            <w:tcW w:w="1727" w:type="dxa"/>
            <w:shd w:val="clear" w:color="auto" w:fill="DDDDDD"/>
          </w:tcPr>
          <w:p w14:paraId="3438F97D" w14:textId="77777777" w:rsidR="00920504" w:rsidRPr="00607B0A" w:rsidRDefault="00254C37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 xml:space="preserve">Koordynator </w:t>
            </w:r>
          </w:p>
          <w:p w14:paraId="1E157401" w14:textId="1CA2687F" w:rsidR="00254C37" w:rsidRPr="00607B0A" w:rsidRDefault="00254C37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Umowy</w:t>
            </w:r>
          </w:p>
        </w:tc>
        <w:tc>
          <w:tcPr>
            <w:tcW w:w="7596" w:type="dxa"/>
            <w:vAlign w:val="center"/>
          </w:tcPr>
          <w:p w14:paraId="380FFA05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Osoba kontaktowa lub podejmująca decyzje dotyczące realizacji Umowy w ramach kompetencji przyznanych przez Stronę, wyznaczona przez Zamawiającego/Wykonawcę, odpowiedzialna za prawidłowe wykonywanie zobowiązań wynikających z Umowy oraz bieżący przepływ informacji pomiędzy Stronami.</w:t>
            </w:r>
          </w:p>
        </w:tc>
      </w:tr>
      <w:tr w:rsidR="00920504" w:rsidRPr="00607B0A" w14:paraId="50D92468" w14:textId="77777777" w:rsidTr="00920504">
        <w:tc>
          <w:tcPr>
            <w:tcW w:w="1727" w:type="dxa"/>
            <w:shd w:val="clear" w:color="auto" w:fill="DDDDDD"/>
          </w:tcPr>
          <w:p w14:paraId="472C7D42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Kody Źródłowe</w:t>
            </w:r>
          </w:p>
        </w:tc>
        <w:tc>
          <w:tcPr>
            <w:tcW w:w="7596" w:type="dxa"/>
            <w:vAlign w:val="center"/>
          </w:tcPr>
          <w:p w14:paraId="10CE2E76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Zestaw plików w formie czytelnej dla człowieka zawierających nieskompilowany kod oprogramowania napisany języku programowania, wynikającym z przyjętej technologii rozwiązania normalnie używanej dla umożliwienia wprowadzania modyfikacji, (w tym również komentarze oraz kody proceduralne, takie jak skrypty w języku opisu prac i skrypty do sterowania kompilacją i instalowaniem), jak również dokumentacja niezbędna do użycia takiego kodu.</w:t>
            </w:r>
          </w:p>
        </w:tc>
      </w:tr>
      <w:tr w:rsidR="00920504" w:rsidRPr="00607B0A" w14:paraId="48F5E5F7" w14:textId="77777777" w:rsidTr="00920504">
        <w:tc>
          <w:tcPr>
            <w:tcW w:w="1727" w:type="dxa"/>
            <w:shd w:val="clear" w:color="auto" w:fill="DDDDDD"/>
          </w:tcPr>
          <w:p w14:paraId="355684D2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Naprawa</w:t>
            </w:r>
          </w:p>
        </w:tc>
        <w:tc>
          <w:tcPr>
            <w:tcW w:w="7596" w:type="dxa"/>
            <w:vAlign w:val="center"/>
          </w:tcPr>
          <w:p w14:paraId="53323A5D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Trwałe usunięcie Wady poprzez usuniecie przyczyn powstania Wady skutkujące przywróceniem pełnej sprawności Systemu, w tym również zakończenie innych działań naprawczych.</w:t>
            </w:r>
          </w:p>
        </w:tc>
      </w:tr>
      <w:tr w:rsidR="00920504" w:rsidRPr="00607B0A" w14:paraId="2292C1B6" w14:textId="77777777" w:rsidTr="00920504">
        <w:tc>
          <w:tcPr>
            <w:tcW w:w="1727" w:type="dxa"/>
            <w:shd w:val="clear" w:color="auto" w:fill="DDDDDD"/>
          </w:tcPr>
          <w:p w14:paraId="1C8408F4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Obejście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058326A" w14:textId="77777777" w:rsidR="00920504" w:rsidRPr="00607B0A" w:rsidRDefault="00920504" w:rsidP="00920504">
            <w:pPr>
              <w:numPr>
                <w:ilvl w:val="1"/>
                <w:numId w:val="0"/>
              </w:numPr>
              <w:spacing w:before="60" w:after="60" w:line="264" w:lineRule="auto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Zaakceptowane przez Zamawiającego zapewnienie funkcjonowania Systemu poprzez zminimalizowanie uciążliwości Wady i doprowadzenie Systemu do działania bez usuwania przyczyny wystąpienia Wady. Obejście nie stanowi Naprawy, jednak pozwala korzystać nieprzerwanie z wszystkich funkcjonalności Systemu.</w:t>
            </w:r>
          </w:p>
        </w:tc>
      </w:tr>
      <w:tr w:rsidR="00920504" w:rsidRPr="00607B0A" w14:paraId="01971031" w14:textId="77777777" w:rsidTr="00920504">
        <w:tc>
          <w:tcPr>
            <w:tcW w:w="1727" w:type="dxa"/>
            <w:shd w:val="clear" w:color="auto" w:fill="DDDDDD"/>
          </w:tcPr>
          <w:p w14:paraId="731E153E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Odbiór</w:t>
            </w:r>
          </w:p>
        </w:tc>
        <w:tc>
          <w:tcPr>
            <w:tcW w:w="7596" w:type="dxa"/>
            <w:vAlign w:val="center"/>
          </w:tcPr>
          <w:p w14:paraId="6421D937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Calibri" w:cstheme="minorHAnsi"/>
              </w:rPr>
            </w:pPr>
            <w:r w:rsidRPr="00607B0A">
              <w:rPr>
                <w:rFonts w:eastAsia="Times New Roman" w:cstheme="minorHAnsi"/>
                <w:lang w:eastAsia="ar-SA"/>
              </w:rPr>
              <w:t>Czynności mające na celu potwierdzenie dostarczenia Zamawiającemu usług i Produktów, powstałych w wyniku zobowiązań wynikających z Umowy</w:t>
            </w:r>
            <w:r w:rsidRPr="00607B0A">
              <w:rPr>
                <w:rFonts w:eastAsia="Calibri" w:cstheme="minorHAnsi"/>
              </w:rPr>
              <w:t>.</w:t>
            </w:r>
          </w:p>
        </w:tc>
      </w:tr>
      <w:tr w:rsidR="00920504" w:rsidRPr="00607B0A" w14:paraId="64EDD6E8" w14:textId="77777777" w:rsidTr="00920504">
        <w:tc>
          <w:tcPr>
            <w:tcW w:w="1727" w:type="dxa"/>
            <w:shd w:val="clear" w:color="auto" w:fill="DDDDDD"/>
          </w:tcPr>
          <w:p w14:paraId="1B54C8EC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</w:rPr>
              <w:t>Oprogramowanie Standardowe / Oprogramowanie Obce</w:t>
            </w:r>
          </w:p>
        </w:tc>
        <w:tc>
          <w:tcPr>
            <w:tcW w:w="7596" w:type="dxa"/>
            <w:vAlign w:val="center"/>
          </w:tcPr>
          <w:p w14:paraId="1EACC427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Calibri" w:cstheme="minorHAnsi"/>
              </w:rPr>
            </w:pPr>
            <w:r w:rsidRPr="00607B0A">
              <w:rPr>
                <w:rFonts w:eastAsia="Times New Roman" w:cstheme="minorHAnsi"/>
                <w:lang w:eastAsia="pl-PL"/>
              </w:rPr>
              <w:t>Oprogramowanie dostarczone przez Wykonawcę, nie wytworzone w toku prac nad realizacją Systemu, stanowiące jego składnik, na którego użycie w procesach budowy, rozwoju, konfiguracji, instalacji lub użytkowania Systemu Zamawiający wyraził zgodę. Wykonawca powinien uzyskać zgodę Zamawiającego na użycie określonego Oprogramowania Standardowego / Obcego przed przystąpieniem do wszelkich prac, których efektem może być Rozwój Systemu. Nie dopuszcza się wykorzystania Oprogramowania innego niż Oprogramowanie Otwarte w procesie Budowy Systemu</w:t>
            </w:r>
          </w:p>
        </w:tc>
      </w:tr>
      <w:tr w:rsidR="00920504" w:rsidRPr="00607B0A" w14:paraId="7D9A98B7" w14:textId="77777777" w:rsidTr="00920504">
        <w:tc>
          <w:tcPr>
            <w:tcW w:w="1727" w:type="dxa"/>
            <w:shd w:val="clear" w:color="auto" w:fill="DDDDDD"/>
          </w:tcPr>
          <w:p w14:paraId="135A7676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Oprogramowanie Systemowe i Narzędziowe</w:t>
            </w:r>
          </w:p>
        </w:tc>
        <w:tc>
          <w:tcPr>
            <w:tcW w:w="7596" w:type="dxa"/>
            <w:vAlign w:val="center"/>
          </w:tcPr>
          <w:p w14:paraId="107F4584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Oprogramowanie Otwarte wykorzystywane na potrzeby Systemu, konieczne do poprawnego działania Systemu, inne niż Oprogramowanie Zamawiającego. Wykonawca powinien uzyskać zgodę Zamawiającego na użycie określonego Oprogramowania </w:t>
            </w:r>
            <w:r w:rsidRPr="00607B0A">
              <w:rPr>
                <w:rFonts w:eastAsia="Times New Roman" w:cstheme="minorHAnsi"/>
                <w:lang w:eastAsia="pl-PL"/>
              </w:rPr>
              <w:lastRenderedPageBreak/>
              <w:t xml:space="preserve">Systemowego i Narzędziowego przed przystąpieniem do wszelkich prac, których efektem może być Rozwój Systemu. </w:t>
            </w:r>
          </w:p>
        </w:tc>
      </w:tr>
      <w:tr w:rsidR="00920504" w:rsidRPr="00607B0A" w14:paraId="0B7B0ABF" w14:textId="77777777" w:rsidTr="00920504">
        <w:tc>
          <w:tcPr>
            <w:tcW w:w="1727" w:type="dxa"/>
            <w:shd w:val="clear" w:color="auto" w:fill="DDDDDD"/>
          </w:tcPr>
          <w:p w14:paraId="2EE1946D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lastRenderedPageBreak/>
              <w:t>Oprogramowanie Zamawiającego</w:t>
            </w:r>
          </w:p>
        </w:tc>
        <w:tc>
          <w:tcPr>
            <w:tcW w:w="7596" w:type="dxa"/>
            <w:vAlign w:val="center"/>
          </w:tcPr>
          <w:p w14:paraId="1F07DB76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Oprogramowanie aktualnie wykorzystywane na potrzeby Systemu, które zapewnia Zamawiający.</w:t>
            </w:r>
          </w:p>
        </w:tc>
      </w:tr>
      <w:tr w:rsidR="00920504" w:rsidRPr="00607B0A" w14:paraId="05B6E710" w14:textId="77777777" w:rsidTr="00920504">
        <w:tc>
          <w:tcPr>
            <w:tcW w:w="1727" w:type="dxa"/>
            <w:shd w:val="clear" w:color="auto" w:fill="DDDDDD"/>
          </w:tcPr>
          <w:p w14:paraId="0A5802CD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Oprogramowanie Otwarte</w:t>
            </w:r>
          </w:p>
        </w:tc>
        <w:tc>
          <w:tcPr>
            <w:tcW w:w="7596" w:type="dxa"/>
            <w:vAlign w:val="center"/>
          </w:tcPr>
          <w:p w14:paraId="6D703BE6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Oprogramowanie dostępne na jednej z licencji uznawanych przez organizację  </w:t>
            </w:r>
            <w:proofErr w:type="spellStart"/>
            <w:r w:rsidRPr="00607B0A">
              <w:rPr>
                <w:rFonts w:eastAsia="Times New Roman" w:cstheme="minorHAnsi"/>
                <w:lang w:eastAsia="pl-PL"/>
              </w:rPr>
              <w:t>Free</w:t>
            </w:r>
            <w:proofErr w:type="spellEnd"/>
            <w:r w:rsidRPr="00607B0A">
              <w:rPr>
                <w:rFonts w:eastAsia="Times New Roman" w:cstheme="minorHAnsi"/>
                <w:lang w:eastAsia="pl-PL"/>
              </w:rPr>
              <w:t xml:space="preserve"> Software Foundation w dniu ogłoszenia postępowania. Lista aktualnych uznawanych licencji znajduje się pod adresem: https://pl.wikipedia.org/wiki/Lista_licencji_uznawanych_przez_Free_Software_Foundation</w:t>
            </w:r>
          </w:p>
        </w:tc>
      </w:tr>
      <w:tr w:rsidR="00920504" w:rsidRPr="00607B0A" w14:paraId="1C64F818" w14:textId="77777777" w:rsidTr="00920504">
        <w:tc>
          <w:tcPr>
            <w:tcW w:w="1727" w:type="dxa"/>
            <w:shd w:val="clear" w:color="auto" w:fill="DDDDDD"/>
          </w:tcPr>
          <w:p w14:paraId="54CAF1B5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Podwykonawca</w:t>
            </w:r>
          </w:p>
        </w:tc>
        <w:tc>
          <w:tcPr>
            <w:tcW w:w="7596" w:type="dxa"/>
            <w:vAlign w:val="center"/>
          </w:tcPr>
          <w:p w14:paraId="08A77CA2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</w:rPr>
            </w:pPr>
            <w:r w:rsidRPr="00607B0A">
              <w:rPr>
                <w:rFonts w:eastAsia="Times New Roman" w:cstheme="minorHAnsi"/>
              </w:rPr>
              <w:t>Każdy podmiot inny niż: pracownik Wykonawcy, osoba fizyczna prowadząca działalność gospodarczą czy osoba fizyczna, z którą Wykonawca ma zawartą umowę cywilnoprawną (np. umowa o współpracy).</w:t>
            </w:r>
          </w:p>
        </w:tc>
      </w:tr>
      <w:tr w:rsidR="00920504" w:rsidRPr="00607B0A" w14:paraId="05B074B8" w14:textId="77777777" w:rsidTr="00920504">
        <w:tc>
          <w:tcPr>
            <w:tcW w:w="1727" w:type="dxa"/>
            <w:shd w:val="clear" w:color="auto" w:fill="DDDDDD"/>
          </w:tcPr>
          <w:p w14:paraId="688E6EC2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Portal Serwisowy</w:t>
            </w:r>
          </w:p>
        </w:tc>
        <w:tc>
          <w:tcPr>
            <w:tcW w:w="7596" w:type="dxa"/>
            <w:vAlign w:val="center"/>
          </w:tcPr>
          <w:p w14:paraId="3B3BF19A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System informatyczny wykorzystywany przez Zamawiającego (</w:t>
            </w:r>
            <w:proofErr w:type="spellStart"/>
            <w:r w:rsidRPr="00607B0A">
              <w:rPr>
                <w:rFonts w:eastAsia="Times New Roman" w:cstheme="minorHAnsi"/>
                <w:lang w:eastAsia="pl-PL"/>
              </w:rPr>
              <w:t>Jira</w:t>
            </w:r>
            <w:proofErr w:type="spellEnd"/>
            <w:r w:rsidRPr="00607B0A">
              <w:rPr>
                <w:rFonts w:eastAsia="Times New Roman" w:cstheme="minorHAnsi"/>
                <w:lang w:eastAsia="pl-PL"/>
              </w:rPr>
              <w:t>) służący do ewidencji i obsługi Zgłoszeń, wniosków i Zamówień zapewniający niezbędny poziom wymiany informacji pomiędzy Zamawiającym a Wykonawcą.</w:t>
            </w:r>
          </w:p>
        </w:tc>
      </w:tr>
      <w:tr w:rsidR="00920504" w:rsidRPr="00607B0A" w14:paraId="438B46E8" w14:textId="77777777" w:rsidTr="00920504">
        <w:tc>
          <w:tcPr>
            <w:tcW w:w="1727" w:type="dxa"/>
            <w:shd w:val="clear" w:color="auto" w:fill="DDDDDD"/>
          </w:tcPr>
          <w:p w14:paraId="5D7A6D2A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Pracownik Zamawiającego</w:t>
            </w:r>
          </w:p>
          <w:p w14:paraId="3CBAD88C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(Operator)</w:t>
            </w:r>
          </w:p>
        </w:tc>
        <w:tc>
          <w:tcPr>
            <w:tcW w:w="7596" w:type="dxa"/>
            <w:vAlign w:val="center"/>
          </w:tcPr>
          <w:p w14:paraId="6712491A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Osoba korzystająca z Systemu</w:t>
            </w:r>
          </w:p>
        </w:tc>
      </w:tr>
      <w:tr w:rsidR="00920504" w:rsidRPr="00607B0A" w14:paraId="1CD89020" w14:textId="77777777" w:rsidTr="00920504">
        <w:tc>
          <w:tcPr>
            <w:tcW w:w="1727" w:type="dxa"/>
            <w:shd w:val="clear" w:color="auto" w:fill="DDDDDD"/>
          </w:tcPr>
          <w:p w14:paraId="512C11AA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Problem</w:t>
            </w:r>
          </w:p>
        </w:tc>
        <w:tc>
          <w:tcPr>
            <w:tcW w:w="7596" w:type="dxa"/>
            <w:vAlign w:val="center"/>
          </w:tcPr>
          <w:p w14:paraId="22AE895E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Każda okoliczność mogąca skutkować Wadą.</w:t>
            </w:r>
          </w:p>
        </w:tc>
      </w:tr>
      <w:tr w:rsidR="00920504" w:rsidRPr="00607B0A" w14:paraId="65AB48C7" w14:textId="77777777" w:rsidTr="00920504">
        <w:tc>
          <w:tcPr>
            <w:tcW w:w="1727" w:type="dxa"/>
            <w:shd w:val="clear" w:color="auto" w:fill="DDDDDD"/>
          </w:tcPr>
          <w:p w14:paraId="3B1DDF36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Produkt</w:t>
            </w:r>
          </w:p>
        </w:tc>
        <w:tc>
          <w:tcPr>
            <w:tcW w:w="7596" w:type="dxa"/>
            <w:vAlign w:val="center"/>
          </w:tcPr>
          <w:p w14:paraId="0408EE51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Wszelkie programy komputerowe, dokumentacja i inne utwory, które powstają w toku wykonywania Umowy w wyniku prac Wykonawcy, w tym także wszelkie modyfikacje i opracowania innych utworów, a także materiały i informacje niepodlegające ochronie prawa autorskiego, stworzone lub dostarczone Zamawiającemu przez Wykonawcę w wyniku wykonania zobowiązań wynikających z Umowy.</w:t>
            </w:r>
          </w:p>
        </w:tc>
      </w:tr>
      <w:tr w:rsidR="00920504" w:rsidRPr="00607B0A" w14:paraId="2799F91D" w14:textId="77777777" w:rsidTr="00920504">
        <w:tc>
          <w:tcPr>
            <w:tcW w:w="1727" w:type="dxa"/>
            <w:shd w:val="clear" w:color="auto" w:fill="DDDDDD"/>
          </w:tcPr>
          <w:p w14:paraId="7713F2B3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Produkt Programowy</w:t>
            </w:r>
          </w:p>
        </w:tc>
        <w:tc>
          <w:tcPr>
            <w:tcW w:w="7596" w:type="dxa"/>
            <w:vAlign w:val="center"/>
          </w:tcPr>
          <w:p w14:paraId="5352B942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Wszelkiego typu oprogramowanie, infrastruktura, instrukcje i dokumentacja użyte w ramach projektu lub powstałe w toku planowania, projektowania, analizy, implementacji, testów, wdrożeń, szkoleń, utrzymania, rozwoju systemu wspierającego zadania windykacyjne PFRON</w:t>
            </w:r>
          </w:p>
        </w:tc>
      </w:tr>
      <w:tr w:rsidR="00920504" w:rsidRPr="00607B0A" w14:paraId="652F92B6" w14:textId="77777777" w:rsidTr="00920504">
        <w:tc>
          <w:tcPr>
            <w:tcW w:w="1727" w:type="dxa"/>
            <w:shd w:val="clear" w:color="auto" w:fill="DDDDDD"/>
          </w:tcPr>
          <w:p w14:paraId="58F682BC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Protokół Odbioru</w:t>
            </w:r>
          </w:p>
        </w:tc>
        <w:tc>
          <w:tcPr>
            <w:tcW w:w="7596" w:type="dxa"/>
            <w:vAlign w:val="center"/>
          </w:tcPr>
          <w:p w14:paraId="04023ECB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Dokument przedstawiony przez Wykonawcę i zaakceptowany przez Zamawiającego, potwierdzający prawidłowość i zakres wykonania konkretnych usług i Produktów.</w:t>
            </w:r>
          </w:p>
        </w:tc>
      </w:tr>
      <w:tr w:rsidR="00920504" w:rsidRPr="00607B0A" w14:paraId="34899BC8" w14:textId="77777777" w:rsidTr="00920504">
        <w:tc>
          <w:tcPr>
            <w:tcW w:w="1727" w:type="dxa"/>
            <w:shd w:val="clear" w:color="auto" w:fill="DDDDDD"/>
          </w:tcPr>
          <w:p w14:paraId="6D1C4D52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Times New Roman" w:cstheme="minorHAnsi"/>
                <w:b/>
                <w:lang w:eastAsia="pl-PL"/>
              </w:rPr>
              <w:t>Repozytorium Projektu</w:t>
            </w:r>
          </w:p>
        </w:tc>
        <w:tc>
          <w:tcPr>
            <w:tcW w:w="7596" w:type="dxa"/>
            <w:vAlign w:val="center"/>
          </w:tcPr>
          <w:p w14:paraId="71CF30A2" w14:textId="77777777" w:rsidR="00920504" w:rsidRPr="00607B0A" w:rsidRDefault="00920504" w:rsidP="00920504">
            <w:pPr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Narzędzie służące  do  rejestracji i rozliczania pracy osób realizujących Umowę po stronie Wykonawcy, środowisko skonfigurowane we wskazany przez Zamawiającego sposób, na wskazanej przez Zamawiającego infrastrukturze z wykorzystaniem wskazanego przez Zamawiającego środowiska systemu kontroli wersji (GIT), narzędziu typu </w:t>
            </w:r>
            <w:proofErr w:type="spellStart"/>
            <w:r w:rsidRPr="00607B0A">
              <w:rPr>
                <w:rFonts w:eastAsia="Times New Roman" w:cstheme="minorHAnsi"/>
                <w:lang w:eastAsia="pl-PL"/>
              </w:rPr>
              <w:t>case-tracker</w:t>
            </w:r>
            <w:proofErr w:type="spellEnd"/>
            <w:r w:rsidRPr="00607B0A">
              <w:rPr>
                <w:rFonts w:eastAsia="Times New Roman" w:cstheme="minorHAnsi"/>
                <w:lang w:eastAsia="pl-PL"/>
              </w:rPr>
              <w:t xml:space="preserve"> (JIRA, Microsoft </w:t>
            </w:r>
            <w:proofErr w:type="spellStart"/>
            <w:r w:rsidRPr="00607B0A">
              <w:rPr>
                <w:rFonts w:eastAsia="Times New Roman" w:cstheme="minorHAnsi"/>
                <w:lang w:eastAsia="pl-PL"/>
              </w:rPr>
              <w:t>Teams</w:t>
            </w:r>
            <w:proofErr w:type="spellEnd"/>
            <w:r w:rsidRPr="00607B0A">
              <w:rPr>
                <w:rFonts w:eastAsia="Times New Roman" w:cstheme="minorHAnsi"/>
                <w:lang w:eastAsia="pl-PL"/>
              </w:rPr>
              <w:t>), lub systemie DMS (</w:t>
            </w:r>
            <w:proofErr w:type="spellStart"/>
            <w:r w:rsidRPr="00607B0A">
              <w:rPr>
                <w:rFonts w:eastAsia="Times New Roman" w:cstheme="minorHAnsi"/>
                <w:lang w:eastAsia="pl-PL"/>
              </w:rPr>
              <w:t>Sharepoint</w:t>
            </w:r>
            <w:proofErr w:type="spellEnd"/>
            <w:r w:rsidRPr="00607B0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07B0A">
              <w:rPr>
                <w:rFonts w:eastAsia="Times New Roman" w:cstheme="minorHAnsi"/>
                <w:lang w:eastAsia="pl-PL"/>
              </w:rPr>
              <w:t>Confluence</w:t>
            </w:r>
            <w:proofErr w:type="spellEnd"/>
            <w:r w:rsidRPr="00607B0A">
              <w:rPr>
                <w:rFonts w:eastAsia="Times New Roman" w:cstheme="minorHAnsi"/>
                <w:lang w:eastAsia="pl-PL"/>
              </w:rPr>
              <w:t xml:space="preserve">). </w:t>
            </w:r>
          </w:p>
        </w:tc>
      </w:tr>
      <w:tr w:rsidR="00920504" w:rsidRPr="00607B0A" w14:paraId="3A2F1EF5" w14:textId="77777777" w:rsidTr="00920504">
        <w:tc>
          <w:tcPr>
            <w:tcW w:w="1727" w:type="dxa"/>
            <w:shd w:val="clear" w:color="auto" w:fill="DDDDDD"/>
          </w:tcPr>
          <w:p w14:paraId="1E2A14E9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Roboczogodzina</w:t>
            </w:r>
          </w:p>
        </w:tc>
        <w:tc>
          <w:tcPr>
            <w:tcW w:w="7596" w:type="dxa"/>
            <w:vAlign w:val="center"/>
          </w:tcPr>
          <w:p w14:paraId="4F70EC89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Jednostka miary pracochłonności wyrażająca normę ilościową pracy wykonanej przez jednego pracownika Wykonawcy w czasie jednej godziny.</w:t>
            </w:r>
          </w:p>
        </w:tc>
      </w:tr>
      <w:tr w:rsidR="00920504" w:rsidRPr="00607B0A" w14:paraId="3B2C534C" w14:textId="77777777" w:rsidTr="00920504">
        <w:tc>
          <w:tcPr>
            <w:tcW w:w="1727" w:type="dxa"/>
            <w:shd w:val="clear" w:color="auto" w:fill="DDDDDD"/>
          </w:tcPr>
          <w:p w14:paraId="3CC37904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lastRenderedPageBreak/>
              <w:t>SLA</w:t>
            </w:r>
          </w:p>
        </w:tc>
        <w:tc>
          <w:tcPr>
            <w:tcW w:w="7596" w:type="dxa"/>
            <w:vAlign w:val="center"/>
          </w:tcPr>
          <w:p w14:paraId="32066A64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bCs/>
                <w:i/>
                <w:lang w:eastAsia="pl-PL"/>
              </w:rPr>
              <w:t>Service Level Agreement</w:t>
            </w:r>
            <w:r w:rsidRPr="00607B0A">
              <w:rPr>
                <w:rFonts w:eastAsia="Times New Roman" w:cstheme="minorHAnsi"/>
                <w:bCs/>
                <w:lang w:eastAsia="pl-PL"/>
              </w:rPr>
              <w:t xml:space="preserve"> - </w:t>
            </w:r>
            <w:r w:rsidRPr="00607B0A">
              <w:rPr>
                <w:rFonts w:eastAsia="Times New Roman" w:cstheme="minorHAnsi"/>
                <w:lang w:eastAsia="pl-PL"/>
              </w:rPr>
              <w:t>Poziom świadczenia usług i sposób jego pomiaru, określony w Załączniku nr 5 do Umowy.</w:t>
            </w:r>
          </w:p>
        </w:tc>
      </w:tr>
      <w:tr w:rsidR="00920504" w:rsidRPr="00607B0A" w14:paraId="7BFD2F42" w14:textId="77777777" w:rsidTr="00920504">
        <w:tc>
          <w:tcPr>
            <w:tcW w:w="1727" w:type="dxa"/>
            <w:shd w:val="clear" w:color="auto" w:fill="DDDDDD"/>
          </w:tcPr>
          <w:p w14:paraId="2E8463B3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Sprzęt</w:t>
            </w:r>
          </w:p>
        </w:tc>
        <w:tc>
          <w:tcPr>
            <w:tcW w:w="7596" w:type="dxa"/>
            <w:vAlign w:val="center"/>
          </w:tcPr>
          <w:p w14:paraId="27F1A2BF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Urządzenia, w szczególności sprzęt komputerowy i infrastruktura teleinformatyczna znajdująca się w posiadaniu Zamawiającego, na których działa System w okresie realizacji Umowy.</w:t>
            </w:r>
          </w:p>
        </w:tc>
      </w:tr>
      <w:tr w:rsidR="00920504" w:rsidRPr="00607B0A" w14:paraId="4CE28A25" w14:textId="77777777" w:rsidTr="00920504">
        <w:tc>
          <w:tcPr>
            <w:tcW w:w="1727" w:type="dxa"/>
            <w:shd w:val="clear" w:color="auto" w:fill="DDDDDD"/>
          </w:tcPr>
          <w:p w14:paraId="3B0AE7D2" w14:textId="77777777" w:rsidR="00920504" w:rsidRPr="00607B0A" w:rsidRDefault="00920504" w:rsidP="00920504">
            <w:pPr>
              <w:tabs>
                <w:tab w:val="right" w:pos="1947"/>
              </w:tabs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System / Aplikacja</w:t>
            </w:r>
          </w:p>
        </w:tc>
        <w:tc>
          <w:tcPr>
            <w:tcW w:w="7596" w:type="dxa"/>
            <w:vAlign w:val="center"/>
          </w:tcPr>
          <w:p w14:paraId="2C6C2C0C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Produkt programowy, którego budowa i wdrożenie jest celem realizacji Przedmiotu Zamówienia</w:t>
            </w:r>
          </w:p>
        </w:tc>
      </w:tr>
      <w:tr w:rsidR="00920504" w:rsidRPr="00607B0A" w14:paraId="56AAAD82" w14:textId="77777777" w:rsidTr="00920504">
        <w:tc>
          <w:tcPr>
            <w:tcW w:w="1727" w:type="dxa"/>
            <w:shd w:val="clear" w:color="auto" w:fill="DDDDDD"/>
          </w:tcPr>
          <w:p w14:paraId="29DA99B7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Systemy Zewnętrzne</w:t>
            </w:r>
          </w:p>
        </w:tc>
        <w:tc>
          <w:tcPr>
            <w:tcW w:w="7596" w:type="dxa"/>
            <w:vAlign w:val="center"/>
          </w:tcPr>
          <w:p w14:paraId="4247C704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Systemy Zamawiającego oraz systemy utrzymywanej przez inne podmioty z którymi System zapewnia dwustronną komunikacje. </w:t>
            </w:r>
          </w:p>
        </w:tc>
      </w:tr>
      <w:tr w:rsidR="00920504" w:rsidRPr="00607B0A" w14:paraId="65385DB8" w14:textId="77777777" w:rsidTr="00920504">
        <w:tc>
          <w:tcPr>
            <w:tcW w:w="1727" w:type="dxa"/>
            <w:shd w:val="clear" w:color="auto" w:fill="DDDDDD"/>
          </w:tcPr>
          <w:p w14:paraId="6CCF31E2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Środowisko Deweloperskie</w:t>
            </w:r>
          </w:p>
        </w:tc>
        <w:tc>
          <w:tcPr>
            <w:tcW w:w="7596" w:type="dxa"/>
            <w:vAlign w:val="center"/>
          </w:tcPr>
          <w:p w14:paraId="63B9AD40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Infrastruktura sprzętowo – programowa Wykonawcy, która zapewnia Wykonawcy wykonywanie m.in. czynności: - wprowadzania zmian do Kodu Źródłowego Systemu; - tworzenia i uzupełniania Dokumentacji Systemu oraz Kodów Źródłowych; - wytwarzania wykonywalnej i instalacyjnej wersji Systemu dla Środowiska Testowego i Środowiska Produkcyjnego; - przeprowadzania testów realizowanych przez Wykonawcę w wersji instalacyjnej Systemu przed przystąpieniem do testów akceptacyjnych w Środowisku Testowym.</w:t>
            </w:r>
          </w:p>
        </w:tc>
      </w:tr>
      <w:tr w:rsidR="00920504" w:rsidRPr="00607B0A" w14:paraId="4F37BB2C" w14:textId="77777777" w:rsidTr="00920504">
        <w:tc>
          <w:tcPr>
            <w:tcW w:w="1727" w:type="dxa"/>
            <w:shd w:val="clear" w:color="auto" w:fill="DDDDDD"/>
          </w:tcPr>
          <w:p w14:paraId="3E704425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Środowisko Produkcyjne</w:t>
            </w:r>
          </w:p>
        </w:tc>
        <w:tc>
          <w:tcPr>
            <w:tcW w:w="7596" w:type="dxa"/>
            <w:vAlign w:val="center"/>
          </w:tcPr>
          <w:p w14:paraId="73F31349" w14:textId="77777777" w:rsidR="00920504" w:rsidRPr="00607B0A" w:rsidRDefault="00920504" w:rsidP="00920504">
            <w:pPr>
              <w:spacing w:before="60" w:after="60" w:line="264" w:lineRule="auto"/>
              <w:ind w:left="37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Element systemu, realizowany przez środowisko maszyn wirtualnych, na którym działa System.</w:t>
            </w:r>
          </w:p>
        </w:tc>
      </w:tr>
      <w:tr w:rsidR="00920504" w:rsidRPr="00607B0A" w14:paraId="704170BD" w14:textId="77777777" w:rsidTr="00920504">
        <w:tc>
          <w:tcPr>
            <w:tcW w:w="1727" w:type="dxa"/>
            <w:shd w:val="clear" w:color="auto" w:fill="DDDDDD"/>
          </w:tcPr>
          <w:p w14:paraId="2814774E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Środowisko Testowe</w:t>
            </w:r>
          </w:p>
        </w:tc>
        <w:tc>
          <w:tcPr>
            <w:tcW w:w="7596" w:type="dxa"/>
          </w:tcPr>
          <w:p w14:paraId="3431A987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Środowisko informatyczne Zamawiającego zapewniające pełne odwzorowanie warstwy funkcji Systemu posadowionego na Środowisku Produkcyjnym, analogiczne do Środowiska Produkcyjnego w zakresie systemów operacyjnych, systemów bazodanowych oraz oprogramowania aplikacyjnego mogące się różnić od Środowiska Produkcyjnego mocą obliczeniową (liczba procesorów i RAM) </w:t>
            </w:r>
          </w:p>
        </w:tc>
      </w:tr>
      <w:tr w:rsidR="00920504" w:rsidRPr="00607B0A" w14:paraId="2994F447" w14:textId="77777777" w:rsidTr="00920504">
        <w:tc>
          <w:tcPr>
            <w:tcW w:w="1727" w:type="dxa"/>
            <w:shd w:val="clear" w:color="auto" w:fill="DDDDDD"/>
          </w:tcPr>
          <w:p w14:paraId="198EF48E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  <w:strike/>
              </w:rPr>
            </w:pPr>
            <w:r w:rsidRPr="00607B0A">
              <w:rPr>
                <w:rFonts w:eastAsia="Calibri" w:cstheme="minorHAnsi"/>
                <w:b/>
                <w:bCs/>
              </w:rPr>
              <w:t>Umowa</w:t>
            </w:r>
          </w:p>
        </w:tc>
        <w:tc>
          <w:tcPr>
            <w:tcW w:w="7596" w:type="dxa"/>
          </w:tcPr>
          <w:p w14:paraId="1C48A2A9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strike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Umowa zawarta między Zamawiającym, a Wykonawcą wraz ze wszystkimi aneksami i Załącznikami do Umowy.</w:t>
            </w:r>
          </w:p>
        </w:tc>
      </w:tr>
      <w:tr w:rsidR="00920504" w:rsidRPr="00607B0A" w14:paraId="21738254" w14:textId="77777777" w:rsidTr="00920504">
        <w:tc>
          <w:tcPr>
            <w:tcW w:w="1727" w:type="dxa"/>
            <w:shd w:val="clear" w:color="auto" w:fill="DDDDDD"/>
          </w:tcPr>
          <w:p w14:paraId="526C1B30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Usługa Utrzymania /</w:t>
            </w:r>
          </w:p>
          <w:p w14:paraId="185BE0A6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Usługa Utrzymania Systemu</w:t>
            </w:r>
          </w:p>
        </w:tc>
        <w:tc>
          <w:tcPr>
            <w:tcW w:w="7596" w:type="dxa"/>
          </w:tcPr>
          <w:p w14:paraId="17C5FC7A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Wszelkie usługi związane z zapewnieniem bezawaryjnego działania Systemu, realizowane przez Wykonawcę w zakresie opisanym w Umowie.</w:t>
            </w:r>
          </w:p>
        </w:tc>
      </w:tr>
      <w:tr w:rsidR="00920504" w:rsidRPr="00607B0A" w14:paraId="4BE763C8" w14:textId="77777777" w:rsidTr="00920504">
        <w:tc>
          <w:tcPr>
            <w:tcW w:w="1727" w:type="dxa"/>
            <w:shd w:val="clear" w:color="auto" w:fill="DDDDDD"/>
          </w:tcPr>
          <w:p w14:paraId="675B9838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Usługa Rozwoju / Usługa Rozwoju Systemu</w:t>
            </w:r>
          </w:p>
        </w:tc>
        <w:tc>
          <w:tcPr>
            <w:tcW w:w="7596" w:type="dxa"/>
          </w:tcPr>
          <w:p w14:paraId="3FEB9607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Wszelkie usługi polegające na wprowadzaniu zmian w Systemie, realizowane przez Wykonawcę w zakresie opisanym w Umowie.</w:t>
            </w:r>
          </w:p>
        </w:tc>
      </w:tr>
      <w:tr w:rsidR="00920504" w:rsidRPr="00607B0A" w14:paraId="7D3F7494" w14:textId="77777777" w:rsidTr="00920504">
        <w:tc>
          <w:tcPr>
            <w:tcW w:w="1727" w:type="dxa"/>
            <w:shd w:val="clear" w:color="auto" w:fill="DDDDDD"/>
          </w:tcPr>
          <w:p w14:paraId="69D9F5C0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Użytkownik</w:t>
            </w:r>
          </w:p>
        </w:tc>
        <w:tc>
          <w:tcPr>
            <w:tcW w:w="7596" w:type="dxa"/>
          </w:tcPr>
          <w:p w14:paraId="69B5C47A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Osoba korzystająca z Systemu lub jego poszczególnych części.</w:t>
            </w:r>
          </w:p>
        </w:tc>
      </w:tr>
      <w:tr w:rsidR="00920504" w:rsidRPr="00607B0A" w14:paraId="6E8C24B9" w14:textId="77777777" w:rsidTr="00920504">
        <w:tc>
          <w:tcPr>
            <w:tcW w:w="1727" w:type="dxa"/>
            <w:shd w:val="clear" w:color="auto" w:fill="DDDDDD"/>
          </w:tcPr>
          <w:p w14:paraId="06684010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Wersja podstawowa</w:t>
            </w:r>
          </w:p>
        </w:tc>
        <w:tc>
          <w:tcPr>
            <w:tcW w:w="7596" w:type="dxa"/>
          </w:tcPr>
          <w:p w14:paraId="686E67AC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cstheme="minorHAnsi"/>
                <w:lang w:eastAsia="pl-PL"/>
              </w:rPr>
            </w:pPr>
            <w:r w:rsidRPr="00607B0A">
              <w:rPr>
                <w:rFonts w:cstheme="minorHAnsi"/>
                <w:lang w:eastAsia="pl-PL"/>
              </w:rPr>
              <w:t>System realizujący podstawowej Wymagania funkcjonalne określone w  SIWZ.</w:t>
            </w:r>
          </w:p>
        </w:tc>
      </w:tr>
      <w:tr w:rsidR="00920504" w:rsidRPr="00607B0A" w14:paraId="7F3C60D4" w14:textId="77777777" w:rsidTr="00920504">
        <w:tc>
          <w:tcPr>
            <w:tcW w:w="1727" w:type="dxa"/>
            <w:shd w:val="clear" w:color="auto" w:fill="DDDDDD"/>
          </w:tcPr>
          <w:p w14:paraId="1169B4FC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Wersja docelowa</w:t>
            </w:r>
          </w:p>
        </w:tc>
        <w:tc>
          <w:tcPr>
            <w:tcW w:w="7596" w:type="dxa"/>
          </w:tcPr>
          <w:p w14:paraId="1F50F10E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cstheme="minorHAnsi"/>
                <w:lang w:eastAsia="pl-PL"/>
              </w:rPr>
            </w:pPr>
            <w:r w:rsidRPr="00607B0A">
              <w:rPr>
                <w:rFonts w:cstheme="minorHAnsi"/>
                <w:lang w:eastAsia="pl-PL"/>
              </w:rPr>
              <w:t>System realizujący podstawowe wymagania określone w  SIWZ.</w:t>
            </w:r>
          </w:p>
        </w:tc>
      </w:tr>
      <w:tr w:rsidR="00920504" w:rsidRPr="00607B0A" w14:paraId="49F0BEF4" w14:textId="77777777" w:rsidTr="00920504">
        <w:tc>
          <w:tcPr>
            <w:tcW w:w="1727" w:type="dxa"/>
            <w:shd w:val="clear" w:color="auto" w:fill="DDDDDD"/>
          </w:tcPr>
          <w:p w14:paraId="4A5B8E70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lastRenderedPageBreak/>
              <w:t>Wada</w:t>
            </w:r>
          </w:p>
        </w:tc>
        <w:tc>
          <w:tcPr>
            <w:tcW w:w="7596" w:type="dxa"/>
          </w:tcPr>
          <w:p w14:paraId="35744E68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cstheme="minorHAnsi"/>
                <w:lang w:eastAsia="pl-PL"/>
              </w:rPr>
              <w:t xml:space="preserve">Jakiekolwiek zaburzenie pracy Systemu objawiające się poprzez jego działanie w sposób odmienny od spodziewanego, przez co należy rozumieć między innymi: - działanie odmienne od sposobu opisanego w Dokumentacji Systemu; - działanie odmienne od standardów lub zwyczajów wynikających z praktyki ustalonej w toku bieżącej eksploatacji i administracji Systemu; - działanie odmienne od sposobu ustalonego na mocy wszelkich innych dokumentów lub ustaleń Stron. Wada może dotyczyć wszelkich możliwych nieprawidłowości w działaniu wszystkich komponentów Systemu, może dotyczyć jego dostępności, wydajności i reaktywności, cech mających wpływ na bezpieczeństwo i ciągłość działania, oraz wszystkich innych cech funkcjonalnych i </w:t>
            </w:r>
            <w:proofErr w:type="spellStart"/>
            <w:r w:rsidRPr="00607B0A">
              <w:rPr>
                <w:rFonts w:cstheme="minorHAnsi"/>
                <w:lang w:eastAsia="pl-PL"/>
              </w:rPr>
              <w:t>pozafunkcjonalnych</w:t>
            </w:r>
            <w:proofErr w:type="spellEnd"/>
            <w:r w:rsidRPr="00607B0A">
              <w:rPr>
                <w:rFonts w:cstheme="minorHAnsi"/>
                <w:lang w:eastAsia="pl-PL"/>
              </w:rPr>
              <w:t xml:space="preserve">. </w:t>
            </w:r>
            <w:r w:rsidRPr="00607B0A">
              <w:rPr>
                <w:rFonts w:eastAsia="Times New Roman" w:cstheme="minorHAnsi"/>
                <w:lang w:eastAsia="pl-PL"/>
              </w:rPr>
              <w:t>Wady mogą mieć charakter Awarii, Błędu lub Usterki.</w:t>
            </w:r>
          </w:p>
        </w:tc>
      </w:tr>
      <w:tr w:rsidR="00920504" w:rsidRPr="00607B0A" w14:paraId="12CA6DAA" w14:textId="77777777" w:rsidTr="00920504">
        <w:tc>
          <w:tcPr>
            <w:tcW w:w="1727" w:type="dxa"/>
            <w:shd w:val="clear" w:color="auto" w:fill="DDDDDD"/>
          </w:tcPr>
          <w:p w14:paraId="33DA61F2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Załącznik</w:t>
            </w:r>
          </w:p>
        </w:tc>
        <w:tc>
          <w:tcPr>
            <w:tcW w:w="7596" w:type="dxa"/>
          </w:tcPr>
          <w:p w14:paraId="5BEC4971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 xml:space="preserve">Każdy tekst, materiał graficzny lub też inny przedmiot, odnoszący się do treści głównego dokumentu, dołączony do niego w celu uzupełnienia, bądź uprawomocnienia jego treści. </w:t>
            </w:r>
          </w:p>
        </w:tc>
      </w:tr>
      <w:tr w:rsidR="00920504" w:rsidRPr="00607B0A" w14:paraId="1A4BB71B" w14:textId="77777777" w:rsidTr="00920504">
        <w:tc>
          <w:tcPr>
            <w:tcW w:w="1727" w:type="dxa"/>
            <w:shd w:val="clear" w:color="auto" w:fill="DDDDDD"/>
          </w:tcPr>
          <w:p w14:paraId="7ADDBEAA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Zamówienie</w:t>
            </w:r>
          </w:p>
        </w:tc>
        <w:tc>
          <w:tcPr>
            <w:tcW w:w="7596" w:type="dxa"/>
          </w:tcPr>
          <w:p w14:paraId="27E86A88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Przekazanie Wykonawcy zapotrzebowania na wykonanie określonych Produktów lub innych prac w ramach Rozwoju</w:t>
            </w:r>
          </w:p>
        </w:tc>
      </w:tr>
      <w:tr w:rsidR="00920504" w:rsidRPr="00607B0A" w14:paraId="65FC7534" w14:textId="77777777" w:rsidTr="00920504">
        <w:tc>
          <w:tcPr>
            <w:tcW w:w="1727" w:type="dxa"/>
            <w:shd w:val="clear" w:color="auto" w:fill="DDDDDD"/>
          </w:tcPr>
          <w:p w14:paraId="65BC3629" w14:textId="77777777" w:rsidR="00920504" w:rsidRPr="00607B0A" w:rsidRDefault="00920504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Zgłoszenie</w:t>
            </w:r>
          </w:p>
        </w:tc>
        <w:tc>
          <w:tcPr>
            <w:tcW w:w="7596" w:type="dxa"/>
          </w:tcPr>
          <w:p w14:paraId="0076BB4F" w14:textId="77777777" w:rsidR="00920504" w:rsidRPr="00607B0A" w:rsidRDefault="00920504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Przekazanie Wykonawcy zawiadomienia o Wadzie, złożenie pytań w ramach świadczenia Usługi Utrzymania oraz w okresie gwarancji.</w:t>
            </w:r>
          </w:p>
        </w:tc>
      </w:tr>
      <w:tr w:rsidR="007A3C12" w:rsidRPr="00607B0A" w14:paraId="1FEFEF29" w14:textId="77777777" w:rsidTr="00920504">
        <w:tc>
          <w:tcPr>
            <w:tcW w:w="1727" w:type="dxa"/>
            <w:shd w:val="clear" w:color="auto" w:fill="DDDDDD"/>
          </w:tcPr>
          <w:p w14:paraId="70C82647" w14:textId="4582C58E" w:rsidR="007A3C12" w:rsidRPr="00607B0A" w:rsidRDefault="007A3C12" w:rsidP="00920504">
            <w:pPr>
              <w:spacing w:before="60" w:after="60" w:line="264" w:lineRule="auto"/>
              <w:rPr>
                <w:rFonts w:eastAsia="Calibri" w:cstheme="minorHAnsi"/>
                <w:b/>
                <w:bCs/>
              </w:rPr>
            </w:pPr>
            <w:r w:rsidRPr="00607B0A">
              <w:rPr>
                <w:rFonts w:eastAsia="Calibri" w:cstheme="minorHAnsi"/>
                <w:b/>
                <w:bCs/>
              </w:rPr>
              <w:t>PP</w:t>
            </w:r>
          </w:p>
        </w:tc>
        <w:tc>
          <w:tcPr>
            <w:tcW w:w="7596" w:type="dxa"/>
          </w:tcPr>
          <w:p w14:paraId="49717059" w14:textId="00A22F8B" w:rsidR="007A3C12" w:rsidRPr="00607B0A" w:rsidRDefault="007A3C12" w:rsidP="00920504">
            <w:pPr>
              <w:spacing w:before="60" w:after="60" w:line="264" w:lineRule="auto"/>
              <w:ind w:left="40"/>
              <w:jc w:val="both"/>
              <w:rPr>
                <w:rFonts w:eastAsia="Times New Roman" w:cstheme="minorHAnsi"/>
                <w:lang w:eastAsia="pl-PL"/>
              </w:rPr>
            </w:pPr>
            <w:r w:rsidRPr="00607B0A">
              <w:rPr>
                <w:rFonts w:eastAsia="Times New Roman" w:cstheme="minorHAnsi"/>
                <w:lang w:eastAsia="pl-PL"/>
              </w:rPr>
              <w:t>Pies Przewodnik</w:t>
            </w:r>
          </w:p>
        </w:tc>
      </w:tr>
    </w:tbl>
    <w:p w14:paraId="7CBA933F" w14:textId="1A7FB7AB" w:rsidR="007B2501" w:rsidRPr="00607B0A" w:rsidRDefault="00920504" w:rsidP="00920504">
      <w:pPr>
        <w:pStyle w:val="Akapitzlist"/>
        <w:numPr>
          <w:ilvl w:val="0"/>
          <w:numId w:val="4"/>
        </w:numPr>
        <w:tabs>
          <w:tab w:val="left" w:pos="426"/>
        </w:tabs>
        <w:spacing w:before="360" w:after="120"/>
        <w:ind w:left="70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07B0A">
        <w:rPr>
          <w:rFonts w:asciiTheme="minorHAnsi" w:eastAsia="Calibri" w:hAnsiTheme="minorHAnsi" w:cstheme="minorHAnsi"/>
          <w:b/>
          <w:sz w:val="22"/>
          <w:szCs w:val="22"/>
        </w:rPr>
        <w:t>Ogólny opis zamówienia.</w:t>
      </w:r>
    </w:p>
    <w:bookmarkEnd w:id="1"/>
    <w:p w14:paraId="1CAFCC8D" w14:textId="77777777" w:rsidR="007B2501" w:rsidRPr="00607B0A" w:rsidRDefault="007B2501" w:rsidP="007B2501">
      <w:pPr>
        <w:numPr>
          <w:ilvl w:val="0"/>
          <w:numId w:val="1"/>
        </w:numPr>
        <w:spacing w:before="120" w:after="120"/>
        <w:ind w:left="426" w:hanging="426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Przedmiotem zamówienia jest:</w:t>
      </w:r>
    </w:p>
    <w:p w14:paraId="1F471005" w14:textId="522E470E" w:rsidR="007B2501" w:rsidRPr="00607B0A" w:rsidRDefault="007B2501" w:rsidP="00FE096D">
      <w:pPr>
        <w:numPr>
          <w:ilvl w:val="1"/>
          <w:numId w:val="2"/>
        </w:numPr>
        <w:spacing w:after="0" w:line="360" w:lineRule="auto"/>
        <w:ind w:left="788" w:hanging="431"/>
        <w:jc w:val="both"/>
        <w:rPr>
          <w:rFonts w:eastAsia="Calibri" w:cstheme="minorHAnsi"/>
        </w:rPr>
      </w:pPr>
      <w:r w:rsidRPr="00607B0A">
        <w:rPr>
          <w:rFonts w:eastAsia="Times New Roman" w:cstheme="minorHAnsi"/>
          <w:lang w:eastAsia="pl-PL"/>
        </w:rPr>
        <w:t xml:space="preserve">Przedmiotem Zamówienia jest utworzenie Aplikacji, która ma na celu stworzyć historię psa przewodnika od dnia zakupu do końca pracy z osobą niewidomą, w tym monitorowanie postępów szkolenia psów podczas pobytu u wolontariuszy i u trenera. Aplikacja obejmie też wszelkie procedury dotyczące zabiegów weterynaryjnych, badań i okresowych przeglądów, w czasie pobytu psa u osoby niewidomej. Dzięki Aplikacji będzie istniała możliwość wpisywania i monitorowanie </w:t>
      </w:r>
      <w:bookmarkStart w:id="3" w:name="_Hlk8029106"/>
      <w:r w:rsidRPr="00607B0A">
        <w:rPr>
          <w:rFonts w:eastAsia="Times New Roman" w:cstheme="minorHAnsi"/>
          <w:lang w:eastAsia="pl-PL"/>
        </w:rPr>
        <w:t>ewentualnych potrzeb i problemów związanych z wykonywaniem pracy przez psa przewodnika</w:t>
      </w:r>
      <w:bookmarkEnd w:id="3"/>
      <w:r w:rsidRPr="00607B0A">
        <w:rPr>
          <w:rFonts w:eastAsia="Times New Roman" w:cstheme="minorHAnsi"/>
          <w:lang w:eastAsia="pl-PL"/>
        </w:rPr>
        <w:t>. Aplikacja pozwoli na stworzenie w przyszłości bazy psów z najlepszymi cechami fizycznymi i psychicznymi do pracy jako pies przewodnik, czyli wstępną kwalifikację hodowli z których potencjalnie psy należy pozyskiwać. Aplikacja będzie miała zawierać kilka poziomów dostępu: inny dla PFRON, inny dla organizacji szkolącej psy. Aplikacja zapewni prowadzenie ewidencji psów. W Aplikacji znajdą się dane osób, które otrzymają psy, tak, aby system pełnił rolę wsparcia dla osób z niepełnosprawnością wzroku w przypadku problemów z psem</w:t>
      </w:r>
      <w:r w:rsidRPr="00607B0A">
        <w:rPr>
          <w:rFonts w:eastAsia="Calibri" w:cstheme="minorHAnsi"/>
        </w:rPr>
        <w:t>.</w:t>
      </w:r>
    </w:p>
    <w:p w14:paraId="08908457" w14:textId="54F3AD85" w:rsidR="001E0CD4" w:rsidRPr="00607B0A" w:rsidRDefault="001E0CD4" w:rsidP="00FE096D">
      <w:pPr>
        <w:numPr>
          <w:ilvl w:val="1"/>
          <w:numId w:val="2"/>
        </w:numPr>
        <w:spacing w:after="0" w:line="360" w:lineRule="auto"/>
        <w:ind w:left="788" w:hanging="431"/>
        <w:jc w:val="both"/>
        <w:rPr>
          <w:rFonts w:eastAsia="Times New Roman" w:cstheme="minorHAnsi"/>
          <w:lang w:eastAsia="pl-PL"/>
        </w:rPr>
      </w:pPr>
      <w:r w:rsidRPr="00607B0A">
        <w:rPr>
          <w:rFonts w:eastAsia="Times New Roman" w:cstheme="minorHAnsi"/>
          <w:lang w:eastAsia="pl-PL"/>
        </w:rPr>
        <w:t xml:space="preserve">Celem Zamówienia jest stworzenie narzędzia informatycznego służącego monitorowaniu psa od momentu jego zakupu, poprzez szkolenie, przekazanie osobie niewidomej, pobyt u </w:t>
      </w:r>
      <w:r w:rsidRPr="00607B0A">
        <w:rPr>
          <w:rFonts w:eastAsia="Times New Roman" w:cstheme="minorHAnsi"/>
          <w:lang w:eastAsia="pl-PL"/>
        </w:rPr>
        <w:lastRenderedPageBreak/>
        <w:t>niewidomego, do czasu emerytury i śmierci.  Będzie ono umożliwiało wprowadzenie systemu tzw. instytucjonalnego wsparcia-leczenia i opieki pielęgnacyjnej dla psów przewodników.</w:t>
      </w:r>
    </w:p>
    <w:p w14:paraId="299EBDDA" w14:textId="77777777" w:rsidR="00ED4712" w:rsidRPr="00607B0A" w:rsidRDefault="00ED4712" w:rsidP="001E0CD4">
      <w:pPr>
        <w:spacing w:before="120" w:after="120"/>
        <w:ind w:left="792"/>
        <w:jc w:val="both"/>
        <w:rPr>
          <w:rFonts w:eastAsia="Times New Roman" w:cstheme="minorHAnsi"/>
          <w:lang w:eastAsia="pl-PL"/>
        </w:rPr>
      </w:pPr>
    </w:p>
    <w:p w14:paraId="348831DF" w14:textId="32BA7B01" w:rsidR="00ED4712" w:rsidRPr="00607B0A" w:rsidRDefault="00ED4712" w:rsidP="00ED4712">
      <w:pPr>
        <w:spacing w:before="120" w:after="120"/>
        <w:ind w:left="792"/>
        <w:jc w:val="center"/>
        <w:rPr>
          <w:rFonts w:eastAsia="Times New Roman" w:cstheme="minorHAnsi"/>
          <w:b/>
          <w:bCs/>
          <w:lang w:eastAsia="pl-PL"/>
        </w:rPr>
      </w:pPr>
      <w:r w:rsidRPr="00607B0A">
        <w:rPr>
          <w:rFonts w:eastAsia="Times New Roman" w:cstheme="minorHAnsi"/>
          <w:b/>
          <w:bCs/>
          <w:lang w:eastAsia="pl-PL"/>
        </w:rPr>
        <w:t>ETAP  I  Budowa</w:t>
      </w:r>
      <w:r w:rsidR="00925F23" w:rsidRPr="00607B0A">
        <w:rPr>
          <w:rFonts w:eastAsia="Times New Roman" w:cstheme="minorHAnsi"/>
          <w:b/>
          <w:bCs/>
          <w:lang w:eastAsia="pl-PL"/>
        </w:rPr>
        <w:t xml:space="preserve"> i Wdrożenie</w:t>
      </w:r>
      <w:r w:rsidRPr="00607B0A">
        <w:rPr>
          <w:rFonts w:eastAsia="Times New Roman" w:cstheme="minorHAnsi"/>
          <w:b/>
          <w:bCs/>
          <w:lang w:eastAsia="pl-PL"/>
        </w:rPr>
        <w:t xml:space="preserve"> Systemu</w:t>
      </w:r>
    </w:p>
    <w:p w14:paraId="468E50FD" w14:textId="77777777" w:rsidR="00ED4712" w:rsidRPr="00607B0A" w:rsidRDefault="00ED4712" w:rsidP="00FE096D">
      <w:pPr>
        <w:spacing w:after="0" w:line="360" w:lineRule="auto"/>
        <w:ind w:left="792"/>
        <w:jc w:val="center"/>
        <w:rPr>
          <w:rFonts w:eastAsia="Times New Roman" w:cstheme="minorHAnsi"/>
          <w:b/>
          <w:bCs/>
          <w:lang w:eastAsia="pl-PL"/>
        </w:rPr>
      </w:pPr>
    </w:p>
    <w:p w14:paraId="7CD6FF82" w14:textId="53975BE1" w:rsidR="001E0CD4" w:rsidRPr="00607B0A" w:rsidRDefault="001E0CD4" w:rsidP="00FE096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Założenia jakie powinien spełniać System:</w:t>
      </w:r>
    </w:p>
    <w:p w14:paraId="5F151FDA" w14:textId="77777777" w:rsidR="001E0CD4" w:rsidRPr="00607B0A" w:rsidRDefault="001E0CD4" w:rsidP="00FE096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B0A">
        <w:rPr>
          <w:rFonts w:asciiTheme="minorHAnsi" w:eastAsiaTheme="minorHAnsi" w:hAnsiTheme="minorHAnsi" w:cstheme="minorHAnsi"/>
          <w:sz w:val="22"/>
          <w:szCs w:val="22"/>
          <w:lang w:eastAsia="en-US"/>
        </w:rPr>
        <w:t>Dane dotyczące hodowli gdzie został zakupiony szczeniak. Informacje na temat rodziców kupowanych szczeniąt – konkretnie badania genetyczne, inne sprawy związane ze zdrowiem rodziców, ocena psychiki, użytkowość, ocena potomstwa (info iż dzieci konkretnego psa czy suki sprawdziły się jako przewodniki) itp. Są to informacje , które mogą przyczynić się do lepszego wyboru szczeniąt.</w:t>
      </w:r>
    </w:p>
    <w:p w14:paraId="4873D153" w14:textId="77777777" w:rsidR="001E0CD4" w:rsidRPr="00607B0A" w:rsidRDefault="001E0CD4" w:rsidP="00FE096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całej opieki zdrowotnej psa. Wszelkie procedury dotyczące zabiegów  weterynaryjnych, badań i okresowych przeglądów, nagłych nieplanowanych wizyt i zabiegów w czasie pobytu psa w organizacji szkolącej psa i w czasie pobytu u osoby niewidomej i na emeryturze.</w:t>
      </w:r>
    </w:p>
    <w:p w14:paraId="1E3242E8" w14:textId="77777777" w:rsidR="001E0CD4" w:rsidRPr="00607B0A" w:rsidRDefault="001E0CD4" w:rsidP="00FE096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wizyt serwisowych (wizyty przeprowadzane okresowo lub na życzenie osoby niepełnosprawnej przez organizację szkolącą psa przewodnika).</w:t>
      </w:r>
    </w:p>
    <w:p w14:paraId="093D8B63" w14:textId="77777777" w:rsidR="001E0CD4" w:rsidRPr="00607B0A" w:rsidRDefault="001E0CD4" w:rsidP="00FE096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</w:t>
      </w:r>
      <w:r w:rsidRPr="00607B0A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07B0A">
        <w:rPr>
          <w:rFonts w:asciiTheme="minorHAnsi" w:hAnsiTheme="minorHAnsi" w:cstheme="minorHAnsi"/>
          <w:sz w:val="22"/>
          <w:szCs w:val="22"/>
        </w:rPr>
        <w:t>występujących problemów (od momentu zakupu szczeniaka do przejścia na emeryturę). Aplikacja ma na celu stworzyć historię psa od zakupu do końca pracy z osobą niewidomą, w tym monitor postępów pracy psów i trenerów podczas pobytu u wolontariuszy i u trenera.</w:t>
      </w:r>
    </w:p>
    <w:p w14:paraId="6FDE8ECC" w14:textId="28B3D79F" w:rsidR="001E0CD4" w:rsidRPr="00607B0A" w:rsidRDefault="001E0CD4" w:rsidP="00FE096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B0A">
        <w:rPr>
          <w:rFonts w:asciiTheme="minorHAnsi" w:eastAsia="Calibri" w:hAnsiTheme="minorHAnsi" w:cstheme="minorHAnsi"/>
          <w:sz w:val="22"/>
          <w:szCs w:val="22"/>
        </w:rPr>
        <w:t>Aplikacja</w:t>
      </w:r>
      <w:r w:rsidRPr="00607B0A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07B0A">
        <w:rPr>
          <w:rFonts w:asciiTheme="minorHAnsi" w:hAnsiTheme="minorHAnsi" w:cstheme="minorHAnsi"/>
          <w:sz w:val="22"/>
          <w:szCs w:val="22"/>
        </w:rPr>
        <w:t xml:space="preserve">będzie miała możliwość wpisywania i monitorowania ewentualnych potrzeb </w:t>
      </w:r>
      <w:r w:rsidR="00FE096D" w:rsidRPr="00607B0A">
        <w:rPr>
          <w:rFonts w:asciiTheme="minorHAnsi" w:hAnsiTheme="minorHAnsi" w:cstheme="minorHAnsi"/>
          <w:sz w:val="22"/>
          <w:szCs w:val="22"/>
        </w:rPr>
        <w:br/>
      </w:r>
      <w:r w:rsidRPr="00607B0A">
        <w:rPr>
          <w:rFonts w:asciiTheme="minorHAnsi" w:hAnsiTheme="minorHAnsi" w:cstheme="minorHAnsi"/>
          <w:sz w:val="22"/>
          <w:szCs w:val="22"/>
        </w:rPr>
        <w:t>i problemów związanych z wykonywaniem pracy przez psa przewodnika. Pozwoli to na stworzenie w przyszłości bazy psów z najlepszymi cechami fizycznymi i psychicznymi do pracy jako pies przewodnik czyli wstępną kwalifikację hodowli z których potencjalnie te psy należy pozyskiwać. System ten będzie zawierał kilka poziomów dostępu: inny dla PFRON, inny dla organizacji szkolącej psy a jeszcze inny dla niepełnosprawnej. System zapewni prowadzenie ewidencji psów. W systemie tym znajdą się dane osób, które otrzymają psy, tak, aby system pełnił rolę wsparcia dla osób z niepełnosprawnością wzroku w przypadku problemów z psem.</w:t>
      </w:r>
    </w:p>
    <w:p w14:paraId="481929BC" w14:textId="77777777" w:rsidR="001E0CD4" w:rsidRPr="00607B0A" w:rsidRDefault="001E0CD4" w:rsidP="001E0CD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Dane, które powinien zbierać System:</w:t>
      </w:r>
    </w:p>
    <w:p w14:paraId="0862F46E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psa przewodnika (wypełnia organizacja pozarządowa będąca właścicielem psa):</w:t>
      </w:r>
    </w:p>
    <w:p w14:paraId="5747DF59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lastRenderedPageBreak/>
        <w:t>ID psa (unikalny numer nadawany przez system)</w:t>
      </w:r>
    </w:p>
    <w:p w14:paraId="7B504CCB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Rasa psa</w:t>
      </w:r>
    </w:p>
    <w:p w14:paraId="529F046D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Nazwa i przydomek psa/ imię domowe</w:t>
      </w:r>
    </w:p>
    <w:p w14:paraId="3979AD07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Data urodzenia </w:t>
      </w:r>
    </w:p>
    <w:p w14:paraId="0BEFC0CF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Umaszczenie</w:t>
      </w:r>
    </w:p>
    <w:p w14:paraId="07C481D2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Opis psa, znaki szczególne (opcjonalnie zdjęcie psa)</w:t>
      </w:r>
    </w:p>
    <w:p w14:paraId="18B506BF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Rodzaj dokumentu potwierdzającego pochodzenie</w:t>
      </w:r>
    </w:p>
    <w:p w14:paraId="73D07C5D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Sposób znakowania i jego numer (nr cipa jeśli posiada)</w:t>
      </w:r>
    </w:p>
    <w:p w14:paraId="203FF7B8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Wyniki badań: HD, ED, EIC, serce, oczy i inne</w:t>
      </w:r>
    </w:p>
    <w:p w14:paraId="510F121A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przyjęcia do szkoły</w:t>
      </w:r>
    </w:p>
    <w:p w14:paraId="4A365B7E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Przyczyna wycofania psa z programu szkoleniowego</w:t>
      </w:r>
    </w:p>
    <w:p w14:paraId="2260C7C4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rozpoczęcia szkolenia specjalistycznego i jakie szkolenie</w:t>
      </w:r>
    </w:p>
    <w:p w14:paraId="75DC7F9E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i wynik egzaminu psa przewodnika</w:t>
      </w:r>
    </w:p>
    <w:p w14:paraId="2718D34D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Nr certyfikatu mówiący o ukończeniu szkolenia (opcjonalnie skan certyfikatu)</w:t>
      </w:r>
    </w:p>
    <w:p w14:paraId="7E6EF108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przekazania / klientowi (jeśli pies miał kilku klientów to dane każdego z nich):</w:t>
      </w:r>
    </w:p>
    <w:p w14:paraId="0121CBBA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Imię </w:t>
      </w:r>
    </w:p>
    <w:p w14:paraId="08914FF4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Nazwisko </w:t>
      </w:r>
    </w:p>
    <w:p w14:paraId="49B4EBA7" w14:textId="6B4B9FE5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PESEL</w:t>
      </w:r>
    </w:p>
    <w:p w14:paraId="4F420422" w14:textId="6CAA4370" w:rsidR="00925F23" w:rsidRPr="00607B0A" w:rsidRDefault="00925F23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Unikalny numer id klienta nadawany przez system</w:t>
      </w:r>
    </w:p>
    <w:p w14:paraId="3CC14ADC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Adres zamieszkania</w:t>
      </w:r>
    </w:p>
    <w:p w14:paraId="5E61AC57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Tel kontaktowy</w:t>
      </w:r>
    </w:p>
    <w:p w14:paraId="641D7E50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4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i przyczyna odebrania psa klientowi (jeśli występuje)</w:t>
      </w:r>
    </w:p>
    <w:p w14:paraId="5A83B4CD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Informacja, która jest to osoba korzystająca z danego psa</w:t>
      </w:r>
    </w:p>
    <w:p w14:paraId="09BC1257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 Dane dotyczące zdrowia psa:</w:t>
      </w:r>
    </w:p>
    <w:p w14:paraId="0F183C5F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Rutynowe wizyty weterynaryjne – ocena stanu zdrowia</w:t>
      </w:r>
    </w:p>
    <w:p w14:paraId="2FD0B4CC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Nagłe wizyty opis co jest przyczyną wizyty</w:t>
      </w:r>
    </w:p>
    <w:p w14:paraId="74B4B6FF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Krótki opis co było robione w czasie wizyty (ewentualnie zalecenia i przepisane leczenie)</w:t>
      </w:r>
    </w:p>
    <w:p w14:paraId="53DD3A04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Informacja o szczepieniach (jakie i data sczepienia)</w:t>
      </w:r>
    </w:p>
    <w:p w14:paraId="69077C26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Przedłużenie okresu pracy </w:t>
      </w:r>
    </w:p>
    <w:p w14:paraId="5F32AFB2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i przyczyna przejścia psa na emeryturę</w:t>
      </w:r>
    </w:p>
    <w:p w14:paraId="368B1D1A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informacja na temat kto opiekuje się psem na emeryturze (imię nazwisko, dres zamieszkania i nr telefonu)</w:t>
      </w:r>
    </w:p>
    <w:p w14:paraId="11E83555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lastRenderedPageBreak/>
        <w:t>Data śmierci psa</w:t>
      </w:r>
    </w:p>
    <w:p w14:paraId="1452AAEA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rodziców psa:</w:t>
      </w:r>
    </w:p>
    <w:p w14:paraId="42738CDA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Ojciec psa:</w:t>
      </w:r>
    </w:p>
    <w:p w14:paraId="65EF69B9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Imię/nazwa i przydomek</w:t>
      </w:r>
    </w:p>
    <w:p w14:paraId="2CB7D8F1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Umaszczenie</w:t>
      </w:r>
    </w:p>
    <w:p w14:paraId="240A5D42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Znakowanie i jego numer</w:t>
      </w:r>
    </w:p>
    <w:p w14:paraId="3CA8804C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Rodzaj dokumentu potwierdzającego pochodzenie</w:t>
      </w:r>
    </w:p>
    <w:p w14:paraId="274EBCDA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Organizacja wydająca dokument</w:t>
      </w:r>
    </w:p>
    <w:p w14:paraId="12AFB77D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Wyniki badań</w:t>
      </w:r>
    </w:p>
    <w:p w14:paraId="7A1EE40A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Uzyskane tytuły jeśli takie były</w:t>
      </w:r>
    </w:p>
    <w:p w14:paraId="0E1F453A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Konkursy, próby testy (w których pies brał udział)</w:t>
      </w:r>
    </w:p>
    <w:p w14:paraId="60AF83A2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Rodzaj użytkowności</w:t>
      </w:r>
    </w:p>
    <w:p w14:paraId="4859B538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Matka psa:</w:t>
      </w:r>
    </w:p>
    <w:p w14:paraId="3489F73E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Imię/nazwa i przydomek</w:t>
      </w:r>
    </w:p>
    <w:p w14:paraId="2BDECD75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Umaszczenie</w:t>
      </w:r>
    </w:p>
    <w:p w14:paraId="1D7CC35E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Znakowanie i jego numer</w:t>
      </w:r>
    </w:p>
    <w:p w14:paraId="565FBA06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Rodzaj dokumentu potwierdzającego pochodzenie</w:t>
      </w:r>
    </w:p>
    <w:p w14:paraId="31705FF5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Organizacja wydająca dokument</w:t>
      </w:r>
    </w:p>
    <w:p w14:paraId="3F1E036F" w14:textId="77777777" w:rsidR="001E0CD4" w:rsidRPr="00607B0A" w:rsidRDefault="001E0CD4" w:rsidP="001E0CD4">
      <w:pPr>
        <w:pStyle w:val="Akapitzlist"/>
        <w:numPr>
          <w:ilvl w:val="3"/>
          <w:numId w:val="2"/>
        </w:numPr>
        <w:suppressAutoHyphens w:val="0"/>
        <w:spacing w:line="360" w:lineRule="auto"/>
        <w:ind w:left="2835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Wyniki badań</w:t>
      </w:r>
    </w:p>
    <w:p w14:paraId="7D769376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Uzyskane tytuły jeśli takie były</w:t>
      </w:r>
    </w:p>
    <w:p w14:paraId="4904036A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Konkursy, próby testy (w których pies brał udział)</w:t>
      </w:r>
    </w:p>
    <w:p w14:paraId="3A03C290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Rodzaj użytkowności</w:t>
      </w:r>
    </w:p>
    <w:p w14:paraId="3D4BEBF9" w14:textId="77777777" w:rsidR="001E0CD4" w:rsidRPr="00607B0A" w:rsidRDefault="001E0CD4" w:rsidP="001E0CD4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hodowli</w:t>
      </w:r>
    </w:p>
    <w:p w14:paraId="24A88B3F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Przydomek hodowlany, nr rejestracyjny przydomka</w:t>
      </w:r>
    </w:p>
    <w:p w14:paraId="70F2B6EB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Imię i nazwisko hodowcy </w:t>
      </w:r>
    </w:p>
    <w:p w14:paraId="2A6036B4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Adres miejsca prowadzenia hodowli</w:t>
      </w:r>
    </w:p>
    <w:p w14:paraId="481F6F6E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Oddział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ZKwP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/ nazwa organizacji / szkoły / kraj</w:t>
      </w:r>
    </w:p>
    <w:p w14:paraId="7902B935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Liczba i rasy psów w hodowli</w:t>
      </w:r>
    </w:p>
    <w:p w14:paraId="788815D2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Dokumentacja hodowlana</w:t>
      </w:r>
    </w:p>
    <w:p w14:paraId="17BA04F7" w14:textId="77777777" w:rsidR="001E0CD4" w:rsidRPr="00607B0A" w:rsidRDefault="001E0CD4" w:rsidP="001E0CD4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właściciela psa (organizacja pozarządowa)</w:t>
      </w:r>
    </w:p>
    <w:p w14:paraId="565D2BF4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Nazwa organizacji</w:t>
      </w:r>
    </w:p>
    <w:p w14:paraId="4F6C20A2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Adres organizacji</w:t>
      </w:r>
    </w:p>
    <w:p w14:paraId="022CBD66" w14:textId="7920893C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 kontaktowe do organizacji (tel. Fax, e-mail)</w:t>
      </w:r>
    </w:p>
    <w:p w14:paraId="703DBB34" w14:textId="5069AD91" w:rsidR="00925F23" w:rsidRPr="00607B0A" w:rsidRDefault="00925F23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lastRenderedPageBreak/>
        <w:t>Numer id organizacji nadawany przez system</w:t>
      </w:r>
    </w:p>
    <w:p w14:paraId="013465A7" w14:textId="79D3335D" w:rsidR="00925F23" w:rsidRPr="00607B0A" w:rsidRDefault="00925F23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Numer umowy z PFRON </w:t>
      </w:r>
    </w:p>
    <w:p w14:paraId="096A9DAB" w14:textId="57CDAE7B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imię i nazwisko</w:t>
      </w:r>
      <w:r w:rsidR="00925F23" w:rsidRPr="00607B0A">
        <w:rPr>
          <w:rFonts w:asciiTheme="minorHAnsi" w:hAnsiTheme="minorHAnsi" w:cstheme="minorHAnsi"/>
          <w:sz w:val="22"/>
          <w:szCs w:val="22"/>
        </w:rPr>
        <w:t xml:space="preserve"> i nr PESEL</w:t>
      </w:r>
      <w:r w:rsidRPr="00607B0A">
        <w:rPr>
          <w:rFonts w:asciiTheme="minorHAnsi" w:hAnsiTheme="minorHAnsi" w:cstheme="minorHAnsi"/>
          <w:sz w:val="22"/>
          <w:szCs w:val="22"/>
        </w:rPr>
        <w:t xml:space="preserve"> osoby odpowiedzialnej za psa (opiekun /osoba do kontaktu) ze strony organizacji</w:t>
      </w:r>
    </w:p>
    <w:p w14:paraId="5A2F51A9" w14:textId="4E3B1DFC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imię i nazwisko</w:t>
      </w:r>
      <w:r w:rsidR="00925F23" w:rsidRPr="00607B0A">
        <w:rPr>
          <w:rFonts w:asciiTheme="minorHAnsi" w:hAnsiTheme="minorHAnsi" w:cstheme="minorHAnsi"/>
          <w:sz w:val="22"/>
          <w:szCs w:val="22"/>
        </w:rPr>
        <w:t xml:space="preserve"> i nr PESEL</w:t>
      </w:r>
      <w:r w:rsidRPr="00607B0A">
        <w:rPr>
          <w:rFonts w:asciiTheme="minorHAnsi" w:hAnsiTheme="minorHAnsi" w:cstheme="minorHAnsi"/>
          <w:sz w:val="22"/>
          <w:szCs w:val="22"/>
        </w:rPr>
        <w:t xml:space="preserve"> trenera / trenerów odpowiedzialnych za tresurę psa:</w:t>
      </w:r>
    </w:p>
    <w:p w14:paraId="645C9521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nadzór nad szkoleniem prowadzonym przez wolontariusza</w:t>
      </w:r>
    </w:p>
    <w:p w14:paraId="4ED1EE40" w14:textId="77777777" w:rsidR="001E0CD4" w:rsidRPr="00607B0A" w:rsidRDefault="001E0CD4" w:rsidP="001E0CD4">
      <w:pPr>
        <w:pStyle w:val="Akapitzlist"/>
        <w:numPr>
          <w:ilvl w:val="4"/>
          <w:numId w:val="2"/>
        </w:numPr>
        <w:spacing w:line="360" w:lineRule="auto"/>
        <w:ind w:left="4111" w:hanging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Dane dotyczące wolontariusza (imię nazwisko, adres </w:t>
      </w:r>
      <w:r w:rsidRPr="00607B0A">
        <w:rPr>
          <w:rFonts w:asciiTheme="minorHAnsi" w:hAnsiTheme="minorHAnsi" w:cstheme="minorHAnsi"/>
          <w:sz w:val="22"/>
          <w:szCs w:val="22"/>
        </w:rPr>
        <w:br/>
        <w:t>i dane kontaktowe)</w:t>
      </w:r>
    </w:p>
    <w:p w14:paraId="66ADF03A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szkolenie podstawowe</w:t>
      </w:r>
    </w:p>
    <w:p w14:paraId="39E5DF40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specjalistyczne</w:t>
      </w:r>
    </w:p>
    <w:p w14:paraId="42B26F98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opis z okresowych przeglądów psa z wizyt kontrolnych u osoby niewidomej:</w:t>
      </w:r>
    </w:p>
    <w:p w14:paraId="526FEFC9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kto przeprowadzał przegląd</w:t>
      </w:r>
    </w:p>
    <w:p w14:paraId="2B4EDC7F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data przeglądu</w:t>
      </w:r>
    </w:p>
    <w:p w14:paraId="0B6DABE3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opis przeprowadzonego przeglądu</w:t>
      </w:r>
    </w:p>
    <w:p w14:paraId="0967DC57" w14:textId="77777777" w:rsidR="001E0CD4" w:rsidRPr="00607B0A" w:rsidRDefault="001E0CD4" w:rsidP="001E0CD4">
      <w:pPr>
        <w:pStyle w:val="Akapitzlist"/>
        <w:numPr>
          <w:ilvl w:val="3"/>
          <w:numId w:val="2"/>
        </w:numPr>
        <w:spacing w:line="360" w:lineRule="auto"/>
        <w:ind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wnioski z przeglądu</w:t>
      </w:r>
    </w:p>
    <w:p w14:paraId="707CA3E9" w14:textId="77777777" w:rsidR="001E0CD4" w:rsidRPr="00607B0A" w:rsidRDefault="001E0CD4" w:rsidP="001E0CD4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Dane dotyczące kosztów utrzymania psa przewodnika:</w:t>
      </w:r>
    </w:p>
    <w:p w14:paraId="78A90539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Koszty zakupu</w:t>
      </w:r>
    </w:p>
    <w:p w14:paraId="073A44FC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Koszty wyżywienia</w:t>
      </w:r>
    </w:p>
    <w:p w14:paraId="617532F7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Koszty związane ze szkoleniem</w:t>
      </w:r>
    </w:p>
    <w:p w14:paraId="68310924" w14:textId="7777777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Koszt związane z opieka medyczną</w:t>
      </w:r>
    </w:p>
    <w:p w14:paraId="629EF835" w14:textId="7E2C29C7" w:rsidR="001E0CD4" w:rsidRPr="00607B0A" w:rsidRDefault="001E0CD4" w:rsidP="001E0CD4">
      <w:pPr>
        <w:pStyle w:val="Akapitzlist"/>
        <w:numPr>
          <w:ilvl w:val="2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Inne Koszty</w:t>
      </w:r>
    </w:p>
    <w:p w14:paraId="7F4BB47F" w14:textId="04EC77D2" w:rsidR="00343575" w:rsidRPr="00607B0A" w:rsidRDefault="00343575" w:rsidP="00343575">
      <w:pPr>
        <w:pStyle w:val="Akapitzlist"/>
        <w:spacing w:line="360" w:lineRule="auto"/>
        <w:ind w:left="122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A2999A" w14:textId="657096B7" w:rsidR="007733E6" w:rsidRPr="00607B0A" w:rsidRDefault="007A3C12" w:rsidP="00906F90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swoim działaniem musi się również opierać na wypracowanych standardach</w:t>
      </w:r>
      <w:r w:rsidR="00906F90" w:rsidRPr="00607B0A">
        <w:rPr>
          <w:rFonts w:asciiTheme="minorHAnsi" w:hAnsiTheme="minorHAnsi" w:cstheme="minorHAnsi"/>
          <w:sz w:val="22"/>
          <w:szCs w:val="22"/>
        </w:rPr>
        <w:t xml:space="preserve"> ,o których mowa w § 1 pkt 5 Umowy.</w:t>
      </w:r>
    </w:p>
    <w:p w14:paraId="2234EC11" w14:textId="77777777" w:rsidR="001E0CD4" w:rsidRPr="00607B0A" w:rsidRDefault="001E0CD4" w:rsidP="001E0CD4">
      <w:pPr>
        <w:pStyle w:val="Akapitzlist"/>
        <w:spacing w:line="360" w:lineRule="auto"/>
        <w:ind w:left="122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A505B7" w14:textId="63510251" w:rsidR="001E0CD4" w:rsidRPr="00607B0A" w:rsidRDefault="001E0CD4" w:rsidP="00137ECB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B0A">
        <w:rPr>
          <w:rFonts w:asciiTheme="minorHAnsi" w:hAnsiTheme="minorHAnsi" w:cstheme="minorHAnsi"/>
          <w:bCs/>
          <w:sz w:val="22"/>
          <w:szCs w:val="22"/>
        </w:rPr>
        <w:t>Wymagania pozafunkcjonalne:</w:t>
      </w:r>
    </w:p>
    <w:p w14:paraId="60D8E5A4" w14:textId="1AEF8CDB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Interfejs użytkownika jest obsługiwany wyłącznie przez aktualną przeglądarkę internetową bez żadnych ponadstandardowych wtyczek i rozszerzeń.</w:t>
      </w:r>
    </w:p>
    <w:p w14:paraId="72FB8034" w14:textId="7DFA5915" w:rsidR="00137ECB" w:rsidRPr="00607B0A" w:rsidRDefault="00137ECB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System musi być dostępny również na urządzenia przenośne oparte na systemach Android i Mac OS.</w:t>
      </w:r>
      <w:r w:rsidR="00213D81" w:rsidRPr="00607B0A">
        <w:rPr>
          <w:rFonts w:asciiTheme="minorHAnsi" w:hAnsiTheme="minorHAnsi" w:cstheme="minorHAnsi"/>
          <w:sz w:val="22"/>
          <w:szCs w:val="22"/>
        </w:rPr>
        <w:t xml:space="preserve"> Chodzi o dostępność Systemu na przeglądarce Chrome jeśli chodzi o system Android i przeglądarkę Safari jeśli chodzi o system Mac OC.</w:t>
      </w:r>
    </w:p>
    <w:p w14:paraId="7BEEAC33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Umożliwia pracę w wielu oknach (kartach) tej samej przeglądarki.</w:t>
      </w:r>
    </w:p>
    <w:p w14:paraId="0E5128C0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Wszystkie elementy interfejsu użytkownika aplikacji sporządzone są w języku polskim.</w:t>
      </w:r>
    </w:p>
    <w:p w14:paraId="5A9509EB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lastRenderedPageBreak/>
        <w:t>Przy wykonywaniu operacji aplikacja wyświetla animowaną ikonę wizualizującą fakt trwania operacji.</w:t>
      </w:r>
    </w:p>
    <w:p w14:paraId="22AA50BE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umożliwia zaznaczanie, kopiowanie i wklejanie zawartości poszczególnych pól.</w:t>
      </w:r>
    </w:p>
    <w:p w14:paraId="7AE850BA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Automatyczne kończenie sesji po zdefiniowanym czasie bezczynności.</w:t>
      </w:r>
    </w:p>
    <w:p w14:paraId="3D6DE941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Możliwość eksportu prezentowanych danych do plików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, pdf,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csv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lub ich wydruk (podgląd dokumentu przed wydrukowaniem), decyzje o działaniu podejmuje pracownik merytoryczny.</w:t>
      </w:r>
    </w:p>
    <w:p w14:paraId="3C9A3BDA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umożliwia obsługę usług związanych z wymianą danych (import danych</w:t>
      </w:r>
      <w:r w:rsidRPr="00607B0A">
        <w:rPr>
          <w:rFonts w:asciiTheme="minorHAnsi" w:hAnsiTheme="minorHAnsi" w:cstheme="minorHAnsi"/>
          <w:sz w:val="22"/>
          <w:szCs w:val="22"/>
        </w:rPr>
        <w:br/>
        <w:t>z innych systemów PFRON) z poziomu GUI.</w:t>
      </w:r>
    </w:p>
    <w:p w14:paraId="03F700DA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Wykonawca opracuje model uprawnień użytkowników i zapewni mechanizmy modyfikacji i utrzymania tego modelu.</w:t>
      </w:r>
    </w:p>
    <w:p w14:paraId="35E858D4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umożliwia zarządzanie kontami i uprawnieniami użytkowników zgodnie</w:t>
      </w:r>
      <w:r w:rsidRPr="00607B0A">
        <w:rPr>
          <w:rFonts w:asciiTheme="minorHAnsi" w:hAnsiTheme="minorHAnsi" w:cstheme="minorHAnsi"/>
          <w:sz w:val="22"/>
          <w:szCs w:val="22"/>
        </w:rPr>
        <w:br/>
        <w:t>z opracowanym przez Wykonawcę modelem uprawnień. Login i hasło użytkowników PFRON musi być zsynchronizowane z kontem użytkownika w Active Directory.</w:t>
      </w:r>
    </w:p>
    <w:p w14:paraId="2DA4883F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umożliwia przełączenie w tryb serwisowy (dostęp tylko np. dla administratora aplikacji) i powrót do trybu operacyjnego.</w:t>
      </w:r>
    </w:p>
    <w:p w14:paraId="1C0B9A74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Możliwość wylogowania użytkowników przez administratora aplikacji.</w:t>
      </w:r>
    </w:p>
    <w:p w14:paraId="04310526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Administrator powinien posiadać możliwość przełączenia na rolę z uprawnieniami wybranego użytkownika oraz powrotem do swoich uprawnień.</w:t>
      </w:r>
    </w:p>
    <w:p w14:paraId="679F2E56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Wysłanie komunikatu przez administratora do użytkowników.</w:t>
      </w:r>
    </w:p>
    <w:p w14:paraId="60C18789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umożliwia rejestrowanie danych o zdarzeniach dotyczących kont użytkowników.</w:t>
      </w:r>
    </w:p>
    <w:p w14:paraId="7B797AFE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umożliwia użytkownikowi z odpowiednimi uprawnieniami (administrator merytoryczny) edytowanie treści informacji typu „Pomoc”.</w:t>
      </w:r>
    </w:p>
    <w:p w14:paraId="7E705582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rejestruje, a także wyświetla w GUI operacje związane z przydzielaniem uprawnień.</w:t>
      </w:r>
    </w:p>
    <w:p w14:paraId="368D6A84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powinna zachować stabilność działania pod zwiększonym obciążeniem.</w:t>
      </w:r>
    </w:p>
    <w:p w14:paraId="6A3C2164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musi optymalnie używać przydzielone zasoby sprzętowe, ograniczać żądania dostarczania długich list danych. Długo trwające transakcje nie mogą blokować dostępu do zasobów oraz powodować znacznego spadku wydajności.</w:t>
      </w:r>
    </w:p>
    <w:p w14:paraId="1FD9F88F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musi być bezpieczna i zapewniać rozliczalność wykonywanych operacji.</w:t>
      </w:r>
    </w:p>
    <w:p w14:paraId="082149C3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 zakresie komunikacji musi być zapewnione szyfrowanie pomiędzy komponentami Aplikacji, a stacją roboczą użytkownika/administratora.</w:t>
      </w:r>
    </w:p>
    <w:p w14:paraId="00178015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lastRenderedPageBreak/>
        <w:t>W zakresie komunikacji usług sieciowych (Web Service) wymagane jest zapewnienie uwierzytelniania usług z zapewnieniem poufności danych uwierzytelniających. Aplikacja posiada możliwość włączenia szyfrowanej komunikacji.</w:t>
      </w:r>
    </w:p>
    <w:p w14:paraId="2099489F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before="240" w:line="360" w:lineRule="auto"/>
        <w:ind w:left="1560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Aplikacja zapewni komunikację (wymianę danych) z systemem GW EGW Zamawiającego za pomocą (Web Service)</w:t>
      </w:r>
    </w:p>
    <w:p w14:paraId="3383CEEF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Wszystkie hasła muszą być przechowywane w postaci zaszyfrowanej, lub chronione przed niepowołanym dostępem.</w:t>
      </w:r>
    </w:p>
    <w:p w14:paraId="62A67FC3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System ma zapewniać rozliczalność operacji poprzez rejestrowanie nazw logowania oraz czynności użytkowników/administratorów związanych z modyfikacją danych oraz podczas logowania i dostępu do danych.</w:t>
      </w:r>
    </w:p>
    <w:p w14:paraId="28804CFC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System musi przekazywać komunikaty, które są czytelne dla odbiorcy. Komunikaty generowane przez system powinny być precyzyjne i zrozumiałe dla adresata</w:t>
      </w:r>
      <w:r w:rsidRPr="00607B0A">
        <w:rPr>
          <w:rFonts w:asciiTheme="minorHAnsi" w:hAnsiTheme="minorHAnsi" w:cstheme="minorHAnsi"/>
          <w:sz w:val="22"/>
          <w:szCs w:val="22"/>
        </w:rPr>
        <w:br/>
        <w:t>(w odniesieniu do klasy adresata, np. tak by użytkownik nie dostawał komunikatów technicznych lub w języku obcym, a administrator zbyt ogólnikowych).</w:t>
      </w:r>
    </w:p>
    <w:p w14:paraId="5D161DA9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Aplikacja musi zapewniać odpowiednią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responsywność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interfejsu.</w:t>
      </w:r>
    </w:p>
    <w:p w14:paraId="347CCC7D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Czas odpowiedzi na proste funkcjonalności, związanej z wprowadzaniem, edycją i aktualizacją danych do 4 sekund.</w:t>
      </w:r>
    </w:p>
    <w:p w14:paraId="32BDA70F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Czas ładowania 500kB danych do kontrolek formularza nie może być większy niż 3 sekundy.</w:t>
      </w:r>
    </w:p>
    <w:p w14:paraId="30BEC783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Czas walidacji 20 pól formularza nie może być większy niż 500 ms.</w:t>
      </w:r>
    </w:p>
    <w:p w14:paraId="21F8B6FF" w14:textId="77777777" w:rsidR="001E0CD4" w:rsidRPr="00607B0A" w:rsidRDefault="001E0CD4" w:rsidP="001E0CD4">
      <w:pPr>
        <w:pStyle w:val="Akapitzlist"/>
        <w:numPr>
          <w:ilvl w:val="2"/>
          <w:numId w:val="2"/>
        </w:numPr>
        <w:suppressAutoHyphens w:val="0"/>
        <w:spacing w:line="360" w:lineRule="auto"/>
        <w:ind w:left="1560" w:hanging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Maksymalny czas logowania użytkownika w systemie nie może być większy niż 5 sekund.</w:t>
      </w:r>
    </w:p>
    <w:p w14:paraId="5D911646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Strony i formularze na stronach muszą być zabezpieczone przed standardowymi atakami między innymi takimi jak: SQL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injection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crosssites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scripting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>, cross-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site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forgery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session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fixation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session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hijacking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>.</w:t>
      </w:r>
    </w:p>
    <w:p w14:paraId="221059C4" w14:textId="0838748A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System zostanie zainstalowany w środowisku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VMWave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dostarczonym przez Zamawiającego, alokującym zasoby serwerów fizycznych wyposażonych w zasoby analogiczne dla platformy fizycznej wyposażonej w 2 procesory klasy E7-8894, 128 pamięci RAM, oraz macierz dyskową wyposażoną w dyski SSD.</w:t>
      </w:r>
    </w:p>
    <w:p w14:paraId="78DB99FC" w14:textId="1177A970" w:rsidR="00213D81" w:rsidRPr="00607B0A" w:rsidRDefault="00213D81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W ramach I Etapu Wykonawca stworzy dokumentację Systemu. Wymagania dotyczące wyglądu oraz zawartości dokumentacji Systemu zawiera Załącznik nr 11 do OPZ „</w:t>
      </w:r>
      <w:r w:rsidRPr="00607B0A">
        <w:rPr>
          <w:rFonts w:asciiTheme="minorHAnsi" w:hAnsiTheme="minorHAnsi" w:cstheme="minorHAnsi"/>
          <w:i/>
          <w:iCs/>
          <w:sz w:val="22"/>
          <w:szCs w:val="22"/>
        </w:rPr>
        <w:t>Wymagania Dotyczące Dokumentacji Systemu</w:t>
      </w:r>
      <w:r w:rsidRPr="00607B0A">
        <w:rPr>
          <w:rFonts w:asciiTheme="minorHAnsi" w:hAnsiTheme="minorHAnsi" w:cstheme="minorHAnsi"/>
          <w:sz w:val="22"/>
          <w:szCs w:val="22"/>
        </w:rPr>
        <w:t>”.</w:t>
      </w:r>
    </w:p>
    <w:p w14:paraId="5C305DB7" w14:textId="2E4FFD10" w:rsidR="00213D81" w:rsidRPr="00607B0A" w:rsidRDefault="00213D81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lastRenderedPageBreak/>
        <w:t xml:space="preserve">Wykonawca dostarczy Zamawiającemu dokumentację systemu najpóźniej na 30 dni do końca realizacji Umowy. </w:t>
      </w:r>
    </w:p>
    <w:p w14:paraId="685081FA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Zamawiający przekaże Wykonawcy wszelkie uprawnienia niezbędne do instalacji i administracji Systemem w ramach realizacji Usług Utrzymania.</w:t>
      </w:r>
    </w:p>
    <w:p w14:paraId="7397427D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System zapewni obsługę procesów usuwania i archiwizacji danych z sposób zapełniający pełną zgodność z RODO.</w:t>
      </w:r>
    </w:p>
    <w:p w14:paraId="0CDE9A1E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System zapewni warstwę API umożliwiającą zgodne ze standardami REST lub SOAP wykonywanie określonych przez Zamawiającego operacji zdalnych.</w:t>
      </w:r>
    </w:p>
    <w:p w14:paraId="52CB292B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 xml:space="preserve">System będzie współpracował z platformą </w:t>
      </w:r>
      <w:proofErr w:type="spellStart"/>
      <w:r w:rsidRPr="00607B0A">
        <w:rPr>
          <w:rFonts w:asciiTheme="minorHAnsi" w:hAnsiTheme="minorHAnsi" w:cstheme="minorHAnsi"/>
          <w:sz w:val="22"/>
          <w:szCs w:val="22"/>
        </w:rPr>
        <w:t>Sharepoint</w:t>
      </w:r>
      <w:proofErr w:type="spellEnd"/>
      <w:r w:rsidRPr="00607B0A">
        <w:rPr>
          <w:rFonts w:asciiTheme="minorHAnsi" w:hAnsiTheme="minorHAnsi" w:cstheme="minorHAnsi"/>
          <w:sz w:val="22"/>
          <w:szCs w:val="22"/>
        </w:rPr>
        <w:t xml:space="preserve"> w zakresie wykorzystania tejże platformy jako repozytorium plików wykorzystywanych i tworzonych w Systemie.</w:t>
      </w:r>
    </w:p>
    <w:p w14:paraId="56F74045" w14:textId="33D3FF03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Tworzony System musi być zgodny ze standardem WCAG 2.</w:t>
      </w:r>
      <w:r w:rsidR="00906F90" w:rsidRPr="00607B0A">
        <w:rPr>
          <w:rFonts w:asciiTheme="minorHAnsi" w:hAnsiTheme="minorHAnsi" w:cstheme="minorHAnsi"/>
          <w:sz w:val="22"/>
          <w:szCs w:val="22"/>
        </w:rPr>
        <w:t>1</w:t>
      </w:r>
      <w:r w:rsidRPr="00607B0A">
        <w:rPr>
          <w:rFonts w:asciiTheme="minorHAnsi" w:hAnsiTheme="minorHAnsi" w:cstheme="minorHAnsi"/>
          <w:sz w:val="22"/>
          <w:szCs w:val="22"/>
        </w:rPr>
        <w:t xml:space="preserve"> na poziomi AA.</w:t>
      </w:r>
    </w:p>
    <w:p w14:paraId="66697540" w14:textId="77777777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Zamawiający wymaga aby przed przystąpieniem do budowania Aplikacji Wykonawca przeprowadził  analizę przedwykonawczą, której celem będzie doprecyzowanie wymagań jakie ma spełniać Aplikacja. Analiza musi być przeprowadzona z pracownikami merytorycznymi wskazanymi przez Zamawiającego.</w:t>
      </w:r>
    </w:p>
    <w:p w14:paraId="76C3FE73" w14:textId="4106B2F8" w:rsidR="001E0CD4" w:rsidRPr="00607B0A" w:rsidRDefault="001E0CD4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Analiza przedwykonawcza musi zostać przeprowadzona w terminie do 14 od dnia zawarcia umowy.</w:t>
      </w:r>
    </w:p>
    <w:p w14:paraId="272D6C46" w14:textId="6A52AD57" w:rsidR="008265CE" w:rsidRPr="00607B0A" w:rsidRDefault="008265CE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Na podstawie wykonania analizy przedwykonawczej Wykonawca sporządzi i przedstawi do zaakceptowania Zamawiającemu harmonogram realizacji prac.</w:t>
      </w:r>
    </w:p>
    <w:p w14:paraId="4DF8E92C" w14:textId="3F393BB7" w:rsidR="008265CE" w:rsidRPr="00607B0A" w:rsidRDefault="008265CE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Zamawiający zaakceptuje harmonogram realizacji prac i wynik analizy przedwykonawczej w terminie 5 dni od dnia przekazania go do akceptacji lub zgłosi zastrzeżenia.</w:t>
      </w:r>
    </w:p>
    <w:p w14:paraId="62EFBEB7" w14:textId="39979A1F" w:rsidR="00DB0468" w:rsidRPr="00607B0A" w:rsidRDefault="008265CE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Jeśli Zamawiający zgłosi zastrzeżenia do przedstawionego harmonogramu lub analizy przedwykonawczej to Wykonawca razem z Zamawiającym wspólnie wyjaśnią wszystkie zastrzeżenia</w:t>
      </w:r>
      <w:r w:rsidR="00C75F75" w:rsidRPr="00607B0A">
        <w:rPr>
          <w:rFonts w:asciiTheme="minorHAnsi" w:hAnsiTheme="minorHAnsi" w:cstheme="minorHAnsi"/>
          <w:sz w:val="22"/>
          <w:szCs w:val="22"/>
        </w:rPr>
        <w:t>.</w:t>
      </w:r>
      <w:r w:rsidR="00DB0468" w:rsidRPr="00607B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0578B0" w14:textId="15A396AB" w:rsidR="001E0CD4" w:rsidRPr="00607B0A" w:rsidRDefault="00C75F75" w:rsidP="001E0CD4">
      <w:pPr>
        <w:pStyle w:val="Akapitzlist"/>
        <w:numPr>
          <w:ilvl w:val="1"/>
          <w:numId w:val="2"/>
        </w:numPr>
        <w:suppressAutoHyphens w:val="0"/>
        <w:spacing w:line="360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B0A">
        <w:rPr>
          <w:rFonts w:asciiTheme="minorHAnsi" w:hAnsiTheme="minorHAnsi" w:cstheme="minorHAnsi"/>
          <w:sz w:val="22"/>
          <w:szCs w:val="22"/>
        </w:rPr>
        <w:t>Zaakceptowany w</w:t>
      </w:r>
      <w:r w:rsidR="001E0CD4" w:rsidRPr="00607B0A">
        <w:rPr>
          <w:rFonts w:asciiTheme="minorHAnsi" w:hAnsiTheme="minorHAnsi" w:cstheme="minorHAnsi"/>
          <w:sz w:val="22"/>
          <w:szCs w:val="22"/>
        </w:rPr>
        <w:t xml:space="preserve">ynik analizy </w:t>
      </w:r>
      <w:r w:rsidRPr="00607B0A">
        <w:rPr>
          <w:rFonts w:asciiTheme="minorHAnsi" w:hAnsiTheme="minorHAnsi" w:cstheme="minorHAnsi"/>
          <w:sz w:val="22"/>
          <w:szCs w:val="22"/>
        </w:rPr>
        <w:t>oraz harmonogram</w:t>
      </w:r>
      <w:r w:rsidR="001E0CD4" w:rsidRPr="00607B0A">
        <w:rPr>
          <w:rFonts w:asciiTheme="minorHAnsi" w:hAnsiTheme="minorHAnsi" w:cstheme="minorHAnsi"/>
          <w:sz w:val="22"/>
          <w:szCs w:val="22"/>
        </w:rPr>
        <w:t xml:space="preserve"> przez Zamawiającego będzie podstawą do przystąpienia do budowy Systemu. </w:t>
      </w:r>
    </w:p>
    <w:p w14:paraId="2BF919EB" w14:textId="1663B3A0" w:rsidR="001E0CD4" w:rsidRPr="00607B0A" w:rsidRDefault="001E0CD4" w:rsidP="00FE096D">
      <w:pPr>
        <w:spacing w:before="120" w:after="120"/>
        <w:jc w:val="both"/>
        <w:rPr>
          <w:rFonts w:cstheme="minorHAnsi"/>
          <w:lang w:eastAsia="pl-PL"/>
        </w:rPr>
      </w:pPr>
    </w:p>
    <w:p w14:paraId="27949FBE" w14:textId="61160B8D" w:rsidR="00997CA0" w:rsidRPr="00607B0A" w:rsidRDefault="00997CA0" w:rsidP="00997CA0">
      <w:pPr>
        <w:spacing w:before="120" w:after="120"/>
        <w:ind w:left="792"/>
        <w:jc w:val="center"/>
        <w:rPr>
          <w:rFonts w:eastAsia="Times New Roman" w:cstheme="minorHAnsi"/>
          <w:b/>
          <w:bCs/>
          <w:lang w:eastAsia="pl-PL"/>
        </w:rPr>
      </w:pPr>
      <w:r w:rsidRPr="00607B0A">
        <w:rPr>
          <w:rFonts w:eastAsia="Times New Roman" w:cstheme="minorHAnsi"/>
          <w:b/>
          <w:bCs/>
          <w:lang w:eastAsia="pl-PL"/>
        </w:rPr>
        <w:t xml:space="preserve">ETAP  II  </w:t>
      </w:r>
      <w:r w:rsidR="00AB26ED" w:rsidRPr="00607B0A">
        <w:rPr>
          <w:rFonts w:eastAsia="Times New Roman" w:cstheme="minorHAnsi"/>
          <w:b/>
          <w:bCs/>
          <w:lang w:eastAsia="pl-PL"/>
        </w:rPr>
        <w:t>Usługi Rozwoju Systemu</w:t>
      </w:r>
    </w:p>
    <w:p w14:paraId="23C0694E" w14:textId="2439A6CD" w:rsidR="00997CA0" w:rsidRPr="00607B0A" w:rsidRDefault="00997CA0" w:rsidP="00FE096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296EE6" w14:textId="77777777" w:rsidR="00997CA0" w:rsidRPr="00607B0A" w:rsidRDefault="00997CA0" w:rsidP="00FE096D">
      <w:pPr>
        <w:numPr>
          <w:ilvl w:val="1"/>
          <w:numId w:val="9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W ramach Usługi Rozwoju Wykonawca zobowiązany jest w szczególności do:</w:t>
      </w:r>
    </w:p>
    <w:p w14:paraId="30906A3D" w14:textId="0ECB3D25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Ustalania z Zamawiającym szczegółowych warunków wykonania konkretnej zmiany w Systemie i jej realizacji w sposób wskazany przez Zamawiającego.</w:t>
      </w:r>
    </w:p>
    <w:p w14:paraId="2F48633A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lastRenderedPageBreak/>
        <w:t>Monitorowania wchodzących w życie lub planowanych zmian prawnych mogących mieć wpływ na System i przedstawiania propozycji specyfikacji zleceń Usług Rozwoju co najmniej raz na kwartał lub niezwłocznie po udostępnieniu projektów zmian prawa.</w:t>
      </w:r>
    </w:p>
    <w:p w14:paraId="07138356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Times New Roman" w:cstheme="minorHAnsi"/>
        </w:rPr>
      </w:pPr>
      <w:r w:rsidRPr="00607B0A">
        <w:rPr>
          <w:rFonts w:eastAsia="Calibri" w:cstheme="minorHAnsi"/>
        </w:rPr>
        <w:t>Przygotowywania w fazie analizy biznesowej kompletnych koncepcji modyfikacji systemów w postaci specyfikacji przebiegów procesów, schematów danych, prototypów ekranów, scenariuszy przypadków użycia i innych elementów opisowych Produktu Programowego. Koncepcje będą przygotowywane samodzielnie przez analityków Wykonawcy w oparciu o materiał (np. projekty zmian aktów prawnych) i  wytyczne dostarczone lub wskazane przez Zamawiającego. Po dostarczeniu kolejnej wersji specyfikacji, o których mowa powyżej, koncepcje będą weryfikowane przez Zamawiającego w trakcie spotkań z analitykami Wykonawcy.</w:t>
      </w:r>
      <w:r w:rsidRPr="00607B0A">
        <w:rPr>
          <w:rFonts w:eastAsia="Times New Roman" w:cstheme="minorHAnsi"/>
        </w:rPr>
        <w:t xml:space="preserve"> Czas uzasadnionej, nietrywialnej i zaakceptowanej przez Zamawiającego weryfikacji koncepcji przez Zamawiającego nie będzie liczony do czasu realizacji Usługi Rozwoju.</w:t>
      </w:r>
    </w:p>
    <w:p w14:paraId="12A236DD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Opracowywania i wdrażania nowych rozwiązań i funkcjonalności Systemu lub dokonywania wszelkich innych zmian w Systemie w zakresie wskazanym przez Zamawiającego.</w:t>
      </w:r>
    </w:p>
    <w:p w14:paraId="741F6DBC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Opracowywania i wdrażania nowych rozwiązań i funkcjonalności Systemu lub dokonywania wszelkich innych zmian w Systemie zgodnie z metodyką wytwarzania oprogramowania wskazaną przez Zamawiającego.</w:t>
      </w:r>
    </w:p>
    <w:p w14:paraId="74C1C100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Opracowywania i wdrażania nowych rozwiązań i funkcjonalności Systemu lub dokonywania wszelkich innych zmian w Systemie w zakresie wskazanym przez Zamawiającego.</w:t>
      </w:r>
    </w:p>
    <w:p w14:paraId="48161902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Dokonywania zmian w Systemie na potrzeby integracji z innymi systemami wykorzystywanymi przez Zamawiającego.</w:t>
      </w:r>
    </w:p>
    <w:p w14:paraId="12CA2CE2" w14:textId="7D5901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Utrzymania wartości parametrów (SLA) związanych z modyfikacją i rozwojem na warunkach opisanych w Załączniku nr</w:t>
      </w:r>
      <w:r w:rsidR="00137ECB" w:rsidRPr="00607B0A">
        <w:rPr>
          <w:rFonts w:eastAsia="Calibri" w:cstheme="minorHAnsi"/>
        </w:rPr>
        <w:t xml:space="preserve"> </w:t>
      </w:r>
      <w:r w:rsidR="00906F90" w:rsidRPr="00607B0A">
        <w:rPr>
          <w:rFonts w:eastAsia="Calibri" w:cstheme="minorHAnsi"/>
        </w:rPr>
        <w:t>2</w:t>
      </w:r>
      <w:r w:rsidRPr="00607B0A">
        <w:rPr>
          <w:rFonts w:eastAsia="Calibri" w:cstheme="minorHAnsi"/>
        </w:rPr>
        <w:t xml:space="preserve"> do </w:t>
      </w:r>
      <w:r w:rsidR="00137ECB" w:rsidRPr="00607B0A">
        <w:rPr>
          <w:rFonts w:eastAsia="Calibri" w:cstheme="minorHAnsi"/>
        </w:rPr>
        <w:t>OPZ</w:t>
      </w:r>
      <w:r w:rsidRPr="00607B0A">
        <w:rPr>
          <w:rFonts w:eastAsia="Calibri" w:cstheme="minorHAnsi"/>
        </w:rPr>
        <w:t>.</w:t>
      </w:r>
    </w:p>
    <w:p w14:paraId="712894B1" w14:textId="77777777" w:rsidR="00997CA0" w:rsidRPr="00607B0A" w:rsidRDefault="00997CA0" w:rsidP="00FE096D">
      <w:pPr>
        <w:numPr>
          <w:ilvl w:val="1"/>
          <w:numId w:val="8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Aktualizowania Dokumentacji Systemu, w ramach realizacji Rozwoju.</w:t>
      </w:r>
    </w:p>
    <w:p w14:paraId="10BF45C5" w14:textId="66EAF000" w:rsidR="00997CA0" w:rsidRPr="00607B0A" w:rsidRDefault="00997CA0" w:rsidP="00FE096D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Szczegółowe zasady świadczenia Usługi Rozwoju</w:t>
      </w:r>
      <w:r w:rsidR="00BD5FD6" w:rsidRPr="00607B0A">
        <w:rPr>
          <w:rFonts w:eastAsia="Calibri" w:cstheme="minorHAnsi"/>
        </w:rPr>
        <w:t xml:space="preserve"> Systemu</w:t>
      </w:r>
      <w:r w:rsidRPr="00607B0A">
        <w:rPr>
          <w:rFonts w:eastAsia="Calibri" w:cstheme="minorHAnsi"/>
        </w:rPr>
        <w:t xml:space="preserve"> zawiera Załącznik nr </w:t>
      </w:r>
      <w:r w:rsidR="00906F90" w:rsidRPr="00607B0A">
        <w:rPr>
          <w:rFonts w:eastAsia="Calibri" w:cstheme="minorHAnsi"/>
        </w:rPr>
        <w:t>3</w:t>
      </w:r>
      <w:r w:rsidRPr="00607B0A">
        <w:rPr>
          <w:rFonts w:eastAsia="Calibri" w:cstheme="minorHAnsi"/>
        </w:rPr>
        <w:t xml:space="preserve"> do </w:t>
      </w:r>
      <w:r w:rsidR="00BD5FD6" w:rsidRPr="00607B0A">
        <w:rPr>
          <w:rFonts w:eastAsia="Calibri" w:cstheme="minorHAnsi"/>
        </w:rPr>
        <w:t>OPZ</w:t>
      </w:r>
      <w:r w:rsidRPr="00607B0A">
        <w:rPr>
          <w:rFonts w:eastAsia="Calibri" w:cstheme="minorHAnsi"/>
        </w:rPr>
        <w:t>.</w:t>
      </w:r>
    </w:p>
    <w:p w14:paraId="6103654B" w14:textId="49ACEB71" w:rsidR="00AB26ED" w:rsidRPr="00607B0A" w:rsidRDefault="00AB26ED" w:rsidP="00FE096D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Szczegółowe informacje na temat Technicznych aspektów dotyczących budowy i wdrożenia Systemu </w:t>
      </w:r>
      <w:r w:rsidR="00997CA0" w:rsidRPr="00607B0A">
        <w:rPr>
          <w:rFonts w:eastAsia="Calibri" w:cstheme="minorHAnsi"/>
        </w:rPr>
        <w:t xml:space="preserve">Wykonawca </w:t>
      </w:r>
      <w:r w:rsidRPr="00607B0A">
        <w:rPr>
          <w:rFonts w:eastAsia="Calibri" w:cstheme="minorHAnsi"/>
        </w:rPr>
        <w:t xml:space="preserve">znajdzie </w:t>
      </w:r>
      <w:r w:rsidR="00997CA0" w:rsidRPr="00607B0A">
        <w:rPr>
          <w:rFonts w:eastAsia="Calibri" w:cstheme="minorHAnsi"/>
        </w:rPr>
        <w:t xml:space="preserve">w Załączniku nr </w:t>
      </w:r>
      <w:r w:rsidR="00906F90" w:rsidRPr="00607B0A">
        <w:rPr>
          <w:rFonts w:eastAsia="Calibri" w:cstheme="minorHAnsi"/>
        </w:rPr>
        <w:t>1</w:t>
      </w:r>
      <w:r w:rsidR="00997CA0" w:rsidRPr="00607B0A">
        <w:rPr>
          <w:rFonts w:eastAsia="Calibri" w:cstheme="minorHAnsi"/>
        </w:rPr>
        <w:t xml:space="preserve"> do</w:t>
      </w:r>
      <w:r w:rsidRPr="00607B0A">
        <w:rPr>
          <w:rFonts w:eastAsia="Calibri" w:cstheme="minorHAnsi"/>
        </w:rPr>
        <w:t xml:space="preserve"> OPZ</w:t>
      </w:r>
      <w:r w:rsidR="00997CA0" w:rsidRPr="00607B0A">
        <w:rPr>
          <w:rFonts w:eastAsia="Calibri" w:cstheme="minorHAnsi"/>
        </w:rPr>
        <w:t>.</w:t>
      </w:r>
    </w:p>
    <w:p w14:paraId="12A035B0" w14:textId="77777777" w:rsidR="00AB26ED" w:rsidRPr="00607B0A" w:rsidRDefault="00AB26ED" w:rsidP="00AB26ED">
      <w:pPr>
        <w:suppressAutoHyphens/>
        <w:spacing w:before="120" w:after="120" w:line="264" w:lineRule="auto"/>
        <w:ind w:left="426"/>
        <w:jc w:val="both"/>
        <w:rPr>
          <w:rFonts w:eastAsia="Calibri" w:cstheme="minorHAnsi"/>
        </w:rPr>
      </w:pPr>
    </w:p>
    <w:p w14:paraId="7D71A08D" w14:textId="581761EA" w:rsidR="00AB26ED" w:rsidRPr="00607B0A" w:rsidRDefault="00AB26ED" w:rsidP="00AB26ED">
      <w:pPr>
        <w:spacing w:before="120" w:after="120"/>
        <w:ind w:left="792"/>
        <w:jc w:val="center"/>
        <w:rPr>
          <w:rFonts w:eastAsia="Times New Roman" w:cstheme="minorHAnsi"/>
          <w:b/>
          <w:bCs/>
          <w:lang w:eastAsia="pl-PL"/>
        </w:rPr>
      </w:pPr>
      <w:r w:rsidRPr="00607B0A">
        <w:rPr>
          <w:rFonts w:eastAsia="Times New Roman" w:cstheme="minorHAnsi"/>
          <w:b/>
          <w:bCs/>
          <w:lang w:eastAsia="pl-PL"/>
        </w:rPr>
        <w:t>ETAP  I</w:t>
      </w:r>
      <w:r w:rsidR="004A20EF" w:rsidRPr="00607B0A">
        <w:rPr>
          <w:rFonts w:eastAsia="Times New Roman" w:cstheme="minorHAnsi"/>
          <w:b/>
          <w:bCs/>
          <w:lang w:eastAsia="pl-PL"/>
        </w:rPr>
        <w:t>I</w:t>
      </w:r>
      <w:r w:rsidRPr="00607B0A">
        <w:rPr>
          <w:rFonts w:eastAsia="Times New Roman" w:cstheme="minorHAnsi"/>
          <w:b/>
          <w:bCs/>
          <w:lang w:eastAsia="pl-PL"/>
        </w:rPr>
        <w:t xml:space="preserve">I  </w:t>
      </w:r>
      <w:r w:rsidR="007C3428" w:rsidRPr="00607B0A">
        <w:rPr>
          <w:rFonts w:eastAsia="Times New Roman" w:cstheme="minorHAnsi"/>
          <w:b/>
          <w:bCs/>
          <w:lang w:eastAsia="pl-PL"/>
        </w:rPr>
        <w:t xml:space="preserve"> </w:t>
      </w:r>
      <w:r w:rsidRPr="00607B0A">
        <w:rPr>
          <w:rFonts w:eastAsia="Times New Roman" w:cstheme="minorHAnsi"/>
          <w:b/>
          <w:bCs/>
          <w:lang w:eastAsia="pl-PL"/>
        </w:rPr>
        <w:t>Usługa Utrzymania Systemu</w:t>
      </w:r>
    </w:p>
    <w:p w14:paraId="3F900701" w14:textId="77777777" w:rsidR="007C3428" w:rsidRPr="00607B0A" w:rsidRDefault="007C3428" w:rsidP="00FE096D">
      <w:pPr>
        <w:spacing w:after="0" w:line="360" w:lineRule="auto"/>
        <w:ind w:left="792"/>
        <w:jc w:val="center"/>
        <w:rPr>
          <w:rFonts w:eastAsia="Times New Roman" w:cstheme="minorHAnsi"/>
          <w:b/>
          <w:bCs/>
          <w:lang w:eastAsia="pl-PL"/>
        </w:rPr>
      </w:pPr>
    </w:p>
    <w:p w14:paraId="6D720C0A" w14:textId="77777777" w:rsidR="00AB26ED" w:rsidRPr="00607B0A" w:rsidRDefault="00AB26ED" w:rsidP="00FE096D">
      <w:pPr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7B0A">
        <w:rPr>
          <w:rFonts w:eastAsia="Times New Roman" w:cstheme="minorHAnsi"/>
          <w:lang w:eastAsia="pl-PL"/>
        </w:rPr>
        <w:t>W ramach Usługi Utrzymania Wykonawca zobowiązany jest do:</w:t>
      </w:r>
    </w:p>
    <w:p w14:paraId="4B44C0C9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lastRenderedPageBreak/>
        <w:t>Zapewnienia nieprzerwanego i bezawaryjnego działania Systemu w okresie obowiązywania Umowy.</w:t>
      </w:r>
    </w:p>
    <w:p w14:paraId="7696931B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Bieżącego informowania Zamawiającego o wystąpieniu konieczności lub dostępnej możliwości aktualizacji Systemu i konfiguracji bazy danych lub aktualizacji i konfiguracji oprogramowania serwerów i usług aplikacyjnych .</w:t>
      </w:r>
    </w:p>
    <w:p w14:paraId="0996715E" w14:textId="21E1FCC2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Bieżącego dostarczania i instalowania aktualizacji Systemu.</w:t>
      </w:r>
    </w:p>
    <w:p w14:paraId="75AA4FDA" w14:textId="72CFA859" w:rsidR="00925F23" w:rsidRPr="00607B0A" w:rsidRDefault="00925F23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Przygotowania i prowadzenia dla Zamawiającego lub innych podmiotów wskazanych przez Zamawiającego instruktaży na temat architektury Systemu, Kodów Źródłowych Systemu oraz Dokumentacji Systemu</w:t>
      </w:r>
    </w:p>
    <w:p w14:paraId="6B87CEAE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Przyjmowania i obsługi Zgłoszeń dotyczących Wad Systemu wraz z wyczerpującym uzasadnieniem przyczyny powstałej Wady.</w:t>
      </w:r>
    </w:p>
    <w:p w14:paraId="5410D781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Usuwania Wad zgodnie z przyjętym SLA.</w:t>
      </w:r>
    </w:p>
    <w:p w14:paraId="25285817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Odzyskiwania i odtwarzania w Systemie danych utraconych lub uszkodzonych w wyniku Wad Systemu w terminach przewidzianych dla Czasu Naprawy.</w:t>
      </w:r>
    </w:p>
    <w:p w14:paraId="17C8373C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Zapewniania ciągłości działania Systemu, w tym realizacji procedur backupu w środowisku </w:t>
      </w:r>
      <w:proofErr w:type="spellStart"/>
      <w:r w:rsidRPr="00607B0A">
        <w:rPr>
          <w:rFonts w:eastAsia="Calibri" w:cstheme="minorHAnsi"/>
        </w:rPr>
        <w:t>Veeam</w:t>
      </w:r>
      <w:proofErr w:type="spellEnd"/>
      <w:r w:rsidRPr="00607B0A">
        <w:rPr>
          <w:rFonts w:eastAsia="Calibri" w:cstheme="minorHAnsi"/>
        </w:rPr>
        <w:t xml:space="preserve"> udostępnionym przez Zamawiającego.</w:t>
      </w:r>
    </w:p>
    <w:p w14:paraId="76FBBA35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Wydawania rekomendacji dotyczących przeprowadzania zmian oraz modernizacji Systemu.</w:t>
      </w:r>
    </w:p>
    <w:p w14:paraId="3223730C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Zapewnienia stałej opieki wyznaczonych przez Wykonawcę konsultantów i wsparcia przy rozwiązywaniu bieżących problemów związanych z obsługą i funkcjonowaniem Systemu.</w:t>
      </w:r>
    </w:p>
    <w:p w14:paraId="15016D80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Dokonywania Zgłoszeń w zakresie Błędów lub Problemów przez każdą osobę biorącą udział w realizacji Przedmiotu Zamówienia po stronie Wykonawcy </w:t>
      </w:r>
    </w:p>
    <w:p w14:paraId="72D28EAE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Rozwiązywania problemów poprzez przyjmowanie Zgłoszeń i pytań dotyczących funkcjonowania Systemu, utrzymania, konfiguracji i współpracy poszczególnych części Systemu oraz udzielania na nie odpowiedzi.</w:t>
      </w:r>
    </w:p>
    <w:p w14:paraId="12B8987C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MS Mincho" w:cstheme="minorHAnsi"/>
        </w:rPr>
        <w:t>Przygotowania oraz prowadzenia</w:t>
      </w:r>
      <w:r w:rsidRPr="00607B0A">
        <w:rPr>
          <w:rFonts w:eastAsia="Calibri" w:cstheme="minorHAnsi"/>
        </w:rPr>
        <w:t xml:space="preserve"> instruktaży i warsztatów związanych ze zmianami w Systemie wprowadzonymi w ramach Usług Utrzymania. </w:t>
      </w:r>
    </w:p>
    <w:p w14:paraId="4EBE767B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Tworzenia i aktualizacji bazy wiedzy poprzez gromadzenie opinii oraz wiedzy o problemach i  ich rozwiązaniach w Portalu Serwisowym (</w:t>
      </w:r>
      <w:proofErr w:type="spellStart"/>
      <w:r w:rsidRPr="00607B0A">
        <w:rPr>
          <w:rFonts w:eastAsia="Calibri" w:cstheme="minorHAnsi"/>
        </w:rPr>
        <w:t>Jira</w:t>
      </w:r>
      <w:proofErr w:type="spellEnd"/>
      <w:r w:rsidRPr="00607B0A">
        <w:rPr>
          <w:rFonts w:eastAsia="Calibri" w:cstheme="minorHAnsi"/>
        </w:rPr>
        <w:t>).</w:t>
      </w:r>
    </w:p>
    <w:p w14:paraId="7BD437AE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Zgłaszania do Zamawiającego problemów zauważonych przez Wykonawcę.</w:t>
      </w:r>
    </w:p>
    <w:p w14:paraId="1768F6BD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Proponowania i wdrażania Obejść dla zgłoszonych Wad lub Problemów. </w:t>
      </w:r>
    </w:p>
    <w:p w14:paraId="30CE731F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Interweniowania na miejscu u Zamawiającego lub poprzez połączenie zdalne.</w:t>
      </w:r>
    </w:p>
    <w:p w14:paraId="7B234A85" w14:textId="2E460EA2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Utrzymania wartości parametrów (SLA) związanych z asystą techniczną i konserwacją na warunkach opisanych w Załączniku nr</w:t>
      </w:r>
      <w:r w:rsidR="002A03E0" w:rsidRPr="00607B0A">
        <w:rPr>
          <w:rFonts w:eastAsia="Calibri" w:cstheme="minorHAnsi"/>
        </w:rPr>
        <w:t xml:space="preserve"> </w:t>
      </w:r>
      <w:r w:rsidR="00906F90" w:rsidRPr="00607B0A">
        <w:rPr>
          <w:rFonts w:eastAsia="Calibri" w:cstheme="minorHAnsi"/>
        </w:rPr>
        <w:t>2</w:t>
      </w:r>
      <w:r w:rsidRPr="00607B0A">
        <w:rPr>
          <w:rFonts w:eastAsia="Calibri" w:cstheme="minorHAnsi"/>
        </w:rPr>
        <w:t xml:space="preserve"> do </w:t>
      </w:r>
      <w:r w:rsidR="002A03E0" w:rsidRPr="00607B0A">
        <w:rPr>
          <w:rFonts w:eastAsia="Calibri" w:cstheme="minorHAnsi"/>
        </w:rPr>
        <w:t>OPZ</w:t>
      </w:r>
      <w:r w:rsidRPr="00607B0A">
        <w:rPr>
          <w:rFonts w:eastAsia="Calibri" w:cstheme="minorHAnsi"/>
        </w:rPr>
        <w:t>.</w:t>
      </w:r>
    </w:p>
    <w:p w14:paraId="13EEBD7D" w14:textId="58E20592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lastRenderedPageBreak/>
        <w:t>Bieżącego utrzymania, administracji i aktualizacji warstwy serwerowo-sieciowej w zakresie maszyn wirtualnych, na których zainstalowane są wszystkie komponenty Systemu, warstwy Oprogramowania Systemowego</w:t>
      </w:r>
      <w:r w:rsidR="00FE096D" w:rsidRPr="00607B0A">
        <w:rPr>
          <w:rFonts w:eastAsia="Calibri" w:cstheme="minorHAnsi"/>
        </w:rPr>
        <w:t xml:space="preserve"> </w:t>
      </w:r>
      <w:r w:rsidRPr="00607B0A">
        <w:rPr>
          <w:rFonts w:eastAsia="Calibri" w:cstheme="minorHAnsi"/>
        </w:rPr>
        <w:t>i Narzędziowego oraz Oprogramowania Standardowego/Obcego Systemu.</w:t>
      </w:r>
    </w:p>
    <w:p w14:paraId="48E830E9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Konfiguracji, konserwacji i aktualizacji warstw Oprogramowania Systemowego i Narzędziowego oraz Oprogramowania Standardowego/Obcego nie później niż miesiąc po udostępnieniu przez producentów danego oprogramowania nowej, stabilnej jego wersji po wcześniejszym uzgodnieniu i w terminie na jaki wyrazi zgodę Zamawiający. Wymóg nie dotyczy aktualizacji, do których instalacji konieczne będzie poniesienie przez Wykonawcę dodatkowych kosztów z tytułu zakupu licencji, a Zamawiający nie wyraził woli na ponoszenie dodatkowych kosztów z tego tytułu. W przypadku ujawnienia  krytycznych poprawek bezpieczeństwa wymaga się ich niezwłocznej instalacji.</w:t>
      </w:r>
    </w:p>
    <w:p w14:paraId="0EA945F2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Aktualizowania całej Dokumentacji Systemu w ramach zmian powstałych w trakcie realizacji Usług Utrzymania.</w:t>
      </w:r>
    </w:p>
    <w:p w14:paraId="0EED0C97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Zapewniania zgodności Systemu z oprogramowaniem dostępowym (np. aktualne wersje przeglądarek internetowych i ich współzależne komponenty) pod rygorem uznania niedostosowania za Błąd Systemu, w przypadku niedostosowania trwającego dłużej niż 30 dni od dnia udostępniania przez producenta nowej wersji oprogramowania dostępowego. Wykonawca zobowiązany jest do śledzenia zmian w wersja oprogramowania dostępowego. </w:t>
      </w:r>
    </w:p>
    <w:p w14:paraId="3708AEC2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Od upływu 30 dni od dnia wdrożenia Wersji Podstawowej, ciągłego monitorowania dostępności i ergonomii systemu poprzez prowadzenie ciągłych zautomatyzowanych symulacji działań użytkowników na ekranach systemu, gromadzenie danych z tychże symulacji, automatyczne zgłaszanie Błędów w momencie wykrycia niedostępności lub znaczących (większych niż jedno odchylenie standardowe dla danych tygodniowych, miesięcznych lub ustalonych przez Strony) odchyleń od poziomów ergonomii i wydajności. </w:t>
      </w:r>
    </w:p>
    <w:p w14:paraId="63252144" w14:textId="77777777" w:rsidR="00AB26ED" w:rsidRPr="00607B0A" w:rsidRDefault="00AB26ED" w:rsidP="00FE096D">
      <w:pPr>
        <w:numPr>
          <w:ilvl w:val="1"/>
          <w:numId w:val="1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Udzielania Zamawiającemu lub innym podmiotom wskazanym przez Zamawiającego     konsultacji ustnych lub pisemnych na temat architektury Systemu, Kodów Źródłowych Systemu oraz Dokumentacji Systemu, szczegółów dotyczących statusu i sposobu realizowanych prac w zakresie Usług Utrzymania.</w:t>
      </w:r>
    </w:p>
    <w:p w14:paraId="227A10E9" w14:textId="77777777" w:rsidR="00AB26ED" w:rsidRPr="00607B0A" w:rsidRDefault="00AB26ED" w:rsidP="00FE096D">
      <w:pPr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>Wszelkie planowane przerwy w działaniu Systemu oraz ingerencje mogące spowodować niedostępność Systemu muszą być uzgodnione z Zamawiającym.</w:t>
      </w:r>
    </w:p>
    <w:p w14:paraId="3FE78101" w14:textId="77391F3E" w:rsidR="00AB26ED" w:rsidRPr="00607B0A" w:rsidRDefault="00AB26ED" w:rsidP="00FE096D">
      <w:pPr>
        <w:numPr>
          <w:ilvl w:val="1"/>
          <w:numId w:val="10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607B0A">
        <w:rPr>
          <w:rFonts w:eastAsia="Calibri" w:cstheme="minorHAnsi"/>
        </w:rPr>
        <w:t xml:space="preserve">Szczegółowe zasady świadczenia Usługi Utrzymania zawiera Załącznik nr </w:t>
      </w:r>
      <w:r w:rsidR="00906F90" w:rsidRPr="00607B0A">
        <w:rPr>
          <w:rFonts w:eastAsia="Calibri" w:cstheme="minorHAnsi"/>
        </w:rPr>
        <w:t>4</w:t>
      </w:r>
      <w:r w:rsidRPr="00607B0A">
        <w:rPr>
          <w:rFonts w:eastAsia="Calibri" w:cstheme="minorHAnsi"/>
        </w:rPr>
        <w:t xml:space="preserve"> </w:t>
      </w:r>
      <w:r w:rsidR="002A03E0" w:rsidRPr="00607B0A">
        <w:rPr>
          <w:rFonts w:eastAsia="Calibri" w:cstheme="minorHAnsi"/>
        </w:rPr>
        <w:t>do OPZ</w:t>
      </w:r>
      <w:r w:rsidRPr="00607B0A">
        <w:rPr>
          <w:rFonts w:eastAsia="Calibri" w:cstheme="minorHAnsi"/>
        </w:rPr>
        <w:t>.</w:t>
      </w:r>
    </w:p>
    <w:p w14:paraId="52C0BC58" w14:textId="77777777" w:rsidR="00997CA0" w:rsidRPr="00607B0A" w:rsidRDefault="00997CA0" w:rsidP="001E0CD4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997CA0" w:rsidRPr="00607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38A7" w14:textId="77777777" w:rsidR="00BB40CD" w:rsidRDefault="00BB40CD" w:rsidP="00FE096D">
      <w:pPr>
        <w:spacing w:after="0" w:line="240" w:lineRule="auto"/>
      </w:pPr>
      <w:r>
        <w:separator/>
      </w:r>
    </w:p>
  </w:endnote>
  <w:endnote w:type="continuationSeparator" w:id="0">
    <w:p w14:paraId="7D3866E5" w14:textId="77777777" w:rsidR="00BB40CD" w:rsidRDefault="00BB40CD" w:rsidP="00FE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48FF" w14:textId="77777777" w:rsidR="00BB40CD" w:rsidRDefault="00BB40CD" w:rsidP="00FE096D">
      <w:pPr>
        <w:spacing w:after="0" w:line="240" w:lineRule="auto"/>
      </w:pPr>
      <w:r>
        <w:separator/>
      </w:r>
    </w:p>
  </w:footnote>
  <w:footnote w:type="continuationSeparator" w:id="0">
    <w:p w14:paraId="108FFBE1" w14:textId="77777777" w:rsidR="00BB40CD" w:rsidRDefault="00BB40CD" w:rsidP="00FE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A779" w14:textId="5E6FA3BE" w:rsidR="00FE096D" w:rsidRDefault="00FE096D">
    <w:pPr>
      <w:pStyle w:val="Nagwek"/>
    </w:pPr>
    <w:r>
      <w:rPr>
        <w:noProof/>
      </w:rPr>
      <w:drawing>
        <wp:inline distT="0" distB="0" distL="0" distR="0" wp14:anchorId="7BE990E7" wp14:editId="50B6311E">
          <wp:extent cx="5760720" cy="732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1E6"/>
    <w:multiLevelType w:val="hybridMultilevel"/>
    <w:tmpl w:val="3A88F64A"/>
    <w:lvl w:ilvl="0" w:tplc="FA729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089"/>
    <w:multiLevelType w:val="multilevel"/>
    <w:tmpl w:val="29643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7C462D"/>
    <w:multiLevelType w:val="multilevel"/>
    <w:tmpl w:val="B3A2E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75C6A"/>
    <w:multiLevelType w:val="multilevel"/>
    <w:tmpl w:val="34063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4" w15:restartNumberingAfterBreak="0">
    <w:nsid w:val="227D4F23"/>
    <w:multiLevelType w:val="multilevel"/>
    <w:tmpl w:val="18BE7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FDD7D1D"/>
    <w:multiLevelType w:val="multilevel"/>
    <w:tmpl w:val="CD943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AB7F01"/>
    <w:multiLevelType w:val="multilevel"/>
    <w:tmpl w:val="CBD6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E95D15"/>
    <w:multiLevelType w:val="hybridMultilevel"/>
    <w:tmpl w:val="85966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0588"/>
    <w:multiLevelType w:val="multilevel"/>
    <w:tmpl w:val="79F8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DF1B95"/>
    <w:multiLevelType w:val="multilevel"/>
    <w:tmpl w:val="3FB0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D75723F"/>
    <w:multiLevelType w:val="multilevel"/>
    <w:tmpl w:val="201C2FC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AA767B"/>
    <w:multiLevelType w:val="multilevel"/>
    <w:tmpl w:val="9D28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9"/>
    <w:rsid w:val="00023187"/>
    <w:rsid w:val="000A5B91"/>
    <w:rsid w:val="00137ECB"/>
    <w:rsid w:val="001E0CD4"/>
    <w:rsid w:val="00213D81"/>
    <w:rsid w:val="00254C37"/>
    <w:rsid w:val="002A03E0"/>
    <w:rsid w:val="00343575"/>
    <w:rsid w:val="003A427F"/>
    <w:rsid w:val="00490765"/>
    <w:rsid w:val="004A20EF"/>
    <w:rsid w:val="005B7B6F"/>
    <w:rsid w:val="0060186C"/>
    <w:rsid w:val="00607B0A"/>
    <w:rsid w:val="00662844"/>
    <w:rsid w:val="00664CFA"/>
    <w:rsid w:val="007509E5"/>
    <w:rsid w:val="007733E6"/>
    <w:rsid w:val="007A3C12"/>
    <w:rsid w:val="007B2501"/>
    <w:rsid w:val="007C3428"/>
    <w:rsid w:val="008265CE"/>
    <w:rsid w:val="008402D8"/>
    <w:rsid w:val="0086154C"/>
    <w:rsid w:val="00906F90"/>
    <w:rsid w:val="00920504"/>
    <w:rsid w:val="00925F23"/>
    <w:rsid w:val="00997CA0"/>
    <w:rsid w:val="00AB26ED"/>
    <w:rsid w:val="00AD0581"/>
    <w:rsid w:val="00B56359"/>
    <w:rsid w:val="00B65248"/>
    <w:rsid w:val="00BB40CD"/>
    <w:rsid w:val="00BD5FD6"/>
    <w:rsid w:val="00BE58AE"/>
    <w:rsid w:val="00C244FC"/>
    <w:rsid w:val="00C75F75"/>
    <w:rsid w:val="00C9185A"/>
    <w:rsid w:val="00DB0468"/>
    <w:rsid w:val="00E205A9"/>
    <w:rsid w:val="00E8732F"/>
    <w:rsid w:val="00ED4712"/>
    <w:rsid w:val="00FD4047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02CC"/>
  <w15:chartTrackingRefBased/>
  <w15:docId w15:val="{AB4C433C-1DDE-47AB-BAAC-DC8D7D71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501"/>
    <w:pPr>
      <w:spacing w:after="200" w:line="276" w:lineRule="auto"/>
    </w:p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402D8"/>
    <w:pPr>
      <w:spacing w:before="240" w:after="240"/>
      <w:jc w:val="center"/>
      <w:outlineLvl w:val="0"/>
    </w:pPr>
    <w:rPr>
      <w:rFonts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1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26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qFormat/>
    <w:rsid w:val="008402D8"/>
    <w:rPr>
      <w:rFonts w:cstheme="minorHAnsi"/>
      <w:b/>
    </w:rPr>
  </w:style>
  <w:style w:type="paragraph" w:styleId="Akapitzlist">
    <w:name w:val="List Paragraph"/>
    <w:aliases w:val="T_SZ_List Paragraph,L1,Akapit z listą5"/>
    <w:basedOn w:val="Normalny"/>
    <w:uiPriority w:val="99"/>
    <w:qFormat/>
    <w:rsid w:val="007B25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FD4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4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4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4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AB26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E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6D"/>
  </w:style>
  <w:style w:type="paragraph" w:styleId="Stopka">
    <w:name w:val="footer"/>
    <w:basedOn w:val="Normalny"/>
    <w:link w:val="StopkaZnak"/>
    <w:uiPriority w:val="99"/>
    <w:unhideWhenUsed/>
    <w:rsid w:val="00FE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96D"/>
  </w:style>
  <w:style w:type="character" w:customStyle="1" w:styleId="Nagwek2Znak">
    <w:name w:val="Nagłówek 2 Znak"/>
    <w:basedOn w:val="Domylnaczcionkaakapitu"/>
    <w:link w:val="Nagwek2"/>
    <w:uiPriority w:val="9"/>
    <w:rsid w:val="00C918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18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4459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Krzyzanowski</dc:creator>
  <cp:keywords/>
  <dc:description/>
  <cp:lastModifiedBy>Wojakowski Tomasz</cp:lastModifiedBy>
  <cp:revision>7</cp:revision>
  <dcterms:created xsi:type="dcterms:W3CDTF">2019-09-06T09:46:00Z</dcterms:created>
  <dcterms:modified xsi:type="dcterms:W3CDTF">2019-09-27T11:32:00Z</dcterms:modified>
</cp:coreProperties>
</file>