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CDCE" w14:textId="3467F569" w:rsidR="002F2463" w:rsidRPr="00014395" w:rsidRDefault="002F2463" w:rsidP="00014395">
      <w:pPr>
        <w:pStyle w:val="Nagwek1"/>
        <w:jc w:val="right"/>
        <w:rPr>
          <w:rFonts w:asciiTheme="minorHAnsi" w:eastAsia="Calibri" w:hAnsiTheme="minorHAnsi" w:cstheme="minorHAnsi"/>
          <w:b/>
          <w:color w:val="000000" w:themeColor="text1"/>
          <w:sz w:val="22"/>
          <w:szCs w:val="22"/>
        </w:rPr>
      </w:pPr>
      <w:r w:rsidRPr="00014395">
        <w:rPr>
          <w:rFonts w:asciiTheme="minorHAnsi" w:eastAsia="Calibri" w:hAnsiTheme="minorHAnsi" w:cstheme="minorHAnsi"/>
          <w:b/>
          <w:color w:val="000000" w:themeColor="text1"/>
          <w:sz w:val="22"/>
          <w:szCs w:val="22"/>
        </w:rPr>
        <w:t xml:space="preserve">Załącznik nr </w:t>
      </w:r>
      <w:r w:rsidR="000A09F5" w:rsidRPr="00014395">
        <w:rPr>
          <w:rFonts w:asciiTheme="minorHAnsi" w:eastAsia="Calibri" w:hAnsiTheme="minorHAnsi" w:cstheme="minorHAnsi"/>
          <w:b/>
          <w:color w:val="000000" w:themeColor="text1"/>
          <w:sz w:val="22"/>
          <w:szCs w:val="22"/>
        </w:rPr>
        <w:t>3</w:t>
      </w:r>
      <w:r w:rsidRPr="00014395">
        <w:rPr>
          <w:rFonts w:asciiTheme="minorHAnsi" w:eastAsia="Calibri" w:hAnsiTheme="minorHAnsi" w:cstheme="minorHAnsi"/>
          <w:b/>
          <w:color w:val="000000" w:themeColor="text1"/>
          <w:sz w:val="22"/>
          <w:szCs w:val="22"/>
        </w:rPr>
        <w:t xml:space="preserve"> do</w:t>
      </w:r>
      <w:r w:rsidR="003E4783" w:rsidRPr="00014395">
        <w:rPr>
          <w:rFonts w:asciiTheme="minorHAnsi" w:eastAsia="Calibri" w:hAnsiTheme="minorHAnsi" w:cstheme="minorHAnsi"/>
          <w:b/>
          <w:color w:val="000000" w:themeColor="text1"/>
          <w:sz w:val="22"/>
          <w:szCs w:val="22"/>
        </w:rPr>
        <w:t xml:space="preserve"> OPZ</w:t>
      </w:r>
      <w:r w:rsidRPr="00014395">
        <w:rPr>
          <w:rFonts w:asciiTheme="minorHAnsi" w:eastAsia="Calibri" w:hAnsiTheme="minorHAnsi" w:cstheme="minorHAnsi"/>
          <w:b/>
          <w:color w:val="000000" w:themeColor="text1"/>
          <w:sz w:val="22"/>
          <w:szCs w:val="22"/>
        </w:rPr>
        <w:t xml:space="preserve"> </w:t>
      </w:r>
    </w:p>
    <w:p w14:paraId="774A459A" w14:textId="77777777" w:rsidR="002F2463" w:rsidRPr="00355F7F" w:rsidRDefault="002F2463" w:rsidP="002F2463">
      <w:pPr>
        <w:suppressAutoHyphens/>
        <w:spacing w:after="0" w:line="264" w:lineRule="auto"/>
        <w:rPr>
          <w:rFonts w:eastAsia="Times New Roman" w:cstheme="minorHAnsi"/>
        </w:rPr>
      </w:pPr>
    </w:p>
    <w:p w14:paraId="775D291E" w14:textId="30A00D1B" w:rsidR="002F2463" w:rsidRPr="00014395" w:rsidRDefault="003E4783" w:rsidP="00014395">
      <w:pPr>
        <w:pStyle w:val="Nagwek2"/>
        <w:jc w:val="center"/>
        <w:rPr>
          <w:rFonts w:asciiTheme="minorHAnsi" w:eastAsia="Times New Roman" w:hAnsiTheme="minorHAnsi" w:cstheme="minorHAnsi"/>
          <w:b/>
          <w:color w:val="000000" w:themeColor="text1"/>
          <w:sz w:val="22"/>
          <w:szCs w:val="22"/>
        </w:rPr>
      </w:pPr>
      <w:bookmarkStart w:id="0" w:name="_GoBack"/>
      <w:r w:rsidRPr="00014395">
        <w:rPr>
          <w:rFonts w:asciiTheme="minorHAnsi" w:eastAsia="Times New Roman" w:hAnsiTheme="minorHAnsi" w:cstheme="minorHAnsi"/>
          <w:b/>
          <w:color w:val="000000" w:themeColor="text1"/>
          <w:sz w:val="22"/>
          <w:szCs w:val="22"/>
        </w:rPr>
        <w:t xml:space="preserve">Świadczenie </w:t>
      </w:r>
      <w:r w:rsidR="002F2463" w:rsidRPr="00014395">
        <w:rPr>
          <w:rFonts w:asciiTheme="minorHAnsi" w:eastAsia="Times New Roman" w:hAnsiTheme="minorHAnsi" w:cstheme="minorHAnsi"/>
          <w:b/>
          <w:color w:val="000000" w:themeColor="text1"/>
          <w:sz w:val="22"/>
          <w:szCs w:val="22"/>
        </w:rPr>
        <w:t>U</w:t>
      </w:r>
      <w:r w:rsidRPr="00014395">
        <w:rPr>
          <w:rFonts w:asciiTheme="minorHAnsi" w:eastAsia="Times New Roman" w:hAnsiTheme="minorHAnsi" w:cstheme="minorHAnsi"/>
          <w:b/>
          <w:color w:val="000000" w:themeColor="text1"/>
          <w:sz w:val="22"/>
          <w:szCs w:val="22"/>
        </w:rPr>
        <w:t>sługi</w:t>
      </w:r>
      <w:r w:rsidR="002F2463" w:rsidRPr="00014395">
        <w:rPr>
          <w:rFonts w:asciiTheme="minorHAnsi" w:eastAsia="Times New Roman" w:hAnsiTheme="minorHAnsi" w:cstheme="minorHAnsi"/>
          <w:b/>
          <w:color w:val="000000" w:themeColor="text1"/>
          <w:sz w:val="22"/>
          <w:szCs w:val="22"/>
        </w:rPr>
        <w:t xml:space="preserve"> </w:t>
      </w:r>
      <w:r w:rsidRPr="00014395">
        <w:rPr>
          <w:rFonts w:asciiTheme="minorHAnsi" w:eastAsia="Times New Roman" w:hAnsiTheme="minorHAnsi" w:cstheme="minorHAnsi"/>
          <w:b/>
          <w:color w:val="000000" w:themeColor="text1"/>
          <w:sz w:val="22"/>
          <w:szCs w:val="22"/>
        </w:rPr>
        <w:t>Rozwoju</w:t>
      </w:r>
    </w:p>
    <w:bookmarkEnd w:id="0"/>
    <w:p w14:paraId="4BFF4D9F" w14:textId="77777777" w:rsidR="002F2463" w:rsidRPr="00355F7F" w:rsidRDefault="002F2463" w:rsidP="002F2463">
      <w:pPr>
        <w:keepNext/>
        <w:keepLines/>
        <w:spacing w:before="240" w:line="264" w:lineRule="auto"/>
        <w:outlineLvl w:val="1"/>
        <w:rPr>
          <w:rFonts w:eastAsia="Times New Roman" w:cstheme="minorHAnsi"/>
          <w:b/>
          <w:bCs/>
        </w:rPr>
      </w:pPr>
      <w:r w:rsidRPr="00355F7F">
        <w:rPr>
          <w:rFonts w:eastAsia="Times New Roman" w:cstheme="minorHAnsi"/>
          <w:b/>
          <w:bCs/>
        </w:rPr>
        <w:t>[Zasady świadczenia Usługi Rozwoju]</w:t>
      </w:r>
    </w:p>
    <w:p w14:paraId="1C51B1FE"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bookmarkStart w:id="1" w:name="_Hlk524656718"/>
      <w:r w:rsidRPr="00355F7F">
        <w:rPr>
          <w:rFonts w:eastAsia="Calibri" w:cstheme="minorHAnsi"/>
        </w:rPr>
        <w:t>Do czasu wykorzystania limitu Roboczogodzin, o którym mowa w § 2 pkt 1.2 Umowy, Zamawiający ma prawo składać Wykonawcy wnioski i Zamówienia na Usługi Modyfikacji i  Rozwoju, a Wykonawca zobowiązany jest do ich realizacji.</w:t>
      </w:r>
    </w:p>
    <w:p w14:paraId="05261FF7"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 xml:space="preserve">Usługi Rozwoju mogą być zgłaszane w miarę potrzeb. </w:t>
      </w:r>
    </w:p>
    <w:p w14:paraId="22A4ED2C"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Zamawiający nie jest zobowiązany do wykorzystania w całości limitu Roboczogodzin oraz zastrzega sobie prawo wykorzystania dostępnych Roboczogodzin w dowolnym momencie trwania Umowy.</w:t>
      </w:r>
    </w:p>
    <w:bookmarkEnd w:id="1"/>
    <w:p w14:paraId="2C2B6B6E"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Wykonawca wykona zmiany w terminach umożliwiających Zamawiającemu wywiązanie się z nałożonych na niego wymagań prawnych.</w:t>
      </w:r>
    </w:p>
    <w:p w14:paraId="18C52884" w14:textId="15B53B11"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 xml:space="preserve">Zamawiający wymaga, aby Wykonawca przy realizacji Usług Rozwoju miał możliwość dysponowania zespołem projektowo-programowym, który może wykonać prace o zakresie nie mniejszym niż </w:t>
      </w:r>
      <w:r w:rsidR="003E4783" w:rsidRPr="00355F7F">
        <w:rPr>
          <w:rFonts w:eastAsia="Calibri" w:cstheme="minorHAnsi"/>
        </w:rPr>
        <w:t>200</w:t>
      </w:r>
      <w:r w:rsidRPr="00355F7F">
        <w:rPr>
          <w:rFonts w:eastAsia="Calibri" w:cstheme="minorHAnsi"/>
        </w:rPr>
        <w:t xml:space="preserve"> Roboczogodzin w trakcie miesiąca.</w:t>
      </w:r>
    </w:p>
    <w:p w14:paraId="5EB0035A"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 xml:space="preserve">Zamawiającemu przysługuje prawo weryfikacji i akceptacji sposobu oraz faktycznej czasochłonności wykonania przez Wykonawcę usług oraz prac dokumentowanych w Repozytorium Projektu, </w:t>
      </w:r>
    </w:p>
    <w:p w14:paraId="217D84C4" w14:textId="77777777" w:rsidR="002F2463" w:rsidRPr="00355F7F" w:rsidRDefault="002F2463" w:rsidP="002F2463">
      <w:pPr>
        <w:numPr>
          <w:ilvl w:val="1"/>
          <w:numId w:val="1"/>
        </w:numPr>
        <w:suppressAutoHyphens/>
        <w:spacing w:before="120" w:after="120" w:line="264" w:lineRule="auto"/>
        <w:ind w:left="426" w:hanging="426"/>
        <w:jc w:val="both"/>
        <w:rPr>
          <w:rStyle w:val="Odwoaniedokomentarza"/>
          <w:rFonts w:eastAsia="Calibri" w:cstheme="minorHAnsi"/>
          <w:sz w:val="22"/>
          <w:szCs w:val="22"/>
        </w:rPr>
      </w:pPr>
      <w:r w:rsidRPr="00355F7F">
        <w:rPr>
          <w:rFonts w:eastAsia="Calibri" w:cstheme="minorHAnsi"/>
        </w:rPr>
        <w:t>W przypadku zaistnienia różnicy zdań między Stronami dotyczącej wiarygodności przedstawionego rozliczeń i szacunków czasochłonności, Strony zobowiązują się do podporządkowania się opinii niezależnego od Stron biegłego i rozliczenia prac według podanych przez niego wskazań.  Biegły zostanie  wybrany przez Strony metodą zapewniającą bezstronność, a także będzie osobą posiadającą potwierdzoną certyfikatami wiedzę z zakresu wymiarowania przedsięwzięć informatycznych. Biegły będzie wybierany z listy osób wpisanych na listę rzeczoznawców Polskiego Towarzystwa Informatycznego, przy czym pod uwagę będą brane jedynie osoby wpisane na listę nie później niż w dniu publikacji ogłoszenia</w:t>
      </w:r>
      <w:r w:rsidRPr="00355F7F">
        <w:rPr>
          <w:rStyle w:val="Odwoaniedokomentarza"/>
          <w:rFonts w:eastAsia="Times New Roman" w:cstheme="minorHAnsi"/>
          <w:sz w:val="22"/>
          <w:szCs w:val="22"/>
          <w:lang w:eastAsia="ar-SA"/>
        </w:rPr>
        <w:t xml:space="preserve">. </w:t>
      </w:r>
    </w:p>
    <w:p w14:paraId="675B0A59"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 xml:space="preserve"> Koszt sporządzenia opinii ponosi strona przeciwna tej, do racji której biegły się przychyli,. Jeśli biegły nie przychyli się do racji żadnej ze stron, obie strony ponoszą koszt sporządzenia opinii po połowie.</w:t>
      </w:r>
    </w:p>
    <w:p w14:paraId="2AA8EC8C"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Wykonawca nie może odmówić realizacji złożonego wniosku i Zamówienia w żądanym przez Zamawiającego trybie, poza przypadkami, gdy realizacja usługi spowoduje przekroczenie limitu Roboczogodzin.</w:t>
      </w:r>
    </w:p>
    <w:p w14:paraId="2D878623"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Zrealizowana usługa nie może prowadzić do naruszenia struktur i integralności danych, do utraty danych lub wpływać negatywnie na funkcjonowanie Systemu lub innych składników infrastruktury Zamawiającego. W przypadku, gdy wykonanie usługi wiąże się z ryzykiem utraty danych, Wykonawca zobowiązany jest poinformować o tym Zamawiającego przed przystąpieniem do realizacji usług.</w:t>
      </w:r>
    </w:p>
    <w:p w14:paraId="4331A6EF"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lastRenderedPageBreak/>
        <w:t>W przypadku, gdy realizacja usługi spowoduje pojawienie się Wady w Systemie, Wykonawca zobowiązany jest do wstrzymania wszystkich prac nad usługą, do czasu skutecznego usunięcia Wady.</w:t>
      </w:r>
    </w:p>
    <w:p w14:paraId="62DDFDD5"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Zgłoszenia dokonywane są przez upoważnione osoby wskazane przez Zamawiającego w Umowie</w:t>
      </w:r>
      <w:r w:rsidRPr="00355F7F" w:rsidDel="00F60337">
        <w:rPr>
          <w:rFonts w:eastAsia="Calibri" w:cstheme="minorHAnsi"/>
        </w:rPr>
        <w:t xml:space="preserve"> </w:t>
      </w:r>
      <w:r w:rsidRPr="00355F7F">
        <w:rPr>
          <w:rFonts w:eastAsia="Calibri" w:cstheme="minorHAnsi"/>
        </w:rPr>
        <w:t xml:space="preserve">za pośrednictwem Portalu Serwisowego. </w:t>
      </w:r>
    </w:p>
    <w:p w14:paraId="795FBA81"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Wszystkie Produkty wytworzone w ramach prac (w tym z testów) winny być rejestrowane i prezentowane w Portalu Serwisowym oraz Repozytorium Projektu, w sposób pozwalający na archiwizację danych o czasie, autorach i treści.</w:t>
      </w:r>
    </w:p>
    <w:p w14:paraId="6882D6CE" w14:textId="77777777" w:rsidR="002F2463" w:rsidRPr="00355F7F" w:rsidRDefault="002F2463" w:rsidP="002F2463">
      <w:pPr>
        <w:numPr>
          <w:ilvl w:val="1"/>
          <w:numId w:val="1"/>
        </w:numPr>
        <w:suppressAutoHyphens/>
        <w:spacing w:before="120" w:after="120" w:line="264" w:lineRule="auto"/>
        <w:ind w:left="426" w:hanging="426"/>
        <w:jc w:val="both"/>
        <w:rPr>
          <w:rFonts w:eastAsia="Calibri" w:cstheme="minorHAnsi"/>
        </w:rPr>
      </w:pPr>
      <w:r w:rsidRPr="00355F7F">
        <w:rPr>
          <w:rFonts w:eastAsia="Calibri" w:cstheme="minorHAnsi"/>
        </w:rPr>
        <w:t>Zamawiający może wstrzymać lub zakończyć realizacje każdego z Etapów Usług Rozwoju w dowolnie wybranym momencie. W razie zakończenia realizacji w tym trybie Wykonawcy przysługuje prawo do wynagrodzenia za udokumentowane prace, z zastrzeżeniem zapisów umowy przewidujących prace nieodpłatne.</w:t>
      </w:r>
    </w:p>
    <w:p w14:paraId="7E77850F" w14:textId="77777777" w:rsidR="002F2463" w:rsidRPr="00355F7F" w:rsidRDefault="002F2463" w:rsidP="002F2463">
      <w:pPr>
        <w:keepNext/>
        <w:keepLines/>
        <w:spacing w:before="240" w:line="264" w:lineRule="auto"/>
        <w:outlineLvl w:val="1"/>
        <w:rPr>
          <w:rFonts w:eastAsia="Times New Roman" w:cstheme="minorHAnsi"/>
          <w:b/>
          <w:bCs/>
        </w:rPr>
      </w:pPr>
      <w:r w:rsidRPr="00355F7F">
        <w:rPr>
          <w:rFonts w:eastAsia="Times New Roman" w:cstheme="minorHAnsi"/>
          <w:b/>
          <w:bCs/>
        </w:rPr>
        <w:t>[Proces realizacji Usług Rozwoju]</w:t>
      </w:r>
    </w:p>
    <w:p w14:paraId="4A3883B0" w14:textId="77777777" w:rsidR="002F2463" w:rsidRPr="00355F7F" w:rsidRDefault="002F2463" w:rsidP="002F2463">
      <w:pPr>
        <w:numPr>
          <w:ilvl w:val="1"/>
          <w:numId w:val="1"/>
        </w:numPr>
        <w:suppressAutoHyphens/>
        <w:spacing w:before="120" w:after="120"/>
        <w:ind w:left="426" w:hanging="426"/>
        <w:jc w:val="both"/>
        <w:rPr>
          <w:rFonts w:eastAsia="Calibri" w:cstheme="minorHAnsi"/>
        </w:rPr>
      </w:pPr>
      <w:r w:rsidRPr="00355F7F">
        <w:rPr>
          <w:rFonts w:eastAsia="Calibri" w:cstheme="minorHAnsi"/>
        </w:rPr>
        <w:t>Proces realizacji Usług Rozwoju składa się z:</w:t>
      </w:r>
    </w:p>
    <w:p w14:paraId="7520DEDC" w14:textId="77777777" w:rsidR="002F2463" w:rsidRPr="00355F7F" w:rsidRDefault="002F2463" w:rsidP="002F2463">
      <w:pPr>
        <w:pStyle w:val="Akapitzlist"/>
        <w:numPr>
          <w:ilvl w:val="1"/>
          <w:numId w:val="2"/>
        </w:numPr>
        <w:spacing w:before="120" w:after="120"/>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Etapu I - analiza i projekt.</w:t>
      </w:r>
    </w:p>
    <w:p w14:paraId="09129BA8" w14:textId="77777777" w:rsidR="002F2463" w:rsidRPr="00355F7F" w:rsidRDefault="002F2463" w:rsidP="002F2463">
      <w:pPr>
        <w:pStyle w:val="Akapitzlist"/>
        <w:numPr>
          <w:ilvl w:val="1"/>
          <w:numId w:val="2"/>
        </w:numPr>
        <w:spacing w:before="120" w:after="120"/>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Etapu II - realizacja.</w:t>
      </w:r>
    </w:p>
    <w:p w14:paraId="29EA27B7" w14:textId="77777777" w:rsidR="002F2463" w:rsidRPr="00355F7F" w:rsidRDefault="002F2463" w:rsidP="002F2463">
      <w:pPr>
        <w:pStyle w:val="Akapitzlist"/>
        <w:numPr>
          <w:ilvl w:val="1"/>
          <w:numId w:val="1"/>
        </w:numPr>
        <w:spacing w:before="120" w:after="120" w:line="276" w:lineRule="auto"/>
        <w:jc w:val="both"/>
        <w:rPr>
          <w:rFonts w:asciiTheme="minorHAnsi" w:eastAsia="Calibri" w:hAnsiTheme="minorHAnsi" w:cstheme="minorHAnsi"/>
          <w:sz w:val="22"/>
          <w:szCs w:val="22"/>
        </w:rPr>
      </w:pPr>
      <w:r w:rsidRPr="00355F7F">
        <w:rPr>
          <w:rFonts w:asciiTheme="minorHAnsi" w:eastAsia="Calibri" w:hAnsiTheme="minorHAnsi" w:cstheme="minorHAnsi"/>
          <w:b/>
          <w:sz w:val="22"/>
          <w:szCs w:val="22"/>
        </w:rPr>
        <w:t xml:space="preserve"> Etap I (analiza i projekt)</w:t>
      </w:r>
      <w:r w:rsidRPr="00355F7F">
        <w:rPr>
          <w:rFonts w:asciiTheme="minorHAnsi" w:eastAsia="Calibri" w:hAnsiTheme="minorHAnsi" w:cstheme="minorHAnsi"/>
          <w:sz w:val="22"/>
          <w:szCs w:val="22"/>
        </w:rPr>
        <w:t xml:space="preserve"> - inicjowany jest przez Zamawiającego.</w:t>
      </w:r>
    </w:p>
    <w:p w14:paraId="17026D5A" w14:textId="77777777" w:rsidR="002F2463" w:rsidRPr="00355F7F" w:rsidRDefault="002F2463" w:rsidP="002F2463">
      <w:pPr>
        <w:pStyle w:val="Akapitzlist"/>
        <w:numPr>
          <w:ilvl w:val="1"/>
          <w:numId w:val="3"/>
        </w:numPr>
        <w:spacing w:before="120" w:after="120" w:line="276" w:lineRule="auto"/>
        <w:ind w:left="851" w:hanging="567"/>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Zamawiający składa Wykonawcy  zamówienie w portalu serwisowym, zawierające w miarę możliwości: krótki opis (koncepcje) procesu biznesowego, funkcjonalności oraz zakres danych.</w:t>
      </w:r>
    </w:p>
    <w:p w14:paraId="5329CF50" w14:textId="77777777" w:rsidR="002F2463" w:rsidRPr="00355F7F" w:rsidRDefault="002F2463" w:rsidP="002F2463">
      <w:pPr>
        <w:pStyle w:val="Akapitzlist"/>
        <w:numPr>
          <w:ilvl w:val="1"/>
          <w:numId w:val="3"/>
        </w:numPr>
        <w:spacing w:before="120" w:after="120" w:line="276" w:lineRule="auto"/>
        <w:ind w:left="851" w:hanging="567"/>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Wykonawca  zgodnie z harmonogramem przedstawionym w Analizie Wstępnej w ciągu 10 dni od rejestracji zamówienia przedstawi Zamawiającemu projekt zmian w warstwach logiki biznesowej, danych, uprawnień, architektury fizycznej i logicznej systemu, konfiguracji komponentów sprzętowych, zawierający odpowiednie dla zakresu planowanej zmiany aktualizacje dokumentacji analitycznej.</w:t>
      </w:r>
    </w:p>
    <w:p w14:paraId="0603240E" w14:textId="3265F7F4" w:rsidR="002F2463" w:rsidRPr="00355F7F" w:rsidRDefault="002F2463" w:rsidP="002F2463">
      <w:pPr>
        <w:pStyle w:val="Akapitzlist"/>
        <w:numPr>
          <w:ilvl w:val="1"/>
          <w:numId w:val="3"/>
        </w:numPr>
        <w:spacing w:before="120" w:after="120" w:line="276" w:lineRule="auto"/>
        <w:ind w:left="851" w:hanging="567"/>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Wszelkie Produkty i dokumenty powstające w ramach Usług Rozwoju mają te same cechy, co analogiczne Produkty i dokumenty powstające w ramach Budowy i wdrożenia Sytemu</w:t>
      </w:r>
      <w:r w:rsidR="003E4783" w:rsidRPr="00355F7F">
        <w:rPr>
          <w:rFonts w:asciiTheme="minorHAnsi" w:eastAsia="Calibri" w:hAnsiTheme="minorHAnsi" w:cstheme="minorHAnsi"/>
          <w:sz w:val="22"/>
          <w:szCs w:val="22"/>
        </w:rPr>
        <w:t>.</w:t>
      </w:r>
    </w:p>
    <w:p w14:paraId="418AE775" w14:textId="77777777" w:rsidR="002F2463" w:rsidRPr="00355F7F" w:rsidRDefault="002F2463" w:rsidP="002F2463">
      <w:pPr>
        <w:pStyle w:val="Akapitzlist"/>
        <w:numPr>
          <w:ilvl w:val="0"/>
          <w:numId w:val="5"/>
        </w:numPr>
        <w:spacing w:before="120" w:after="120" w:line="264" w:lineRule="auto"/>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Dopuszcza się by w ramach Zamówienia na Usługi Rozwoju wytwarzane były inne produkty będące częścią składową Systemu lub powiązane z Systemem, nie będące oprogramowaniem. W takim przypadku Strony mogą ustalić indywidualny tryb i zakres realizacji Usługi.</w:t>
      </w:r>
    </w:p>
    <w:p w14:paraId="08DE3A17"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Jeśli w ramach realizacji usługi Rozwoju istnieje techniczna możliwość zastąpienia komercyjnego rozwiązania autorstwa podmiotu trzeciego lub Wykonawcy przez oprogramowanie otwarto-źródłowe, Wykonawca jest zobowiązany uwzględnić ten fakt w przedstawionym projekcie, o którym mowa powyżej, stwarzając Zamawiającemu możliwość podjęcia decyzji w zakresie doboru konkretnego rozwiązania.</w:t>
      </w:r>
    </w:p>
    <w:p w14:paraId="50673BE0"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Zamawiającemu przysługuje prawo weryfikacji i akceptacji sposobu oraz czasochłonności wykonania przez Wykonawcę usług, który został przedstawiony przez Wykonawcę.</w:t>
      </w:r>
    </w:p>
    <w:p w14:paraId="2370F112"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lastRenderedPageBreak/>
        <w:t>Strony mogą dokonywać zmian i uzupełnień do materiału w trybie roboczym. Wycena wykonania Usług Rozwoju uzgodniona na koniec Etapu I będzie stanowić podstawę wyliczenia wynagrodzenia za wykonanie danej usługi.</w:t>
      </w:r>
    </w:p>
    <w:p w14:paraId="3EDCFA35"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Po zakończeniu Etapu I Zamawiający może złożyć Zamówienie o realizację Etapu II.</w:t>
      </w:r>
    </w:p>
    <w:p w14:paraId="3E77A5B6"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 xml:space="preserve">Zamawiający ma prawo zrezygnować z realizacji kolejnego etapu. </w:t>
      </w:r>
    </w:p>
    <w:p w14:paraId="0F1D0485" w14:textId="77777777" w:rsidR="002F2463" w:rsidRPr="00355F7F" w:rsidRDefault="002F2463" w:rsidP="002F2463">
      <w:pPr>
        <w:suppressAutoHyphens/>
        <w:spacing w:before="120" w:after="120" w:line="264" w:lineRule="auto"/>
        <w:jc w:val="both"/>
        <w:rPr>
          <w:rFonts w:eastAsia="Calibri" w:cstheme="minorHAnsi"/>
        </w:rPr>
      </w:pPr>
    </w:p>
    <w:p w14:paraId="67432E24" w14:textId="77777777" w:rsidR="002F2463" w:rsidRPr="00355F7F" w:rsidRDefault="002F2463" w:rsidP="002F2463">
      <w:pPr>
        <w:pStyle w:val="Akapitzlist"/>
        <w:numPr>
          <w:ilvl w:val="0"/>
          <w:numId w:val="5"/>
        </w:numPr>
        <w:spacing w:before="120" w:after="120" w:line="264" w:lineRule="auto"/>
        <w:ind w:left="426" w:hanging="426"/>
        <w:jc w:val="both"/>
        <w:rPr>
          <w:rFonts w:asciiTheme="minorHAnsi" w:eastAsia="Calibri" w:hAnsiTheme="minorHAnsi" w:cstheme="minorHAnsi"/>
          <w:sz w:val="22"/>
          <w:szCs w:val="22"/>
        </w:rPr>
      </w:pPr>
      <w:r w:rsidRPr="00355F7F">
        <w:rPr>
          <w:rFonts w:asciiTheme="minorHAnsi" w:eastAsia="Calibri" w:hAnsiTheme="minorHAnsi" w:cstheme="minorHAnsi"/>
          <w:b/>
          <w:sz w:val="22"/>
          <w:szCs w:val="22"/>
        </w:rPr>
        <w:t>Etap II</w:t>
      </w:r>
      <w:r w:rsidRPr="00355F7F">
        <w:rPr>
          <w:rFonts w:asciiTheme="minorHAnsi" w:eastAsia="Calibri" w:hAnsiTheme="minorHAnsi" w:cstheme="minorHAnsi"/>
          <w:sz w:val="22"/>
          <w:szCs w:val="22"/>
        </w:rPr>
        <w:t xml:space="preserve"> </w:t>
      </w:r>
      <w:r w:rsidRPr="00355F7F">
        <w:rPr>
          <w:rFonts w:asciiTheme="minorHAnsi" w:eastAsia="Calibri" w:hAnsiTheme="minorHAnsi" w:cstheme="minorHAnsi"/>
          <w:b/>
          <w:sz w:val="22"/>
          <w:szCs w:val="22"/>
        </w:rPr>
        <w:t>(realizacja)</w:t>
      </w:r>
      <w:r w:rsidRPr="00355F7F">
        <w:rPr>
          <w:rFonts w:asciiTheme="minorHAnsi" w:eastAsia="Calibri" w:hAnsiTheme="minorHAnsi" w:cstheme="minorHAnsi"/>
          <w:sz w:val="22"/>
          <w:szCs w:val="22"/>
        </w:rPr>
        <w:t xml:space="preserve"> - inicjowany przez Zamawiającego.</w:t>
      </w:r>
    </w:p>
    <w:p w14:paraId="174E1464" w14:textId="77777777" w:rsidR="002F2463" w:rsidRPr="00355F7F" w:rsidRDefault="002F2463" w:rsidP="002F2463">
      <w:pPr>
        <w:pStyle w:val="Akapitzlist"/>
        <w:numPr>
          <w:ilvl w:val="0"/>
          <w:numId w:val="4"/>
        </w:numPr>
        <w:spacing w:before="120" w:after="120" w:line="264" w:lineRule="auto"/>
        <w:ind w:hanging="654"/>
        <w:rPr>
          <w:rFonts w:asciiTheme="minorHAnsi" w:eastAsia="Calibri" w:hAnsiTheme="minorHAnsi" w:cstheme="minorHAnsi"/>
          <w:sz w:val="22"/>
          <w:szCs w:val="22"/>
        </w:rPr>
      </w:pPr>
      <w:r w:rsidRPr="00355F7F">
        <w:rPr>
          <w:rFonts w:asciiTheme="minorHAnsi" w:eastAsia="Calibri" w:hAnsiTheme="minorHAnsi" w:cstheme="minorHAnsi"/>
          <w:sz w:val="22"/>
          <w:szCs w:val="22"/>
        </w:rPr>
        <w:t>Wykonawca przystępuje do realizacji usługi po otrzymaniu od Zamawiającego Zamówienia etapu II.</w:t>
      </w:r>
    </w:p>
    <w:p w14:paraId="2970F6BA" w14:textId="2CE98944"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 wyjątkowych sytuacjach podczas trwania etapu II (realizacja), ale przed przekazaniem Produktów tego etapu do Odbioru, Zamawiający może zgłosić wniosek o zmianę wymagań, Wykonawca zobowiązany jest uwzględnić zgłoszone we wskazanym czasie zmiany wymagań. Wykonawca przedstawi Zamawiającemu poprawkę do projektu zawierającą zgłoszone zmiany wymagań, wycenę ich wykonania oraz wpływ na harmonogram realizacji w terminie 5 Dni</w:t>
      </w:r>
      <w:r w:rsidR="003E4783" w:rsidRPr="00355F7F">
        <w:rPr>
          <w:rFonts w:asciiTheme="minorHAnsi" w:eastAsia="Calibri" w:hAnsiTheme="minorHAnsi" w:cstheme="minorHAnsi"/>
          <w:sz w:val="22"/>
          <w:szCs w:val="22"/>
        </w:rPr>
        <w:t xml:space="preserve"> </w:t>
      </w:r>
      <w:r w:rsidRPr="00355F7F">
        <w:rPr>
          <w:rFonts w:asciiTheme="minorHAnsi" w:eastAsia="Calibri" w:hAnsiTheme="minorHAnsi" w:cstheme="minorHAnsi"/>
          <w:sz w:val="22"/>
          <w:szCs w:val="22"/>
        </w:rPr>
        <w:t>– Strony mogą ustalić inny termin.</w:t>
      </w:r>
    </w:p>
    <w:p w14:paraId="6DB61276"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Wykonawca przeprowadza testy wewnętrzne na Środowisku Deweloperskim i potwierdza Zamawiającemu ich wykonanie przez przekazanie Zamawiającemu Raportu z Testów wraz z Protokołem z testów Wykonawcy uwierzytelniający przeprowadzenie testów po stronie Wykonawcy oraz dokumentację użytkowników i administratorów.</w:t>
      </w:r>
    </w:p>
    <w:p w14:paraId="7CEF3159"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Wykonawca po przeprowadzeniu testów wewnętrznych zgłasza Zamawiającemu gotowość do testów akceptacyjnych drogą e-mail do Kierownika Projektu Zamawiającego.</w:t>
      </w:r>
    </w:p>
    <w:p w14:paraId="7F452687"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Poinformowanie za pomocą poczty elektronicznej Kierownika Projektu, a w   razie jego nieobecności Zastępcę Kierownika Projektu Zamawiającego o zainstalowaniu przez Wykonawcę Pakietu Aktualizacji na Środowisku Testowym uznaje się za zgłoszenie przez Wykonawcę gotowości do Odbioru realizowanych usług.</w:t>
      </w:r>
    </w:p>
    <w:p w14:paraId="1AE40B59"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 xml:space="preserve">Zamawiający ma prawo do weryfikacji wykonania usługi dowolną metodą. Zamawiający może w szczególności wymagać od Wykonawcy przeprowadzenia dodatkowej iteracji testów, uwzględniających wszystkie uwagi Zamawiającego zgłoszone w wyniku wniosków wynikających z przebiegu poprzedniej iteracji. </w:t>
      </w:r>
    </w:p>
    <w:p w14:paraId="39940403"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Po weryfikacji zmian Zamawiający potwierdzi wykonanie lub stwierdzi niewykonanie usług. Wykonanie usługi, która została odrzucona przez Zamawiającego podlega dalszym pracom, do czasu jej skutecznego wykonania.</w:t>
      </w:r>
    </w:p>
    <w:p w14:paraId="7E6AC725" w14:textId="7089DBC6"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Jeżeli Wykonawca nie wykona usługi w terminach określonych w projekcie, o którym mowa w pkt 1</w:t>
      </w:r>
      <w:r w:rsidR="003E4783" w:rsidRPr="00355F7F">
        <w:rPr>
          <w:rFonts w:asciiTheme="minorHAnsi" w:eastAsia="Calibri" w:hAnsiTheme="minorHAnsi" w:cstheme="minorHAnsi"/>
          <w:sz w:val="22"/>
          <w:szCs w:val="22"/>
        </w:rPr>
        <w:t>6</w:t>
      </w:r>
      <w:r w:rsidRPr="00355F7F">
        <w:rPr>
          <w:rFonts w:asciiTheme="minorHAnsi" w:eastAsia="Calibri" w:hAnsiTheme="minorHAnsi" w:cstheme="minorHAnsi"/>
          <w:sz w:val="22"/>
          <w:szCs w:val="22"/>
        </w:rPr>
        <w:t>.3 powyżej, Zamawiający może:</w:t>
      </w:r>
    </w:p>
    <w:p w14:paraId="6166D166" w14:textId="77777777" w:rsidR="002F2463" w:rsidRPr="00355F7F" w:rsidRDefault="002F2463" w:rsidP="002F2463">
      <w:pPr>
        <w:suppressAutoHyphens/>
        <w:spacing w:before="120" w:after="120" w:line="264" w:lineRule="auto"/>
        <w:ind w:left="1134" w:hanging="141"/>
        <w:jc w:val="both"/>
        <w:rPr>
          <w:rFonts w:eastAsia="Calibri" w:cstheme="minorHAnsi"/>
        </w:rPr>
      </w:pPr>
      <w:r w:rsidRPr="00355F7F">
        <w:rPr>
          <w:rFonts w:eastAsia="Calibri" w:cstheme="minorHAnsi"/>
        </w:rPr>
        <w:t xml:space="preserve"> -wydłużyć termin wykonania usługi na pisemną prośbę Wykonawcy zawierającą uzasadnienie i zmiany harmonogramu;</w:t>
      </w:r>
    </w:p>
    <w:p w14:paraId="407C12BE" w14:textId="77777777" w:rsidR="002F2463" w:rsidRPr="00355F7F" w:rsidRDefault="002F2463" w:rsidP="002F2463">
      <w:pPr>
        <w:suppressAutoHyphens/>
        <w:spacing w:before="120" w:after="120" w:line="264" w:lineRule="auto"/>
        <w:ind w:left="1134" w:hanging="141"/>
        <w:jc w:val="both"/>
        <w:rPr>
          <w:rFonts w:eastAsia="Calibri" w:cstheme="minorHAnsi"/>
        </w:rPr>
      </w:pPr>
      <w:r w:rsidRPr="00355F7F">
        <w:rPr>
          <w:rFonts w:eastAsia="Calibri" w:cstheme="minorHAnsi"/>
        </w:rPr>
        <w:t>- obciążyć Wykonawcę karą umowną na zasadach opisanych w Umowie.</w:t>
      </w:r>
    </w:p>
    <w:p w14:paraId="72E7D0F2"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lastRenderedPageBreak/>
        <w:t>Po zakończeniu testów akceptacyjnych przez Zamawiającego Strony ustalają harmonogram instalacji Pakietu Aktualizacji na Środowisku Produkcyjnym. Instalacja Pakietu Aktualizacji realizowana będzie w czasie uzgodnionym przez Strony.</w:t>
      </w:r>
    </w:p>
    <w:p w14:paraId="4247D085"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Zamawiający zastrzega sobie prawo rezygnacji z instalacji Pakietu Aktualizacji na Środowisku Produkcyjnym.</w:t>
      </w:r>
    </w:p>
    <w:p w14:paraId="58175ADA" w14:textId="3E11296C"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Po instalacji Pakietu Aktualizacji na Środowisku Produkcyjnym lub</w:t>
      </w:r>
      <w:r w:rsidR="005739AF" w:rsidRPr="00355F7F">
        <w:rPr>
          <w:rFonts w:asciiTheme="minorHAnsi" w:eastAsia="Calibri" w:hAnsiTheme="minorHAnsi" w:cstheme="minorHAnsi"/>
          <w:sz w:val="22"/>
          <w:szCs w:val="22"/>
        </w:rPr>
        <w:t xml:space="preserve"> </w:t>
      </w:r>
      <w:r w:rsidRPr="00355F7F">
        <w:rPr>
          <w:rFonts w:asciiTheme="minorHAnsi" w:eastAsia="Calibri" w:hAnsiTheme="minorHAnsi" w:cstheme="minorHAnsi"/>
          <w:sz w:val="22"/>
          <w:szCs w:val="22"/>
        </w:rPr>
        <w:t>w przypadku rezygnacji przez Zamawiającego z instalacji na Środowisku Produkcyjnym, po zakończeniu testów akceptacyjnych zostanie sporządzony Protokół Odbioru, którego wzór zawiera Załącznik nr</w:t>
      </w:r>
      <w:r w:rsidR="005739AF" w:rsidRPr="00355F7F">
        <w:rPr>
          <w:rFonts w:asciiTheme="minorHAnsi" w:eastAsia="Calibri" w:hAnsiTheme="minorHAnsi" w:cstheme="minorHAnsi"/>
          <w:sz w:val="22"/>
          <w:szCs w:val="22"/>
        </w:rPr>
        <w:t xml:space="preserve"> 3 </w:t>
      </w:r>
      <w:r w:rsidRPr="00355F7F">
        <w:rPr>
          <w:rFonts w:asciiTheme="minorHAnsi" w:eastAsia="Calibri" w:hAnsiTheme="minorHAnsi" w:cstheme="minorHAnsi"/>
          <w:sz w:val="22"/>
          <w:szCs w:val="22"/>
        </w:rPr>
        <w:t>do Umowy.</w:t>
      </w:r>
    </w:p>
    <w:p w14:paraId="1305438D"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Warunkiem koniecznym do zaakceptowania przez Zamawiającego Protokołu Odbioru Zamówienia jest dostarczenie przez Wykonawcę zaktualizowanej kompletnej Dokumentacji Systemu oraz zaktualizowanej wersji Kodów Źródłowych Systemu oraz opisu procedury instalacji na Środowisku Produkcyjnym. Przekazany materiał musi zawierać wszelkie informacje pozwalające Zamawiającemu lub podmiotom wybranym przez Zamawiającego na samodzielne korzystanie z Produktów, a także na ich samodzielne utrzymywanie i rozwój.</w:t>
      </w:r>
    </w:p>
    <w:p w14:paraId="4BFD3058"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Odbiór odbywa się po zrealizowaniu usług na podstawie zaakceptowanego Protokołu Odbioru bez zastrzeżeń.</w:t>
      </w:r>
    </w:p>
    <w:p w14:paraId="4B347BAE"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Zamknięcie Zamówienia w Portalu Serwisowym dokonywane jest przez upoważnione osoby wskazane przez Zamawiającego w Umowie, po podpisaniu Protokołu Odbioru bez zastrzeżeń.</w:t>
      </w:r>
    </w:p>
    <w:p w14:paraId="3779A8A4"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Zaakceptowanie przez Zamawiającego Protokołu Odbioru Zamówienia bez zastrzeżeń jest podstawą do wystawienia przez Wykonawcę faktury.</w:t>
      </w:r>
    </w:p>
    <w:p w14:paraId="51475AAB" w14:textId="77777777" w:rsidR="002F2463" w:rsidRPr="00355F7F" w:rsidRDefault="002F2463" w:rsidP="002F2463">
      <w:pPr>
        <w:pStyle w:val="Akapitzlist"/>
        <w:numPr>
          <w:ilvl w:val="0"/>
          <w:numId w:val="4"/>
        </w:numPr>
        <w:spacing w:before="120" w:after="120" w:line="264" w:lineRule="auto"/>
        <w:ind w:hanging="654"/>
        <w:jc w:val="both"/>
        <w:rPr>
          <w:rFonts w:asciiTheme="minorHAnsi" w:eastAsia="Calibri" w:hAnsiTheme="minorHAnsi" w:cstheme="minorHAnsi"/>
          <w:sz w:val="22"/>
          <w:szCs w:val="22"/>
        </w:rPr>
      </w:pPr>
      <w:r w:rsidRPr="00355F7F">
        <w:rPr>
          <w:rFonts w:asciiTheme="minorHAnsi" w:eastAsia="Calibri" w:hAnsiTheme="minorHAnsi" w:cstheme="minorHAnsi"/>
          <w:sz w:val="22"/>
          <w:szCs w:val="22"/>
        </w:rPr>
        <w:t>Wykonawca przeprowadzi szkolenia dla Użytkowników, jeśli Zamówienie o modyfikacje i rozwój zawiera takie zapotrzebowanie.</w:t>
      </w:r>
    </w:p>
    <w:p w14:paraId="396E29B7" w14:textId="77777777" w:rsidR="002F2463" w:rsidRPr="00355F7F" w:rsidRDefault="002F2463" w:rsidP="002F2463">
      <w:pPr>
        <w:suppressAutoHyphens/>
        <w:spacing w:before="120" w:after="120" w:line="264" w:lineRule="auto"/>
        <w:ind w:left="426" w:hanging="426"/>
        <w:jc w:val="both"/>
        <w:rPr>
          <w:rFonts w:eastAsia="Calibri" w:cstheme="minorHAnsi"/>
        </w:rPr>
      </w:pPr>
      <w:r w:rsidRPr="00355F7F">
        <w:rPr>
          <w:rFonts w:eastAsia="Calibri" w:cstheme="minorHAnsi"/>
        </w:rPr>
        <w:t>24. Z datą potwierdzenia Protokołem Odbioru bez zastrzeżeń wykonania prac, Wykonawca obejmuje Produkty Usługą Utrzymania, o której mowa w § 4 Umowy i w Załączniku nr 1 do Umowy, a także gwarancją, o której mowa w § 6 Umowy w ramach wynagrodzenia przysługującego z tytułu realizacji Umowy oraz przenosi lub potwierdza fakt wcześniejszego przeniesienia na Zamawiającego autorskich prawa majątkowe oraz zależnych praw do Produktu na zasadach opisanych w § 11 Umowy.</w:t>
      </w:r>
    </w:p>
    <w:p w14:paraId="524311EB" w14:textId="77777777" w:rsidR="002F2463" w:rsidRPr="00355F7F" w:rsidRDefault="002F2463" w:rsidP="002F2463">
      <w:pPr>
        <w:suppressAutoHyphens/>
        <w:spacing w:before="120" w:after="120" w:line="264" w:lineRule="auto"/>
        <w:ind w:left="426" w:hanging="426"/>
        <w:jc w:val="both"/>
        <w:rPr>
          <w:rFonts w:eastAsia="Calibri" w:cstheme="minorHAnsi"/>
        </w:rPr>
      </w:pPr>
      <w:r w:rsidRPr="00355F7F">
        <w:rPr>
          <w:rFonts w:eastAsia="Calibri" w:cstheme="minorHAnsi"/>
        </w:rPr>
        <w:t>25. Protokół Odbioru zawierać będzie informację o liczbie Roboczogodzin, w ramach których Produkty zostały wykonane.</w:t>
      </w:r>
    </w:p>
    <w:p w14:paraId="7213464D" w14:textId="77777777" w:rsidR="002F2463" w:rsidRPr="00355F7F" w:rsidRDefault="002F2463" w:rsidP="002F2463">
      <w:pPr>
        <w:suppressAutoHyphens/>
        <w:spacing w:before="120" w:after="120" w:line="264" w:lineRule="auto"/>
        <w:ind w:left="284" w:hanging="284"/>
        <w:jc w:val="both"/>
        <w:rPr>
          <w:rFonts w:eastAsia="Calibri" w:cstheme="minorHAnsi"/>
        </w:rPr>
      </w:pPr>
      <w:r w:rsidRPr="00355F7F">
        <w:rPr>
          <w:rFonts w:eastAsia="Calibri" w:cstheme="minorHAnsi"/>
        </w:rPr>
        <w:t>26. Podstawą do ustalenia wysokości wynagrodzenia z tytułu Usługi Rozwoju objętych danym Zamówieniem będzie liczba Roboczogodzin wskazana w Protokole Odbioru oraz stawka za Roboczogodzinę określona w § 12 pkt 9 Umowy.</w:t>
      </w:r>
    </w:p>
    <w:p w14:paraId="687CE152" w14:textId="77777777" w:rsidR="002F2463" w:rsidRPr="00355F7F" w:rsidRDefault="002F2463" w:rsidP="002F2463">
      <w:pPr>
        <w:suppressAutoHyphens/>
        <w:spacing w:before="120" w:after="120" w:line="264" w:lineRule="auto"/>
        <w:ind w:left="426" w:hanging="426"/>
        <w:jc w:val="both"/>
        <w:rPr>
          <w:rFonts w:eastAsia="Calibri" w:cstheme="minorHAnsi"/>
        </w:rPr>
      </w:pPr>
      <w:r w:rsidRPr="00355F7F">
        <w:rPr>
          <w:rFonts w:eastAsia="Calibri" w:cstheme="minorHAnsi"/>
        </w:rPr>
        <w:t>27. Wynagrodzenie z tytułu realizacji Usługi Rozwoju i Modyfikacji będzie płatne po odebraniu przez Zamawiającego wszystkich prac i Produktów Etapu I, w przypadku gdy czasochłonność etapu przekroczy 500 Roboczogodzin i Etapu II, na podstawie zaakceptowanego przez Zamawiającego Protokołu Odbioru oraz prawidłowo wystawionej faktury VAT.</w:t>
      </w:r>
    </w:p>
    <w:p w14:paraId="19DCEF9E" w14:textId="77777777" w:rsidR="002F2463" w:rsidRPr="00355F7F" w:rsidRDefault="002F2463" w:rsidP="002F2463">
      <w:pPr>
        <w:suppressAutoHyphens/>
        <w:spacing w:before="120" w:after="120" w:line="264" w:lineRule="auto"/>
        <w:ind w:left="426" w:hanging="426"/>
        <w:jc w:val="both"/>
        <w:rPr>
          <w:rFonts w:eastAsia="Calibri" w:cstheme="minorHAnsi"/>
        </w:rPr>
      </w:pPr>
      <w:r w:rsidRPr="00355F7F">
        <w:rPr>
          <w:rFonts w:eastAsia="Calibri" w:cstheme="minorHAnsi"/>
        </w:rPr>
        <w:lastRenderedPageBreak/>
        <w:t>28. Zamawiający zastrzega sobie możliwość realizacji Usług Rozwoju w trybie w których zakres prac, tryb i formę realizacji określane są na etapie zlecenia usługi, natomiast rozliczanie pracochłonności i określanie wynagrodzenia prac z puli Roboczogodzin przewidzianych na realizację Usług Rozwoju ma miejsce z dołu, w oparciu o przekazywane przez Wykonawcę na bieżąco codzienne raporty i inne gromadzone na bieżąco w Repozytorium Projektu wiarygodne dowody potwierdzające fakt świadczenia usług przez poszczególnych pracowników Wykonawcy.</w:t>
      </w:r>
    </w:p>
    <w:p w14:paraId="5A3B3FFC" w14:textId="77777777" w:rsidR="00B65248" w:rsidRPr="00355F7F" w:rsidRDefault="00B65248">
      <w:pPr>
        <w:rPr>
          <w:rFonts w:cstheme="minorHAnsi"/>
        </w:rPr>
      </w:pPr>
    </w:p>
    <w:sectPr w:rsidR="00B65248" w:rsidRPr="00355F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E387" w14:textId="77777777" w:rsidR="005739AF" w:rsidRDefault="005739AF" w:rsidP="005739AF">
      <w:pPr>
        <w:spacing w:after="0" w:line="240" w:lineRule="auto"/>
      </w:pPr>
      <w:r>
        <w:separator/>
      </w:r>
    </w:p>
  </w:endnote>
  <w:endnote w:type="continuationSeparator" w:id="0">
    <w:p w14:paraId="54ABBB53" w14:textId="77777777" w:rsidR="005739AF" w:rsidRDefault="005739AF" w:rsidP="0057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45F6" w14:textId="77777777" w:rsidR="005739AF" w:rsidRDefault="005739AF" w:rsidP="005739AF">
      <w:pPr>
        <w:spacing w:after="0" w:line="240" w:lineRule="auto"/>
      </w:pPr>
      <w:r>
        <w:separator/>
      </w:r>
    </w:p>
  </w:footnote>
  <w:footnote w:type="continuationSeparator" w:id="0">
    <w:p w14:paraId="12EFDA6D" w14:textId="77777777" w:rsidR="005739AF" w:rsidRDefault="005739AF" w:rsidP="0057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43C5" w14:textId="1D25DB45" w:rsidR="005739AF" w:rsidRDefault="005739AF">
    <w:pPr>
      <w:pStyle w:val="Nagwek"/>
    </w:pPr>
    <w:r>
      <w:rPr>
        <w:noProof/>
      </w:rPr>
      <w:drawing>
        <wp:inline distT="0" distB="0" distL="0" distR="0" wp14:anchorId="5059B5DD" wp14:editId="58213FF6">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32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31ADE"/>
    <w:multiLevelType w:val="multilevel"/>
    <w:tmpl w:val="8A74FD00"/>
    <w:lvl w:ilvl="0">
      <w:start w:val="17"/>
      <w:numFmt w:val="decimal"/>
      <w:lvlText w:val="%1"/>
      <w:lvlJc w:val="left"/>
      <w:pPr>
        <w:ind w:left="375" w:hanging="375"/>
      </w:pPr>
      <w:rPr>
        <w:rFonts w:hint="default"/>
      </w:rPr>
    </w:lvl>
    <w:lvl w:ilvl="1">
      <w:start w:val="1"/>
      <w:numFmt w:val="decimal"/>
      <w:lvlText w:val="16.%2."/>
      <w:lvlJc w:val="left"/>
      <w:pPr>
        <w:ind w:left="1087" w:hanging="375"/>
      </w:pPr>
      <w:rPr>
        <w:rFonts w:hint="default"/>
        <w:color w:val="auto"/>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1" w15:restartNumberingAfterBreak="0">
    <w:nsid w:val="5B412210"/>
    <w:multiLevelType w:val="hybridMultilevel"/>
    <w:tmpl w:val="0A048B62"/>
    <w:lvl w:ilvl="0" w:tplc="9F9A3F1E">
      <w:start w:val="17"/>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AD2C68"/>
    <w:multiLevelType w:val="hybridMultilevel"/>
    <w:tmpl w:val="F656D1C8"/>
    <w:name w:val="WW8Num7224"/>
    <w:lvl w:ilvl="0" w:tplc="4C7A3D16">
      <w:start w:val="1"/>
      <w:numFmt w:val="ordinal"/>
      <w:lvlText w:val="23.%1"/>
      <w:lvlJc w:val="left"/>
      <w:pPr>
        <w:ind w:left="1080" w:hanging="360"/>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835356"/>
    <w:multiLevelType w:val="multilevel"/>
    <w:tmpl w:val="A508B6EA"/>
    <w:lvl w:ilvl="0">
      <w:start w:val="1"/>
      <w:numFmt w:val="decimal"/>
      <w:lvlText w:val="%1."/>
      <w:lvlJc w:val="left"/>
      <w:pPr>
        <w:ind w:left="360" w:hanging="360"/>
      </w:pPr>
      <w:rPr>
        <w:rFonts w:hint="default"/>
        <w:b/>
        <w:color w:val="auto"/>
      </w:rPr>
    </w:lvl>
    <w:lvl w:ilvl="1">
      <w:start w:val="1"/>
      <w:numFmt w:val="decimal"/>
      <w:lvlText w:val="%2."/>
      <w:lvlJc w:val="left"/>
      <w:pPr>
        <w:ind w:left="432" w:hanging="432"/>
      </w:pPr>
      <w:rPr>
        <w:rFonts w:ascii="Times New Roman" w:hAnsi="Times New Roman" w:cs="Times New Roman" w:hint="default"/>
        <w:b w:val="0"/>
        <w:i w:val="0"/>
        <w:color w:val="auto"/>
        <w:sz w:val="22"/>
        <w:szCs w:val="24"/>
      </w:rPr>
    </w:lvl>
    <w:lvl w:ilvl="2">
      <w:start w:val="1"/>
      <w:numFmt w:val="decimal"/>
      <w:lvlText w:val="%1.%2.%3."/>
      <w:lvlJc w:val="left"/>
      <w:pPr>
        <w:ind w:left="1224" w:hanging="504"/>
      </w:pPr>
      <w:rPr>
        <w:rFonts w:hint="default"/>
        <w:b/>
        <w:i w:val="0"/>
        <w:color w:val="0070C0"/>
        <w:sz w:val="22"/>
        <w:szCs w:val="22"/>
        <w:vertAlign w:val="baseli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75F807D5"/>
    <w:multiLevelType w:val="multilevel"/>
    <w:tmpl w:val="F9FAB0C0"/>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B1"/>
    <w:rsid w:val="00014395"/>
    <w:rsid w:val="000A09F5"/>
    <w:rsid w:val="001217B1"/>
    <w:rsid w:val="002F2463"/>
    <w:rsid w:val="00355F7F"/>
    <w:rsid w:val="003E4783"/>
    <w:rsid w:val="005739AF"/>
    <w:rsid w:val="00B65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DB2C4"/>
  <w15:chartTrackingRefBased/>
  <w15:docId w15:val="{119099C9-7AA1-4728-9238-0AE6553F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2463"/>
    <w:pPr>
      <w:spacing w:after="200" w:line="276" w:lineRule="auto"/>
    </w:pPr>
  </w:style>
  <w:style w:type="paragraph" w:styleId="Nagwek1">
    <w:name w:val="heading 1"/>
    <w:basedOn w:val="Normalny"/>
    <w:next w:val="Normalny"/>
    <w:link w:val="Nagwek1Znak"/>
    <w:uiPriority w:val="9"/>
    <w:qFormat/>
    <w:rsid w:val="0001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L1,Akapit z listą5"/>
    <w:basedOn w:val="Normalny"/>
    <w:qFormat/>
    <w:rsid w:val="002F2463"/>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dokomentarza">
    <w:name w:val="annotation reference"/>
    <w:uiPriority w:val="99"/>
    <w:rsid w:val="002F2463"/>
    <w:rPr>
      <w:sz w:val="16"/>
      <w:szCs w:val="16"/>
    </w:rPr>
  </w:style>
  <w:style w:type="paragraph" w:styleId="Nagwek">
    <w:name w:val="header"/>
    <w:basedOn w:val="Normalny"/>
    <w:link w:val="NagwekZnak"/>
    <w:uiPriority w:val="99"/>
    <w:unhideWhenUsed/>
    <w:rsid w:val="005739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9AF"/>
  </w:style>
  <w:style w:type="paragraph" w:styleId="Stopka">
    <w:name w:val="footer"/>
    <w:basedOn w:val="Normalny"/>
    <w:link w:val="StopkaZnak"/>
    <w:uiPriority w:val="99"/>
    <w:unhideWhenUsed/>
    <w:rsid w:val="005739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9AF"/>
  </w:style>
  <w:style w:type="paragraph" w:styleId="Tekstdymka">
    <w:name w:val="Balloon Text"/>
    <w:basedOn w:val="Normalny"/>
    <w:link w:val="TekstdymkaZnak"/>
    <w:uiPriority w:val="99"/>
    <w:semiHidden/>
    <w:unhideWhenUsed/>
    <w:rsid w:val="005739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9AF"/>
    <w:rPr>
      <w:rFonts w:ascii="Segoe UI" w:hAnsi="Segoe UI" w:cs="Segoe UI"/>
      <w:sz w:val="18"/>
      <w:szCs w:val="18"/>
    </w:rPr>
  </w:style>
  <w:style w:type="character" w:customStyle="1" w:styleId="Nagwek1Znak">
    <w:name w:val="Nagłówek 1 Znak"/>
    <w:basedOn w:val="Domylnaczcionkaakapitu"/>
    <w:link w:val="Nagwek1"/>
    <w:uiPriority w:val="9"/>
    <w:rsid w:val="0001439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143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1558</Words>
  <Characters>9349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Krzyzanowski</dc:creator>
  <cp:keywords/>
  <dc:description/>
  <cp:lastModifiedBy>Szewczyk-Dąbrowa Dominika</cp:lastModifiedBy>
  <cp:revision>6</cp:revision>
  <dcterms:created xsi:type="dcterms:W3CDTF">2019-08-23T08:25:00Z</dcterms:created>
  <dcterms:modified xsi:type="dcterms:W3CDTF">2019-09-27T09:18:00Z</dcterms:modified>
</cp:coreProperties>
</file>