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49" w:rsidRDefault="00F47C49" w:rsidP="00F47C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7C49">
        <w:rPr>
          <w:b/>
        </w:rPr>
        <w:t xml:space="preserve">Załącznik nr 1 do umowy </w:t>
      </w:r>
      <w:r>
        <w:t>…………………….</w:t>
      </w:r>
    </w:p>
    <w:p w:rsidR="00AF70A9" w:rsidRPr="00F47C49" w:rsidRDefault="00F47C49" w:rsidP="00F47C49">
      <w:pPr>
        <w:jc w:val="center"/>
        <w:rPr>
          <w:b/>
          <w:sz w:val="28"/>
        </w:rPr>
      </w:pPr>
      <w:r w:rsidRPr="00F47C49">
        <w:rPr>
          <w:b/>
          <w:sz w:val="28"/>
        </w:rPr>
        <w:t>Przedmiot umowy – produkty realizacji umowy</w:t>
      </w:r>
    </w:p>
    <w:p w:rsidR="00F47C49" w:rsidRDefault="00F47C49" w:rsidP="00F47C49">
      <w:pPr>
        <w:pStyle w:val="Akapitzlist"/>
        <w:numPr>
          <w:ilvl w:val="0"/>
          <w:numId w:val="13"/>
        </w:numPr>
      </w:pPr>
      <w:r>
        <w:t>Zakres prac</w:t>
      </w:r>
    </w:p>
    <w:p w:rsidR="00F45C67" w:rsidRDefault="00F45C67" w:rsidP="00F45C67">
      <w:pPr>
        <w:pStyle w:val="Akapitzlist1"/>
        <w:ind w:left="360"/>
        <w:jc w:val="both"/>
        <w:rPr>
          <w:b/>
        </w:rPr>
      </w:pPr>
      <w:r w:rsidRPr="00156237">
        <w:rPr>
          <w:b/>
        </w:rPr>
        <w:t>Analiza procesów</w:t>
      </w:r>
      <w:r>
        <w:rPr>
          <w:b/>
        </w:rPr>
        <w:t>.</w:t>
      </w:r>
    </w:p>
    <w:p w:rsidR="00F45C67" w:rsidRPr="00156237" w:rsidRDefault="00F45C67" w:rsidP="00F45C67">
      <w:pPr>
        <w:pStyle w:val="Akapitzlist1"/>
        <w:ind w:left="0"/>
        <w:jc w:val="both"/>
        <w:rPr>
          <w:b/>
        </w:rPr>
      </w:pPr>
    </w:p>
    <w:p w:rsidR="00F45C67" w:rsidRDefault="00F45C67" w:rsidP="00F45C67">
      <w:pPr>
        <w:pStyle w:val="Akapitzlist1"/>
        <w:numPr>
          <w:ilvl w:val="0"/>
          <w:numId w:val="14"/>
        </w:numPr>
        <w:jc w:val="both"/>
      </w:pPr>
      <w:r>
        <w:t>Przeprowadzenie przeglądu diagramów procesów organizacyjnych udostępnionych przez Zamawiającego.</w:t>
      </w:r>
    </w:p>
    <w:p w:rsidR="00F45C67" w:rsidRDefault="00F45C67" w:rsidP="00F45C67">
      <w:pPr>
        <w:pStyle w:val="Akapitzlist1"/>
        <w:numPr>
          <w:ilvl w:val="0"/>
          <w:numId w:val="14"/>
        </w:numPr>
        <w:jc w:val="both"/>
      </w:pPr>
      <w:r>
        <w:t>Przeprowadzenie przeglądu dokumentacji systemów teleinformatycznych PFRON w częściach odpowiedzialnych za opisy funkcji systemów wspierających realizację procesów organizacyjnych.</w:t>
      </w:r>
    </w:p>
    <w:p w:rsidR="00F45C67" w:rsidRDefault="00F45C67" w:rsidP="00F45C67">
      <w:pPr>
        <w:pStyle w:val="Akapitzlist1"/>
        <w:numPr>
          <w:ilvl w:val="0"/>
          <w:numId w:val="14"/>
        </w:numPr>
      </w:pPr>
      <w:r>
        <w:t>Sporządzenie macierzy powiązań pozwalającej na:</w:t>
      </w:r>
    </w:p>
    <w:p w:rsidR="00F45C67" w:rsidRDefault="00F45C67" w:rsidP="00F45C67">
      <w:pPr>
        <w:pStyle w:val="Akapitzlist1"/>
        <w:numPr>
          <w:ilvl w:val="1"/>
          <w:numId w:val="14"/>
        </w:numPr>
        <w:jc w:val="both"/>
      </w:pPr>
      <w:r>
        <w:t xml:space="preserve">określenie stopnia pokrycia procesów organizacyjnych przez funkcjonalności dostarczane przez systemów teleinformatyczne PFRON, </w:t>
      </w:r>
    </w:p>
    <w:p w:rsidR="00F45C67" w:rsidRDefault="00F45C67" w:rsidP="00F45C67">
      <w:pPr>
        <w:pStyle w:val="Akapitzlist1"/>
        <w:numPr>
          <w:ilvl w:val="1"/>
          <w:numId w:val="14"/>
        </w:numPr>
        <w:jc w:val="both"/>
      </w:pPr>
      <w:r>
        <w:t>identyfikacje procesów systemowych kwalifikujących się do opisania w ramach dalszej analizy procesów biznesowych prowadzonej przez Zamawiającego,</w:t>
      </w:r>
    </w:p>
    <w:p w:rsidR="00F45C67" w:rsidRDefault="00F45C67" w:rsidP="00F45C67">
      <w:pPr>
        <w:pStyle w:val="Akapitzlist1"/>
        <w:numPr>
          <w:ilvl w:val="1"/>
          <w:numId w:val="14"/>
        </w:numPr>
        <w:jc w:val="both"/>
      </w:pPr>
      <w:r>
        <w:t>określenie relacji między czynnościami wyspecyfikowanymi w ramach diagramów procesów organizacyjnych a funkcjami systemów wyspecyfikowanymi w ramach dokumentacji systemów,</w:t>
      </w:r>
    </w:p>
    <w:p w:rsidR="00F45C67" w:rsidRDefault="00F45C67" w:rsidP="00F45C67">
      <w:pPr>
        <w:pStyle w:val="Akapitzlist1"/>
        <w:numPr>
          <w:ilvl w:val="1"/>
          <w:numId w:val="14"/>
        </w:numPr>
        <w:jc w:val="both"/>
      </w:pPr>
      <w:r>
        <w:t>identyfikacje procesów organizacyjnych kwalifikujących się do obsługi poprzez dostarczenie rozwiązań informatycznych.</w:t>
      </w:r>
    </w:p>
    <w:p w:rsidR="00F45C67" w:rsidRDefault="00F45C67" w:rsidP="00F45C67">
      <w:pPr>
        <w:pStyle w:val="Akapitzlist1"/>
        <w:ind w:left="0"/>
        <w:jc w:val="both"/>
      </w:pPr>
    </w:p>
    <w:p w:rsidR="00F45C67" w:rsidRDefault="00F45C67" w:rsidP="00F45C67">
      <w:pPr>
        <w:pStyle w:val="Akapitzlist1"/>
        <w:ind w:left="360"/>
        <w:jc w:val="both"/>
      </w:pPr>
    </w:p>
    <w:p w:rsidR="00F45C67" w:rsidRDefault="00F45C67" w:rsidP="00F45C6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45C67" w:rsidRDefault="00F45C67" w:rsidP="00F45C67">
      <w:pPr>
        <w:pStyle w:val="Akapitzlist1"/>
        <w:ind w:left="360"/>
        <w:jc w:val="both"/>
        <w:rPr>
          <w:b/>
        </w:rPr>
      </w:pPr>
      <w:r w:rsidRPr="00141F4C">
        <w:rPr>
          <w:b/>
        </w:rPr>
        <w:lastRenderedPageBreak/>
        <w:t>Katalog usług</w:t>
      </w:r>
      <w:r>
        <w:rPr>
          <w:b/>
        </w:rPr>
        <w:t>.</w:t>
      </w:r>
    </w:p>
    <w:p w:rsidR="00F45C67" w:rsidRPr="00141F4C" w:rsidRDefault="00F45C67" w:rsidP="00F45C67">
      <w:pPr>
        <w:pStyle w:val="Akapitzlist1"/>
        <w:ind w:left="360"/>
        <w:jc w:val="both"/>
        <w:rPr>
          <w:b/>
        </w:rPr>
      </w:pPr>
    </w:p>
    <w:p w:rsidR="00F45C67" w:rsidRDefault="00F45C67" w:rsidP="00F45C67">
      <w:pPr>
        <w:pStyle w:val="Akapitzlist1"/>
        <w:ind w:left="360"/>
        <w:jc w:val="both"/>
      </w:pPr>
      <w:r>
        <w:t>Wymaga się wytworzenia projektu katalogu usług, zgodnego z wytycznymi biblioteki ITIL v3. Projekt zostanie sporządzony na podstawie dostarczonego przez Zamawiającego opisu procesów organizacyjnych Departamentu ds. Teleinformatyki oraz na podstawie wywiadów prowadzonych z pracownikami Zamawiającego. Katalog powinien zostać rozszerzony o karty procesów zawierające parametry SLA dla każdej z usług. Usługi powinny uwzględniać zadania realizowane przez Departament ds. Teleinformatyki opisane w ramach dostarczonego wykazu procesów organizacyjnych(np. procedury związane z wytwarzaniem lub zmianą oprogramowania, obsługą incydentów i problemów) oraz w umowach zawartych przez PFRON z podmiotami świadczącymi usługi utrzymania i rozwoju systemów. Dodatkowo, czynności te powinny zostać opisane przez Wykonawcę diagramami procesów sporządzonymi zgodnie z poniższymi wymogami:</w:t>
      </w:r>
    </w:p>
    <w:p w:rsidR="00F45C67" w:rsidRDefault="00F45C67" w:rsidP="00F45C67">
      <w:pPr>
        <w:pStyle w:val="Akapitzlist1"/>
        <w:numPr>
          <w:ilvl w:val="0"/>
          <w:numId w:val="15"/>
        </w:numPr>
        <w:jc w:val="both"/>
      </w:pPr>
      <w:r>
        <w:t>Zgodność ze standardem BPMN 2.0.</w:t>
      </w:r>
    </w:p>
    <w:p w:rsidR="00F45C67" w:rsidRDefault="00F45C67" w:rsidP="00F45C67">
      <w:pPr>
        <w:pStyle w:val="Akapitzlist1"/>
        <w:numPr>
          <w:ilvl w:val="0"/>
          <w:numId w:val="15"/>
        </w:numPr>
        <w:jc w:val="both"/>
      </w:pPr>
      <w:r>
        <w:t>Uwidocznienie podziału na zadania realizowane przez systemy wspierające, zadania manualne, zadania użytkownika.</w:t>
      </w:r>
    </w:p>
    <w:p w:rsidR="00F45C67" w:rsidRDefault="00F45C67" w:rsidP="00F45C67">
      <w:pPr>
        <w:pStyle w:val="Akapitzlist1"/>
        <w:numPr>
          <w:ilvl w:val="0"/>
          <w:numId w:val="15"/>
        </w:numPr>
        <w:jc w:val="both"/>
      </w:pPr>
      <w:r>
        <w:t>Pełnego odzwierciedlenia struktury organizacyjnej oraz ról systemowych poprzez użycie basenów i torów.</w:t>
      </w:r>
    </w:p>
    <w:p w:rsidR="00F45C67" w:rsidRDefault="00F45C67" w:rsidP="00F45C67">
      <w:pPr>
        <w:pStyle w:val="Akapitzlist1"/>
        <w:numPr>
          <w:ilvl w:val="0"/>
          <w:numId w:val="15"/>
        </w:numPr>
        <w:jc w:val="both"/>
      </w:pPr>
      <w:r>
        <w:t>Uwidocznienie ról pozwalające na precyzyjne przypisanie użytkowników odpowiedzialnych za realizacje określonych kroków procesu.</w:t>
      </w:r>
    </w:p>
    <w:p w:rsidR="00F45C67" w:rsidRDefault="00F45C67" w:rsidP="00F45C67">
      <w:pPr>
        <w:pStyle w:val="Akapitzlist1"/>
        <w:numPr>
          <w:ilvl w:val="0"/>
          <w:numId w:val="15"/>
        </w:numPr>
        <w:jc w:val="both"/>
      </w:pPr>
      <w:r>
        <w:t>Adekwatne zastosowanie zaawansowanych wzorców projektowych(np. wielokrotne instancje czynności lub podprocesów, transakcje, dyskryminatory, kamienie milowe, kompensacje, anulowania, pętle ze znaną lub nieznaną ilością powtórzeń, przerywające i nieprzerywające zdarzenia krawędziowe).</w:t>
      </w:r>
    </w:p>
    <w:p w:rsidR="00F45C67" w:rsidRDefault="00F45C67" w:rsidP="00F45C67">
      <w:pPr>
        <w:pStyle w:val="Akapitzlist1"/>
        <w:numPr>
          <w:ilvl w:val="0"/>
          <w:numId w:val="15"/>
        </w:numPr>
        <w:jc w:val="both"/>
      </w:pPr>
      <w:r>
        <w:t xml:space="preserve">Unikanie modelowania czynności i zdarzeń w sposób zależny od interpretacji opisu(np. poprzez używanie bramki typu </w:t>
      </w:r>
      <w:proofErr w:type="spellStart"/>
      <w:r w:rsidRPr="008F68D7">
        <w:rPr>
          <w:i/>
        </w:rPr>
        <w:t>multiple</w:t>
      </w:r>
      <w:proofErr w:type="spellEnd"/>
      <w:r>
        <w:rPr>
          <w:i/>
        </w:rPr>
        <w:t xml:space="preserve"> choice</w:t>
      </w:r>
      <w:r>
        <w:t>).</w:t>
      </w:r>
    </w:p>
    <w:p w:rsidR="00F45C67" w:rsidRDefault="00F45C67" w:rsidP="00F45C67">
      <w:pPr>
        <w:pStyle w:val="Akapitzlist1"/>
        <w:numPr>
          <w:ilvl w:val="0"/>
          <w:numId w:val="15"/>
        </w:numPr>
        <w:jc w:val="both"/>
      </w:pPr>
      <w:r>
        <w:t xml:space="preserve">Uwidocznienie zależności i komunikacji między procesami i podprocesami realizowane przy pomocy obsługi zdarzeń typu </w:t>
      </w:r>
      <w:proofErr w:type="spellStart"/>
      <w:r w:rsidRPr="00FB4B13">
        <w:rPr>
          <w:i/>
        </w:rPr>
        <w:t>signal</w:t>
      </w:r>
      <w:proofErr w:type="spellEnd"/>
      <w:r>
        <w:t xml:space="preserve"> i </w:t>
      </w:r>
      <w:proofErr w:type="spellStart"/>
      <w:r>
        <w:t>wywołań</w:t>
      </w:r>
      <w:proofErr w:type="spellEnd"/>
      <w:r>
        <w:t xml:space="preserve"> typu </w:t>
      </w:r>
      <w:proofErr w:type="spellStart"/>
      <w:r w:rsidRPr="00FB4B13">
        <w:rPr>
          <w:i/>
        </w:rPr>
        <w:t>call</w:t>
      </w:r>
      <w:proofErr w:type="spellEnd"/>
      <w:r w:rsidRPr="00FB4B13">
        <w:rPr>
          <w:i/>
        </w:rPr>
        <w:t xml:space="preserve"> </w:t>
      </w:r>
      <w:proofErr w:type="spellStart"/>
      <w:r w:rsidRPr="00FB4B13">
        <w:rPr>
          <w:i/>
        </w:rPr>
        <w:t>activity</w:t>
      </w:r>
      <w:proofErr w:type="spellEnd"/>
      <w:r>
        <w:t>.</w:t>
      </w:r>
    </w:p>
    <w:p w:rsidR="00F45C67" w:rsidRDefault="00F45C67" w:rsidP="00F45C67">
      <w:pPr>
        <w:pStyle w:val="Akapitzlist1"/>
        <w:numPr>
          <w:ilvl w:val="0"/>
          <w:numId w:val="15"/>
        </w:numPr>
        <w:jc w:val="both"/>
      </w:pPr>
      <w:r>
        <w:t xml:space="preserve">Uwidocznienie zdarzeń typu </w:t>
      </w:r>
      <w:proofErr w:type="spellStart"/>
      <w:r w:rsidRPr="00DE440A">
        <w:rPr>
          <w:i/>
        </w:rPr>
        <w:t>signal</w:t>
      </w:r>
      <w:proofErr w:type="spellEnd"/>
      <w:r>
        <w:t xml:space="preserve"> lub </w:t>
      </w:r>
      <w:proofErr w:type="spellStart"/>
      <w:r w:rsidRPr="00DE440A">
        <w:rPr>
          <w:i/>
        </w:rPr>
        <w:t>message</w:t>
      </w:r>
      <w:proofErr w:type="spellEnd"/>
      <w:r>
        <w:t xml:space="preserve"> odpowiedzialnych za wyzwalanie zdarzeń mających wpływ na powiązane procesy rozliczania czasów reakcji oraz napraw wynikające w przyjętych procedur SLA.</w:t>
      </w:r>
    </w:p>
    <w:p w:rsidR="00F45C67" w:rsidRDefault="00F45C67" w:rsidP="00F45C67">
      <w:pPr>
        <w:pStyle w:val="Akapitzlist1"/>
        <w:numPr>
          <w:ilvl w:val="0"/>
          <w:numId w:val="15"/>
        </w:numPr>
        <w:jc w:val="both"/>
      </w:pPr>
      <w:r>
        <w:t xml:space="preserve">Uwidocznienie operacji CRUD realizowanych w składnicach danych, rejestrach </w:t>
      </w:r>
      <w:r>
        <w:br/>
        <w:t>i systemach w ramach realizacji poszczególnych czynności.</w:t>
      </w:r>
    </w:p>
    <w:p w:rsidR="00F45C67" w:rsidRDefault="00F45C67" w:rsidP="00F45C67">
      <w:pPr>
        <w:pStyle w:val="Akapitzlist1"/>
        <w:numPr>
          <w:ilvl w:val="0"/>
          <w:numId w:val="15"/>
        </w:numPr>
        <w:jc w:val="both"/>
      </w:pPr>
      <w:r>
        <w:t>Projektowanie diagramów na poziomie ogólnym, realizowanym przy zachowaniu szczegółowości analizy pozwalającej na mapowanie w relacji 1:1  poszczególnych czynności w procesie na przypadki użycia oraz na poziomie szczegółowym odzwierciedlającym ścieżkę realizacji scenariuszy przypadków użycia.</w:t>
      </w:r>
    </w:p>
    <w:p w:rsidR="00F45C67" w:rsidRDefault="00F45C67" w:rsidP="00F45C67">
      <w:pPr>
        <w:pStyle w:val="Akapitzlist1"/>
        <w:jc w:val="both"/>
      </w:pPr>
    </w:p>
    <w:p w:rsidR="00F45C67" w:rsidRDefault="00F45C67" w:rsidP="00F45C67">
      <w:r>
        <w:t>Poza opisanymi powyżej przypadkami, Wykonawca uwzględni w projekcie katalogu usług także działania Departamentu ds. Teleinformatyki nieobjęte analizą procesów(np. zapewnianie dostępu do poczty elektronicznej lub dostępu do Internetu). Dla usług tych nie wymaga się sporządzania diagramów BPMN, o których mowa powyżej</w:t>
      </w:r>
    </w:p>
    <w:p w:rsidR="00FB667D" w:rsidRPr="00F47C49" w:rsidRDefault="00716F7C" w:rsidP="00F47C49">
      <w:pPr>
        <w:pStyle w:val="Akapitzlist"/>
        <w:numPr>
          <w:ilvl w:val="0"/>
          <w:numId w:val="13"/>
        </w:numPr>
      </w:pPr>
      <w:r w:rsidRPr="00F47C49">
        <w:t>Wymagane produkty</w:t>
      </w:r>
    </w:p>
    <w:p w:rsidR="00F878F7" w:rsidRDefault="00F878F7" w:rsidP="00F878F7">
      <w:pPr>
        <w:jc w:val="both"/>
      </w:pPr>
      <w:r>
        <w:t>Produktem potwierdzającym realizację Przedmiotu Zamówienia powinny być dokumenty zawierające</w:t>
      </w:r>
    </w:p>
    <w:p w:rsidR="00F878F7" w:rsidRDefault="00F878F7" w:rsidP="00F878F7">
      <w:pPr>
        <w:pStyle w:val="Akapitzlist1"/>
        <w:numPr>
          <w:ilvl w:val="0"/>
          <w:numId w:val="4"/>
        </w:numPr>
        <w:jc w:val="both"/>
      </w:pPr>
      <w:r>
        <w:t>Macierz powiązań.</w:t>
      </w:r>
    </w:p>
    <w:p w:rsidR="00F878F7" w:rsidRDefault="00F878F7" w:rsidP="00F878F7">
      <w:pPr>
        <w:pStyle w:val="Akapitzlist1"/>
        <w:numPr>
          <w:ilvl w:val="0"/>
          <w:numId w:val="4"/>
        </w:numPr>
        <w:jc w:val="both"/>
      </w:pPr>
      <w:r>
        <w:t>Katalog usług wraz z kartami usług i opisami usług w postaci diagramów BPMN</w:t>
      </w:r>
    </w:p>
    <w:p w:rsidR="00FB667D" w:rsidRPr="00F47C49" w:rsidRDefault="00FB667D">
      <w:pPr>
        <w:pStyle w:val="Akapitzlist1"/>
        <w:ind w:left="360"/>
        <w:jc w:val="both"/>
        <w:rPr>
          <w:rFonts w:asciiTheme="minorHAnsi" w:hAnsiTheme="minorHAnsi" w:cstheme="minorHAnsi"/>
        </w:rPr>
      </w:pPr>
    </w:p>
    <w:p w:rsidR="00FB667D" w:rsidRPr="00F47C49" w:rsidRDefault="008E6F64" w:rsidP="00F47C49">
      <w:r w:rsidRPr="00F47C49">
        <w:lastRenderedPageBreak/>
        <w:t>3</w:t>
      </w:r>
      <w:r w:rsidR="00B721A2" w:rsidRPr="00F47C49">
        <w:t xml:space="preserve">. </w:t>
      </w:r>
      <w:r w:rsidR="00F47C49">
        <w:t>Odbiór bez zastrzeżeń Produktów realizacji Umowy, o których mowa powyżej stanowi warunek konieczn</w:t>
      </w:r>
      <w:bookmarkStart w:id="0" w:name="_GoBack"/>
      <w:bookmarkEnd w:id="0"/>
      <w:r w:rsidR="00F47C49">
        <w:t>y Zakończenia realizacji umowy</w:t>
      </w:r>
    </w:p>
    <w:sectPr w:rsidR="00FB667D" w:rsidRPr="00F47C49" w:rsidSect="00143258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F3E" w:rsidRDefault="00D21F3E" w:rsidP="00CA514F">
      <w:pPr>
        <w:spacing w:after="0" w:line="240" w:lineRule="auto"/>
      </w:pPr>
      <w:r>
        <w:separator/>
      </w:r>
    </w:p>
  </w:endnote>
  <w:endnote w:type="continuationSeparator" w:id="0">
    <w:p w:rsidR="00D21F3E" w:rsidRDefault="00D21F3E" w:rsidP="00CA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7078742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43258" w:rsidRPr="00143258" w:rsidRDefault="00143258">
            <w:pPr>
              <w:pStyle w:val="Stopka"/>
              <w:jc w:val="center"/>
              <w:rPr>
                <w:sz w:val="18"/>
                <w:szCs w:val="18"/>
              </w:rPr>
            </w:pPr>
            <w:r w:rsidRPr="00143258">
              <w:rPr>
                <w:sz w:val="18"/>
                <w:szCs w:val="18"/>
              </w:rPr>
              <w:t xml:space="preserve">Strona </w:t>
            </w:r>
            <w:r w:rsidRPr="00143258">
              <w:rPr>
                <w:b/>
                <w:bCs/>
                <w:sz w:val="18"/>
                <w:szCs w:val="18"/>
              </w:rPr>
              <w:fldChar w:fldCharType="begin"/>
            </w:r>
            <w:r w:rsidRPr="00143258">
              <w:rPr>
                <w:b/>
                <w:bCs/>
                <w:sz w:val="18"/>
                <w:szCs w:val="18"/>
              </w:rPr>
              <w:instrText>PAGE</w:instrText>
            </w:r>
            <w:r w:rsidRPr="00143258">
              <w:rPr>
                <w:b/>
                <w:bCs/>
                <w:sz w:val="18"/>
                <w:szCs w:val="18"/>
              </w:rPr>
              <w:fldChar w:fldCharType="separate"/>
            </w:r>
            <w:r w:rsidR="00235B24">
              <w:rPr>
                <w:b/>
                <w:bCs/>
                <w:noProof/>
                <w:sz w:val="18"/>
                <w:szCs w:val="18"/>
              </w:rPr>
              <w:t>1</w:t>
            </w:r>
            <w:r w:rsidRPr="00143258">
              <w:rPr>
                <w:b/>
                <w:bCs/>
                <w:sz w:val="18"/>
                <w:szCs w:val="18"/>
              </w:rPr>
              <w:fldChar w:fldCharType="end"/>
            </w:r>
            <w:r w:rsidRPr="00143258">
              <w:rPr>
                <w:sz w:val="18"/>
                <w:szCs w:val="18"/>
              </w:rPr>
              <w:t xml:space="preserve"> z </w:t>
            </w:r>
            <w:r w:rsidRPr="00143258">
              <w:rPr>
                <w:b/>
                <w:bCs/>
                <w:sz w:val="18"/>
                <w:szCs w:val="18"/>
              </w:rPr>
              <w:fldChar w:fldCharType="begin"/>
            </w:r>
            <w:r w:rsidRPr="00143258">
              <w:rPr>
                <w:b/>
                <w:bCs/>
                <w:sz w:val="18"/>
                <w:szCs w:val="18"/>
              </w:rPr>
              <w:instrText>NUMPAGES</w:instrText>
            </w:r>
            <w:r w:rsidRPr="00143258">
              <w:rPr>
                <w:b/>
                <w:bCs/>
                <w:sz w:val="18"/>
                <w:szCs w:val="18"/>
              </w:rPr>
              <w:fldChar w:fldCharType="separate"/>
            </w:r>
            <w:r w:rsidR="00235B24">
              <w:rPr>
                <w:b/>
                <w:bCs/>
                <w:noProof/>
                <w:sz w:val="18"/>
                <w:szCs w:val="18"/>
              </w:rPr>
              <w:t>3</w:t>
            </w:r>
            <w:r w:rsidRPr="0014325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43258" w:rsidRDefault="001432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F3E" w:rsidRDefault="00D21F3E" w:rsidP="00CA514F">
      <w:pPr>
        <w:spacing w:after="0" w:line="240" w:lineRule="auto"/>
      </w:pPr>
      <w:r>
        <w:separator/>
      </w:r>
    </w:p>
  </w:footnote>
  <w:footnote w:type="continuationSeparator" w:id="0">
    <w:p w:rsidR="00D21F3E" w:rsidRDefault="00D21F3E" w:rsidP="00CA5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1CAA"/>
    <w:multiLevelType w:val="multilevel"/>
    <w:tmpl w:val="9EB618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>
    <w:nsid w:val="11C15C7B"/>
    <w:multiLevelType w:val="multilevel"/>
    <w:tmpl w:val="11C15C7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C3D15"/>
    <w:multiLevelType w:val="multilevel"/>
    <w:tmpl w:val="4A8C4B1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790128B"/>
    <w:multiLevelType w:val="hybridMultilevel"/>
    <w:tmpl w:val="3B0EDB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3065DE"/>
    <w:multiLevelType w:val="multilevel"/>
    <w:tmpl w:val="ABB6D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6776D66"/>
    <w:multiLevelType w:val="hybridMultilevel"/>
    <w:tmpl w:val="4B48759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692AA9"/>
    <w:multiLevelType w:val="multilevel"/>
    <w:tmpl w:val="F9CE073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52C17"/>
    <w:multiLevelType w:val="multilevel"/>
    <w:tmpl w:val="27E52C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A90852"/>
    <w:multiLevelType w:val="hybridMultilevel"/>
    <w:tmpl w:val="AE824E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937695"/>
    <w:multiLevelType w:val="hybridMultilevel"/>
    <w:tmpl w:val="7A3C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8E7AD8"/>
    <w:multiLevelType w:val="multilevel"/>
    <w:tmpl w:val="428E7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4418D"/>
    <w:multiLevelType w:val="singleLevel"/>
    <w:tmpl w:val="5914418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>
    <w:nsid w:val="5A431851"/>
    <w:multiLevelType w:val="multilevel"/>
    <w:tmpl w:val="B00E9D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A897F31"/>
    <w:multiLevelType w:val="hybridMultilevel"/>
    <w:tmpl w:val="7FE04C5C"/>
    <w:lvl w:ilvl="0" w:tplc="C2C23E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4705C2F"/>
    <w:multiLevelType w:val="multilevel"/>
    <w:tmpl w:val="64705C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6"/>
  </w:num>
  <w:num w:numId="5">
    <w:abstractNumId w:val="11"/>
  </w:num>
  <w:num w:numId="6">
    <w:abstractNumId w:val="14"/>
  </w:num>
  <w:num w:numId="7">
    <w:abstractNumId w:val="13"/>
  </w:num>
  <w:num w:numId="8">
    <w:abstractNumId w:val="0"/>
  </w:num>
  <w:num w:numId="9">
    <w:abstractNumId w:val="4"/>
  </w:num>
  <w:num w:numId="10">
    <w:abstractNumId w:val="2"/>
  </w:num>
  <w:num w:numId="11">
    <w:abstractNumId w:val="3"/>
  </w:num>
  <w:num w:numId="12">
    <w:abstractNumId w:val="12"/>
  </w:num>
  <w:num w:numId="13">
    <w:abstractNumId w:val="9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44"/>
    <w:rsid w:val="000001B6"/>
    <w:rsid w:val="00005872"/>
    <w:rsid w:val="000476D9"/>
    <w:rsid w:val="000D36DB"/>
    <w:rsid w:val="001209DD"/>
    <w:rsid w:val="00143258"/>
    <w:rsid w:val="00152477"/>
    <w:rsid w:val="001741A6"/>
    <w:rsid w:val="00174744"/>
    <w:rsid w:val="00175D01"/>
    <w:rsid w:val="001810C7"/>
    <w:rsid w:val="001A5415"/>
    <w:rsid w:val="001E7F0B"/>
    <w:rsid w:val="001F6755"/>
    <w:rsid w:val="00235B24"/>
    <w:rsid w:val="00236305"/>
    <w:rsid w:val="00252BCE"/>
    <w:rsid w:val="002835C7"/>
    <w:rsid w:val="0031464D"/>
    <w:rsid w:val="00316710"/>
    <w:rsid w:val="003313D8"/>
    <w:rsid w:val="00355469"/>
    <w:rsid w:val="00356882"/>
    <w:rsid w:val="00392456"/>
    <w:rsid w:val="003E18A1"/>
    <w:rsid w:val="003E41DB"/>
    <w:rsid w:val="003F7260"/>
    <w:rsid w:val="00404B66"/>
    <w:rsid w:val="00424C03"/>
    <w:rsid w:val="00480CE1"/>
    <w:rsid w:val="00491A78"/>
    <w:rsid w:val="004C58CC"/>
    <w:rsid w:val="004E7AF8"/>
    <w:rsid w:val="004F05C0"/>
    <w:rsid w:val="005124E2"/>
    <w:rsid w:val="0052216E"/>
    <w:rsid w:val="00540716"/>
    <w:rsid w:val="005C1D62"/>
    <w:rsid w:val="005D0F1C"/>
    <w:rsid w:val="00673D2C"/>
    <w:rsid w:val="00680EB9"/>
    <w:rsid w:val="006A7C88"/>
    <w:rsid w:val="006B2544"/>
    <w:rsid w:val="006E2421"/>
    <w:rsid w:val="006E2CBC"/>
    <w:rsid w:val="00716F7C"/>
    <w:rsid w:val="00725B89"/>
    <w:rsid w:val="00767EFE"/>
    <w:rsid w:val="007C3B0A"/>
    <w:rsid w:val="007D477E"/>
    <w:rsid w:val="007E26FE"/>
    <w:rsid w:val="007F4C9A"/>
    <w:rsid w:val="00842132"/>
    <w:rsid w:val="008435BF"/>
    <w:rsid w:val="00864AFF"/>
    <w:rsid w:val="008E6F64"/>
    <w:rsid w:val="008E7FD9"/>
    <w:rsid w:val="00902FCE"/>
    <w:rsid w:val="00913B5E"/>
    <w:rsid w:val="009A5841"/>
    <w:rsid w:val="009D0334"/>
    <w:rsid w:val="009D4DC0"/>
    <w:rsid w:val="00A007C7"/>
    <w:rsid w:val="00A47E45"/>
    <w:rsid w:val="00A8670E"/>
    <w:rsid w:val="00AD69A2"/>
    <w:rsid w:val="00AF70A9"/>
    <w:rsid w:val="00B103EF"/>
    <w:rsid w:val="00B149AD"/>
    <w:rsid w:val="00B721A2"/>
    <w:rsid w:val="00BB0A40"/>
    <w:rsid w:val="00BE5717"/>
    <w:rsid w:val="00BE5BA6"/>
    <w:rsid w:val="00BE78FA"/>
    <w:rsid w:val="00BF461D"/>
    <w:rsid w:val="00BF7E92"/>
    <w:rsid w:val="00C44C12"/>
    <w:rsid w:val="00C52085"/>
    <w:rsid w:val="00C528D4"/>
    <w:rsid w:val="00CA514F"/>
    <w:rsid w:val="00CC0B40"/>
    <w:rsid w:val="00CE271E"/>
    <w:rsid w:val="00CE5342"/>
    <w:rsid w:val="00D17E6C"/>
    <w:rsid w:val="00D21F3E"/>
    <w:rsid w:val="00D35E8E"/>
    <w:rsid w:val="00D411C2"/>
    <w:rsid w:val="00DC6EDB"/>
    <w:rsid w:val="00E00237"/>
    <w:rsid w:val="00E248D4"/>
    <w:rsid w:val="00E57775"/>
    <w:rsid w:val="00E75B23"/>
    <w:rsid w:val="00E77152"/>
    <w:rsid w:val="00E7784E"/>
    <w:rsid w:val="00E823CC"/>
    <w:rsid w:val="00EC7735"/>
    <w:rsid w:val="00ED11E7"/>
    <w:rsid w:val="00EF6CDA"/>
    <w:rsid w:val="00F010F9"/>
    <w:rsid w:val="00F16132"/>
    <w:rsid w:val="00F45C67"/>
    <w:rsid w:val="00F47C49"/>
    <w:rsid w:val="00F633DD"/>
    <w:rsid w:val="00F67B17"/>
    <w:rsid w:val="00F87046"/>
    <w:rsid w:val="00F878F7"/>
    <w:rsid w:val="00F94B8F"/>
    <w:rsid w:val="00FB667D"/>
    <w:rsid w:val="00FF7C36"/>
    <w:rsid w:val="06BC02D5"/>
    <w:rsid w:val="1A352420"/>
    <w:rsid w:val="28DB0637"/>
    <w:rsid w:val="349B511E"/>
    <w:rsid w:val="39007C46"/>
    <w:rsid w:val="39761CB6"/>
    <w:rsid w:val="39BC1DBE"/>
    <w:rsid w:val="3CBD0327"/>
    <w:rsid w:val="4A914BA1"/>
    <w:rsid w:val="575812AF"/>
    <w:rsid w:val="59927FEE"/>
    <w:rsid w:val="5DB524FD"/>
    <w:rsid w:val="6AE0505D"/>
    <w:rsid w:val="71F4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uiPriority="35" w:qFormat="1"/>
    <w:lsdException w:name="annotation reference" w:uiPriority="99"/>
    <w:lsdException w:name="endnote reference" w:uiPriority="99"/>
    <w:lsdException w:name="endnote text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D73B3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D73B3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6F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customStyle="1" w:styleId="Akapitzlist1">
    <w:name w:val="Akapit z listą1"/>
    <w:basedOn w:val="Normalny"/>
    <w:uiPriority w:val="99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EYInterstate" w:eastAsia="Calibri" w:hAnsi="EYInterstate" w:cs="EYInterstate"/>
      <w:color w:val="000000"/>
      <w:sz w:val="24"/>
      <w:szCs w:val="24"/>
      <w:lang w:val="pl-PL" w:eastAsia="en-US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Calibri Light" w:hAnsi="Calibri Light"/>
      <w:color w:val="2D73B3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Calibri Light" w:hAnsi="Calibri Light"/>
      <w:color w:val="2D73B3"/>
      <w:sz w:val="32"/>
      <w:szCs w:val="32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8E6F6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pl-PL" w:eastAsia="en-US"/>
    </w:rPr>
  </w:style>
  <w:style w:type="paragraph" w:styleId="Akapitzlist">
    <w:name w:val="List Paragraph"/>
    <w:aliases w:val="T_SZ_List Paragraph"/>
    <w:basedOn w:val="Normalny"/>
    <w:uiPriority w:val="99"/>
    <w:qFormat/>
    <w:rsid w:val="001524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15247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52477"/>
    <w:rPr>
      <w:rFonts w:asciiTheme="minorHAnsi" w:eastAsiaTheme="minorHAnsi" w:hAnsiTheme="minorHAnsi" w:cstheme="minorBidi"/>
      <w:lang w:val="pl-PL" w:eastAsia="en-US"/>
    </w:rPr>
  </w:style>
  <w:style w:type="paragraph" w:styleId="Nagwek">
    <w:name w:val="header"/>
    <w:basedOn w:val="Normalny"/>
    <w:link w:val="NagwekZnak"/>
    <w:unhideWhenUsed/>
    <w:rsid w:val="00143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43258"/>
    <w:rPr>
      <w:rFonts w:ascii="Calibri" w:eastAsia="Calibri" w:hAnsi="Calibri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143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258"/>
    <w:rPr>
      <w:rFonts w:ascii="Calibri" w:eastAsia="Calibri" w:hAnsi="Calibri"/>
      <w:sz w:val="22"/>
      <w:szCs w:val="22"/>
      <w:lang w:val="pl-PL" w:eastAsia="en-US"/>
    </w:rPr>
  </w:style>
  <w:style w:type="paragraph" w:styleId="Tekstpodstawowy2">
    <w:name w:val="Body Text 2"/>
    <w:basedOn w:val="Normalny"/>
    <w:link w:val="Tekstpodstawowy2Znak"/>
    <w:uiPriority w:val="99"/>
    <w:rsid w:val="00CC0B40"/>
    <w:pPr>
      <w:spacing w:after="0" w:line="240" w:lineRule="auto"/>
      <w:jc w:val="both"/>
    </w:pPr>
    <w:rPr>
      <w:rFonts w:eastAsiaTheme="minorEastAsia" w:cs="Calibri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C0B40"/>
    <w:rPr>
      <w:rFonts w:ascii="Calibri" w:eastAsiaTheme="minorEastAsia" w:hAnsi="Calibri" w:cs="Calibri"/>
      <w:lang w:val="pl-PL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16F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16F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uiPriority="35" w:qFormat="1"/>
    <w:lsdException w:name="annotation reference" w:uiPriority="99"/>
    <w:lsdException w:name="endnote reference" w:uiPriority="99"/>
    <w:lsdException w:name="endnote text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D73B3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D73B3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6F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customStyle="1" w:styleId="Akapitzlist1">
    <w:name w:val="Akapit z listą1"/>
    <w:basedOn w:val="Normalny"/>
    <w:uiPriority w:val="99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EYInterstate" w:eastAsia="Calibri" w:hAnsi="EYInterstate" w:cs="EYInterstate"/>
      <w:color w:val="000000"/>
      <w:sz w:val="24"/>
      <w:szCs w:val="24"/>
      <w:lang w:val="pl-PL" w:eastAsia="en-US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Calibri Light" w:hAnsi="Calibri Light"/>
      <w:color w:val="2D73B3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Calibri Light" w:hAnsi="Calibri Light"/>
      <w:color w:val="2D73B3"/>
      <w:sz w:val="32"/>
      <w:szCs w:val="32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8E6F6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pl-PL" w:eastAsia="en-US"/>
    </w:rPr>
  </w:style>
  <w:style w:type="paragraph" w:styleId="Akapitzlist">
    <w:name w:val="List Paragraph"/>
    <w:aliases w:val="T_SZ_List Paragraph"/>
    <w:basedOn w:val="Normalny"/>
    <w:uiPriority w:val="99"/>
    <w:qFormat/>
    <w:rsid w:val="001524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15247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52477"/>
    <w:rPr>
      <w:rFonts w:asciiTheme="minorHAnsi" w:eastAsiaTheme="minorHAnsi" w:hAnsiTheme="minorHAnsi" w:cstheme="minorBidi"/>
      <w:lang w:val="pl-PL" w:eastAsia="en-US"/>
    </w:rPr>
  </w:style>
  <w:style w:type="paragraph" w:styleId="Nagwek">
    <w:name w:val="header"/>
    <w:basedOn w:val="Normalny"/>
    <w:link w:val="NagwekZnak"/>
    <w:unhideWhenUsed/>
    <w:rsid w:val="00143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43258"/>
    <w:rPr>
      <w:rFonts w:ascii="Calibri" w:eastAsia="Calibri" w:hAnsi="Calibri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143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258"/>
    <w:rPr>
      <w:rFonts w:ascii="Calibri" w:eastAsia="Calibri" w:hAnsi="Calibri"/>
      <w:sz w:val="22"/>
      <w:szCs w:val="22"/>
      <w:lang w:val="pl-PL" w:eastAsia="en-US"/>
    </w:rPr>
  </w:style>
  <w:style w:type="paragraph" w:styleId="Tekstpodstawowy2">
    <w:name w:val="Body Text 2"/>
    <w:basedOn w:val="Normalny"/>
    <w:link w:val="Tekstpodstawowy2Znak"/>
    <w:uiPriority w:val="99"/>
    <w:rsid w:val="00CC0B40"/>
    <w:pPr>
      <w:spacing w:after="0" w:line="240" w:lineRule="auto"/>
      <w:jc w:val="both"/>
    </w:pPr>
    <w:rPr>
      <w:rFonts w:eastAsiaTheme="minorEastAsia" w:cs="Calibri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C0B40"/>
    <w:rPr>
      <w:rFonts w:ascii="Calibri" w:eastAsiaTheme="minorEastAsia" w:hAnsi="Calibri" w:cs="Calibri"/>
      <w:lang w:val="pl-PL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16F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16F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055">
          <w:marLeft w:val="0"/>
          <w:marRight w:val="0"/>
          <w:marTop w:val="0"/>
          <w:marBottom w:val="150"/>
          <w:divBdr>
            <w:top w:val="dotted" w:sz="6" w:space="4" w:color="DCDCDC"/>
            <w:left w:val="dotted" w:sz="6" w:space="4" w:color="DCDCDC"/>
            <w:bottom w:val="dotted" w:sz="6" w:space="4" w:color="DCDCDC"/>
            <w:right w:val="dotted" w:sz="6" w:space="4" w:color="DCDCDC"/>
          </w:divBdr>
        </w:div>
        <w:div w:id="1361515696">
          <w:marLeft w:val="0"/>
          <w:marRight w:val="0"/>
          <w:marTop w:val="0"/>
          <w:marBottom w:val="150"/>
          <w:divBdr>
            <w:top w:val="single" w:sz="6" w:space="1" w:color="D8D8D8"/>
            <w:left w:val="single" w:sz="6" w:space="1" w:color="D8D8D8"/>
            <w:bottom w:val="none" w:sz="0" w:space="0" w:color="auto"/>
            <w:right w:val="single" w:sz="6" w:space="0" w:color="D8D8D8"/>
          </w:divBdr>
        </w:div>
        <w:div w:id="1022173597">
          <w:marLeft w:val="0"/>
          <w:marRight w:val="0"/>
          <w:marTop w:val="0"/>
          <w:marBottom w:val="0"/>
          <w:divBdr>
            <w:top w:val="single" w:sz="6" w:space="8" w:color="D8D8D8"/>
            <w:left w:val="single" w:sz="6" w:space="8" w:color="D8D8D8"/>
            <w:bottom w:val="single" w:sz="6" w:space="8" w:color="D8D8D8"/>
            <w:right w:val="single" w:sz="6" w:space="8" w:color="D8D8D8"/>
          </w:divBdr>
          <w:divsChild>
            <w:div w:id="5492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877F28-2AE9-4AEC-BA58-8084F4E6026C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Przedmiot Zamówienia</vt:lpstr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 Zamówienia</dc:title>
  <dc:creator>Damian Dynda</dc:creator>
  <cp:lastModifiedBy>Krzysztof Ptaszynski</cp:lastModifiedBy>
  <cp:revision>17</cp:revision>
  <cp:lastPrinted>2017-10-27T09:58:00Z</cp:lastPrinted>
  <dcterms:created xsi:type="dcterms:W3CDTF">2017-10-12T08:30:00Z</dcterms:created>
  <dcterms:modified xsi:type="dcterms:W3CDTF">2017-11-06T11:41:00Z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1045-9.1.0.5247</vt:lpwstr>
  </property>
</Properties>
</file>