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0A4CB" w14:textId="3B771798" w:rsidR="004A2105" w:rsidRPr="00950F6F" w:rsidRDefault="004A2105" w:rsidP="008550F5">
      <w:pPr>
        <w:pStyle w:val="Tytu"/>
        <w:spacing w:before="120" w:after="0" w:line="276" w:lineRule="auto"/>
        <w:contextualSpacing w:val="0"/>
        <w:jc w:val="center"/>
      </w:pPr>
      <w:r w:rsidRPr="00950F6F">
        <w:t xml:space="preserve">ZAPYTANIE OFERTOWE </w:t>
      </w:r>
      <w:r w:rsidR="001367C0">
        <w:t xml:space="preserve">nr </w:t>
      </w:r>
      <w:r w:rsidR="006E4858">
        <w:t>3</w:t>
      </w:r>
      <w:r w:rsidR="00324280">
        <w:t>/SP/2017</w:t>
      </w:r>
    </w:p>
    <w:p w14:paraId="63EEBB50" w14:textId="77777777" w:rsidR="004A2105" w:rsidRPr="00950F6F" w:rsidRDefault="004A2105" w:rsidP="0044582F">
      <w:pPr>
        <w:spacing w:before="120" w:after="0"/>
        <w:jc w:val="both"/>
      </w:pPr>
    </w:p>
    <w:p w14:paraId="0E08199E" w14:textId="2EC96F7D" w:rsidR="004A2105" w:rsidRPr="00F92BDF" w:rsidRDefault="00950F6F" w:rsidP="00C7691A">
      <w:pPr>
        <w:pStyle w:val="Tytu"/>
        <w:spacing w:after="0" w:line="276" w:lineRule="auto"/>
        <w:contextualSpacing w:val="0"/>
        <w:rPr>
          <w:sz w:val="32"/>
          <w:szCs w:val="32"/>
        </w:rPr>
      </w:pPr>
      <w:r w:rsidRPr="00F92BDF">
        <w:rPr>
          <w:sz w:val="32"/>
          <w:szCs w:val="32"/>
        </w:rPr>
        <w:t>Dot.</w:t>
      </w:r>
      <w:r w:rsidR="004A2105" w:rsidRPr="00F92BDF">
        <w:rPr>
          <w:sz w:val="32"/>
          <w:szCs w:val="32"/>
        </w:rPr>
        <w:t xml:space="preserve"> usług</w:t>
      </w:r>
      <w:r w:rsidRPr="00F92BDF">
        <w:rPr>
          <w:sz w:val="32"/>
          <w:szCs w:val="32"/>
        </w:rPr>
        <w:t>i</w:t>
      </w:r>
      <w:r w:rsidR="004A2105" w:rsidRPr="00F92BDF">
        <w:rPr>
          <w:sz w:val="32"/>
          <w:szCs w:val="32"/>
        </w:rPr>
        <w:t xml:space="preserve"> polegając</w:t>
      </w:r>
      <w:r w:rsidRPr="00F92BDF">
        <w:rPr>
          <w:sz w:val="32"/>
          <w:szCs w:val="32"/>
        </w:rPr>
        <w:t>ej</w:t>
      </w:r>
      <w:r w:rsidR="004A2105" w:rsidRPr="00F92BDF">
        <w:rPr>
          <w:sz w:val="32"/>
          <w:szCs w:val="32"/>
        </w:rPr>
        <w:t xml:space="preserve"> na </w:t>
      </w:r>
      <w:r w:rsidR="000C3B25">
        <w:rPr>
          <w:sz w:val="32"/>
          <w:szCs w:val="32"/>
        </w:rPr>
        <w:t>tłumaczeniu pisemnym</w:t>
      </w:r>
    </w:p>
    <w:p w14:paraId="36BCE414" w14:textId="0561A2D8" w:rsidR="000C3B25" w:rsidRDefault="00950F6F" w:rsidP="0044582F">
      <w:pPr>
        <w:spacing w:before="120" w:after="0"/>
        <w:jc w:val="both"/>
        <w:rPr>
          <w:i/>
        </w:rPr>
      </w:pPr>
      <w:r w:rsidRPr="00950F6F">
        <w:rPr>
          <w:i/>
        </w:rPr>
        <w:t xml:space="preserve">Postępowanie prowadzone na podstawie art. 4 pkt 8 ustawy z dnia 29 stycznia 2004 </w:t>
      </w:r>
      <w:r w:rsidR="008550F5">
        <w:rPr>
          <w:i/>
        </w:rPr>
        <w:t xml:space="preserve">r. Prawo zamówień publicznych </w:t>
      </w:r>
      <w:r w:rsidRPr="00950F6F">
        <w:rPr>
          <w:i/>
        </w:rPr>
        <w:t xml:space="preserve">(Dz. U. z </w:t>
      </w:r>
      <w:r w:rsidR="008550F5" w:rsidRPr="008550F5">
        <w:rPr>
          <w:i/>
        </w:rPr>
        <w:t>2017 r. poz. 1579</w:t>
      </w:r>
      <w:r w:rsidRPr="00950F6F">
        <w:rPr>
          <w:i/>
        </w:rPr>
        <w:t>), zgodnie z którym ustawy nie stosuje się do zamówień, których wartość nie przekracza wyrażonej w</w:t>
      </w:r>
      <w:r>
        <w:rPr>
          <w:i/>
        </w:rPr>
        <w:t xml:space="preserve"> złotych równowartości kwoty 30.000,00</w:t>
      </w:r>
      <w:r w:rsidRPr="00950F6F">
        <w:rPr>
          <w:i/>
        </w:rPr>
        <w:t xml:space="preserve">. euro. </w:t>
      </w:r>
    </w:p>
    <w:p w14:paraId="54415B44" w14:textId="77777777" w:rsidR="000C3B25" w:rsidRDefault="00950F6F" w:rsidP="0044582F">
      <w:pPr>
        <w:spacing w:before="120" w:after="0"/>
        <w:jc w:val="both"/>
        <w:rPr>
          <w:i/>
        </w:rPr>
      </w:pPr>
      <w:r w:rsidRPr="00950F6F">
        <w:rPr>
          <w:i/>
        </w:rPr>
        <w:t>Postęp</w:t>
      </w:r>
      <w:r>
        <w:rPr>
          <w:i/>
        </w:rPr>
        <w:t>owanie prowadzone jest zgodnie z zasadą konkurencyjności</w:t>
      </w:r>
      <w:r w:rsidRPr="00950F6F">
        <w:rPr>
          <w:i/>
        </w:rPr>
        <w:t xml:space="preserve"> opisaną w Wytycznych w zakresie kwalifikowalności wydatków w ramach Europejskiego Funduszu Rozwoju Regionalnego, Europejskiego Funduszu Społecznego oraz Funduszu Spójności na lata 2014-2020.</w:t>
      </w:r>
      <w:r w:rsidR="009E7216">
        <w:rPr>
          <w:i/>
        </w:rPr>
        <w:t xml:space="preserve"> </w:t>
      </w:r>
    </w:p>
    <w:p w14:paraId="683DA8A1" w14:textId="6A57181E" w:rsidR="00950F6F" w:rsidRDefault="009E7216" w:rsidP="0044582F">
      <w:pPr>
        <w:spacing w:before="120" w:after="0"/>
        <w:jc w:val="both"/>
        <w:rPr>
          <w:i/>
        </w:rPr>
      </w:pPr>
      <w:r>
        <w:rPr>
          <w:i/>
        </w:rPr>
        <w:t>Postepowanie prowadzone jest w ramach projektu pt.: „</w:t>
      </w:r>
      <w:r w:rsidRPr="009E7216">
        <w:rPr>
          <w:i/>
        </w:rPr>
        <w:t>Wdrożenie nowego modelu kształcenia specjalistów ds. zarządzania rehabilitacją - jako element systemu kompleksowej rehabilitacji w Polsce</w:t>
      </w:r>
      <w:r>
        <w:rPr>
          <w:i/>
        </w:rPr>
        <w:t>” współfinansowanego ze środków europejskich w ramach PO WER Działanie 4.3.</w:t>
      </w:r>
    </w:p>
    <w:p w14:paraId="20276741" w14:textId="77777777" w:rsidR="00950F6F" w:rsidRPr="00950F6F" w:rsidRDefault="00950F6F" w:rsidP="0044582F">
      <w:pPr>
        <w:spacing w:before="120" w:after="0"/>
        <w:jc w:val="both"/>
        <w:rPr>
          <w:i/>
        </w:rPr>
      </w:pPr>
      <w:r w:rsidRPr="00950F6F">
        <w:rPr>
          <w:i/>
        </w:rPr>
        <w:t>Ogłoszenia i komunikaty dotyczące zamówienia znajdują się na stronie internetowej Zamawiającego:</w:t>
      </w:r>
    </w:p>
    <w:p w14:paraId="761AAE79" w14:textId="77777777" w:rsidR="00950F6F" w:rsidRPr="00950F6F" w:rsidRDefault="00950F6F" w:rsidP="0044582F">
      <w:pPr>
        <w:spacing w:before="120" w:after="0"/>
        <w:jc w:val="both"/>
        <w:rPr>
          <w:i/>
        </w:rPr>
      </w:pPr>
      <w:r w:rsidRPr="00950F6F">
        <w:rPr>
          <w:i/>
        </w:rPr>
        <w:t>http://bip.pfron.org.pl/</w:t>
      </w:r>
    </w:p>
    <w:p w14:paraId="572E1172" w14:textId="12F017BD" w:rsidR="008C37D6" w:rsidRDefault="008C37D6" w:rsidP="0044582F">
      <w:pPr>
        <w:pStyle w:val="Nagwek1"/>
        <w:spacing w:before="120" w:after="0" w:line="276" w:lineRule="auto"/>
      </w:pPr>
      <w:r w:rsidRPr="008C37D6">
        <w:t>ZAMAWIAJĄCY</w:t>
      </w:r>
    </w:p>
    <w:p w14:paraId="6BDA686F" w14:textId="77777777" w:rsidR="00950F6F" w:rsidRDefault="00950F6F" w:rsidP="0044582F">
      <w:pPr>
        <w:spacing w:before="120" w:after="0"/>
        <w:jc w:val="both"/>
      </w:pPr>
      <w:r>
        <w:t>Państwowy Fundusz Rehabilitacji Osób Niepełnosprawnych</w:t>
      </w:r>
    </w:p>
    <w:p w14:paraId="5B88C497" w14:textId="77777777" w:rsidR="00950F6F" w:rsidRDefault="00950F6F" w:rsidP="0044582F">
      <w:pPr>
        <w:spacing w:before="120" w:after="0"/>
        <w:jc w:val="both"/>
      </w:pPr>
      <w:r>
        <w:t>00-828 Warszawa</w:t>
      </w:r>
    </w:p>
    <w:p w14:paraId="4D6ADDC7" w14:textId="77777777" w:rsidR="00950F6F" w:rsidRDefault="00950F6F" w:rsidP="0044582F">
      <w:pPr>
        <w:spacing w:before="120" w:after="0"/>
        <w:jc w:val="both"/>
      </w:pPr>
      <w:r>
        <w:t>Al. Jana Pawła II 13</w:t>
      </w:r>
    </w:p>
    <w:p w14:paraId="5F30D646" w14:textId="77777777" w:rsidR="00950F6F" w:rsidRDefault="00950F6F" w:rsidP="0044582F">
      <w:pPr>
        <w:spacing w:before="120" w:after="0"/>
        <w:jc w:val="both"/>
      </w:pPr>
      <w:r>
        <w:t>Tel. (22) 50-55-500</w:t>
      </w:r>
    </w:p>
    <w:p w14:paraId="39FAA23F" w14:textId="1CDC9210" w:rsidR="004A2105" w:rsidRDefault="00950F6F" w:rsidP="0044582F">
      <w:pPr>
        <w:spacing w:before="120" w:after="0"/>
        <w:jc w:val="both"/>
      </w:pPr>
      <w:r>
        <w:t xml:space="preserve">Adres strony internetowej: </w:t>
      </w:r>
      <w:hyperlink r:id="rId9" w:history="1">
        <w:r w:rsidR="00F92BDF" w:rsidRPr="00345CAB">
          <w:rPr>
            <w:rStyle w:val="Hipercze"/>
          </w:rPr>
          <w:t>www.pfron.org.pl</w:t>
        </w:r>
      </w:hyperlink>
      <w:r>
        <w:t>.</w:t>
      </w:r>
    </w:p>
    <w:p w14:paraId="63FE616B" w14:textId="77777777" w:rsidR="00C7691A" w:rsidRDefault="00C7691A" w:rsidP="0044582F">
      <w:pPr>
        <w:spacing w:before="120" w:after="0"/>
        <w:jc w:val="both"/>
      </w:pPr>
    </w:p>
    <w:p w14:paraId="54DC24B6" w14:textId="7229BFE5" w:rsidR="00F92BDF" w:rsidRPr="008C37D6" w:rsidRDefault="00F92BDF" w:rsidP="0044582F">
      <w:pPr>
        <w:pStyle w:val="Nagwek1"/>
        <w:spacing w:before="120" w:after="0" w:line="276" w:lineRule="auto"/>
      </w:pPr>
      <w:r w:rsidRPr="00132E7F">
        <w:t>PRZEDMIOT</w:t>
      </w:r>
      <w:r w:rsidRPr="008C37D6">
        <w:t xml:space="preserve"> ZAMÓWIENIA</w:t>
      </w:r>
    </w:p>
    <w:p w14:paraId="39A0F619" w14:textId="0FDBA424" w:rsidR="004A2105" w:rsidRPr="0044582F" w:rsidRDefault="000C3B25" w:rsidP="00AC048D">
      <w:pPr>
        <w:pStyle w:val="Akapitzlist"/>
        <w:numPr>
          <w:ilvl w:val="0"/>
          <w:numId w:val="11"/>
        </w:numPr>
        <w:tabs>
          <w:tab w:val="left" w:pos="742"/>
        </w:tabs>
        <w:spacing w:before="120" w:after="0"/>
        <w:ind w:left="714" w:hanging="357"/>
        <w:contextualSpacing w:val="0"/>
        <w:jc w:val="both"/>
        <w:rPr>
          <w:rFonts w:asciiTheme="minorHAnsi" w:hAnsiTheme="minorHAnsi" w:cs="Calibri"/>
          <w:color w:val="000000"/>
        </w:rPr>
      </w:pPr>
      <w:r w:rsidRPr="0044582F">
        <w:rPr>
          <w:rFonts w:cs="Calibri"/>
          <w:color w:val="000000"/>
        </w:rPr>
        <w:t xml:space="preserve">Przedmiotem zamówienia jest usługa tłumaczenia pisemnego z języka niemieckiego na język polski oraz z języka polskiego na język niemiecki dokumentów dotyczących problematyki rehabilitacji i aktywizacji zawodowej osób niepełnosprawnych, w </w:t>
      </w:r>
      <w:r w:rsidR="004A2105" w:rsidRPr="0044582F">
        <w:rPr>
          <w:rFonts w:cs="Calibri"/>
          <w:color w:val="000000"/>
        </w:rPr>
        <w:t>związku z realizacją projektu „</w:t>
      </w:r>
      <w:r w:rsidR="0049115C" w:rsidRPr="0044582F">
        <w:rPr>
          <w:rFonts w:cs="Calibri"/>
          <w:color w:val="000000"/>
        </w:rPr>
        <w:t xml:space="preserve">Wdrożenie nowego modelu kształcenia specjalistów </w:t>
      </w:r>
      <w:r w:rsidR="0049115C" w:rsidRPr="0044582F">
        <w:rPr>
          <w:rFonts w:asciiTheme="minorHAnsi" w:hAnsiTheme="minorHAnsi" w:cs="Calibri"/>
          <w:color w:val="000000"/>
        </w:rPr>
        <w:t>ds. zarządzania rehabilitacją - jako element systemu kompleksowej rehabilitacji w Polsce</w:t>
      </w:r>
      <w:r w:rsidR="004A2105" w:rsidRPr="0044582F">
        <w:rPr>
          <w:rFonts w:asciiTheme="minorHAnsi" w:hAnsiTheme="minorHAnsi" w:cs="Calibri"/>
          <w:color w:val="000000"/>
        </w:rPr>
        <w:t xml:space="preserve">”, realizowanego w ramach Programu Operacyjnego Wiedza Edukacja Rozwój, </w:t>
      </w:r>
      <w:r w:rsidR="0049115C" w:rsidRPr="0044582F">
        <w:rPr>
          <w:rFonts w:asciiTheme="minorHAnsi" w:hAnsiTheme="minorHAnsi" w:cs="Calibri"/>
          <w:color w:val="000000"/>
        </w:rPr>
        <w:t xml:space="preserve">Działanie 4.3, </w:t>
      </w:r>
      <w:r w:rsidR="004A2105" w:rsidRPr="0044582F">
        <w:rPr>
          <w:rFonts w:asciiTheme="minorHAnsi" w:hAnsiTheme="minorHAnsi" w:cs="Calibri"/>
          <w:color w:val="000000"/>
        </w:rPr>
        <w:t xml:space="preserve">współfinansowanego ze środków Europejskiego Funduszu Społecznego. </w:t>
      </w:r>
    </w:p>
    <w:p w14:paraId="3D959B79" w14:textId="77777777" w:rsidR="0044582F" w:rsidRPr="0044582F" w:rsidRDefault="0044582F" w:rsidP="00AC048D">
      <w:pPr>
        <w:pStyle w:val="Akapitzlist"/>
        <w:numPr>
          <w:ilvl w:val="0"/>
          <w:numId w:val="11"/>
        </w:numPr>
        <w:tabs>
          <w:tab w:val="left" w:pos="742"/>
        </w:tabs>
        <w:spacing w:before="120" w:after="0"/>
        <w:ind w:left="714" w:hanging="357"/>
        <w:contextualSpacing w:val="0"/>
        <w:jc w:val="both"/>
        <w:rPr>
          <w:rFonts w:cs="Calibri"/>
          <w:color w:val="000000"/>
        </w:rPr>
      </w:pPr>
      <w:r w:rsidRPr="0044582F">
        <w:rPr>
          <w:rFonts w:cs="Calibri"/>
        </w:rPr>
        <w:t xml:space="preserve">Kod CPV: </w:t>
      </w:r>
      <w:r w:rsidRPr="0044582F">
        <w:rPr>
          <w:rFonts w:cs="Tahoma"/>
        </w:rPr>
        <w:t>79530000-8 usługi w zakresie tłumaczeń pisemnych</w:t>
      </w:r>
      <w:r w:rsidRPr="0044582F">
        <w:rPr>
          <w:rFonts w:cs="Calibri"/>
        </w:rPr>
        <w:t xml:space="preserve">. </w:t>
      </w:r>
    </w:p>
    <w:p w14:paraId="100F61E8" w14:textId="1648393D" w:rsidR="000C3B25" w:rsidRPr="0044582F" w:rsidRDefault="000C3B25" w:rsidP="00AC048D">
      <w:pPr>
        <w:pStyle w:val="Akapitzlist"/>
        <w:numPr>
          <w:ilvl w:val="0"/>
          <w:numId w:val="11"/>
        </w:numPr>
        <w:tabs>
          <w:tab w:val="left" w:pos="742"/>
        </w:tabs>
        <w:spacing w:before="120" w:after="0"/>
        <w:contextualSpacing w:val="0"/>
        <w:jc w:val="both"/>
        <w:rPr>
          <w:rFonts w:cs="Calibri"/>
          <w:color w:val="000000"/>
        </w:rPr>
      </w:pPr>
      <w:r w:rsidRPr="0044582F">
        <w:rPr>
          <w:rFonts w:cs="Calibri"/>
          <w:color w:val="000000"/>
        </w:rPr>
        <w:lastRenderedPageBreak/>
        <w:t>Łącznie usługa obej</w:t>
      </w:r>
      <w:r w:rsidR="00E35A09">
        <w:rPr>
          <w:rFonts w:cs="Calibri"/>
          <w:color w:val="000000"/>
        </w:rPr>
        <w:t>mie tłumaczenie nie więcej niż 10</w:t>
      </w:r>
      <w:r w:rsidRPr="0044582F">
        <w:rPr>
          <w:rFonts w:cs="Calibri"/>
          <w:color w:val="000000"/>
        </w:rPr>
        <w:t xml:space="preserve">00 stron </w:t>
      </w:r>
      <w:r w:rsidR="0044582F">
        <w:rPr>
          <w:rFonts w:cs="Calibri"/>
          <w:color w:val="000000"/>
        </w:rPr>
        <w:t xml:space="preserve">rozliczeniowych </w:t>
      </w:r>
      <w:r w:rsidRPr="0044582F">
        <w:rPr>
          <w:rFonts w:cs="Calibri"/>
          <w:color w:val="000000"/>
        </w:rPr>
        <w:t>tekstu</w:t>
      </w:r>
      <w:r w:rsidR="0044582F">
        <w:rPr>
          <w:rFonts w:cs="Calibri"/>
          <w:color w:val="000000"/>
        </w:rPr>
        <w:t xml:space="preserve"> (1800 znaków </w:t>
      </w:r>
      <w:r w:rsidR="00A2533C">
        <w:rPr>
          <w:rFonts w:cs="Calibri"/>
          <w:color w:val="000000"/>
        </w:rPr>
        <w:t xml:space="preserve">ze spacjami </w:t>
      </w:r>
      <w:r w:rsidR="0044582F">
        <w:rPr>
          <w:rFonts w:cs="Calibri"/>
          <w:color w:val="000000"/>
        </w:rPr>
        <w:t>na stronę)</w:t>
      </w:r>
      <w:r w:rsidR="00E35A09">
        <w:rPr>
          <w:rFonts w:cs="Calibri"/>
          <w:color w:val="000000"/>
        </w:rPr>
        <w:t>, w tym 500 stron z języka niemieckiego na polski oraz 500 stron z języka polskiego na niemiecki. Zamawiający zastrzega sobie prawo do zmiany liczby stron podlegających tłumaczeniu z danego języka na drugi język, przy zachowaniu ogólnej maksymalnej liczby stron podlegających tłumaczeniu.</w:t>
      </w:r>
    </w:p>
    <w:p w14:paraId="6776540A" w14:textId="334FEAB1" w:rsidR="000C3B25" w:rsidRPr="00A2533C" w:rsidRDefault="000C3B25" w:rsidP="00A2533C">
      <w:pPr>
        <w:pStyle w:val="Akapitzlist"/>
        <w:numPr>
          <w:ilvl w:val="0"/>
          <w:numId w:val="11"/>
        </w:numPr>
        <w:tabs>
          <w:tab w:val="left" w:pos="742"/>
        </w:tabs>
        <w:spacing w:before="120" w:after="0"/>
        <w:contextualSpacing w:val="0"/>
        <w:jc w:val="both"/>
        <w:rPr>
          <w:rFonts w:cs="Calibri"/>
          <w:color w:val="000000"/>
        </w:rPr>
      </w:pPr>
      <w:r w:rsidRPr="00A2533C">
        <w:rPr>
          <w:rFonts w:cs="Calibri"/>
          <w:color w:val="000000"/>
        </w:rPr>
        <w:t xml:space="preserve">Usługa będzie wykonywana od dnia podpisania umowy </w:t>
      </w:r>
      <w:r w:rsidR="00A2533C" w:rsidRPr="00A2533C">
        <w:rPr>
          <w:rFonts w:cs="Calibri"/>
          <w:color w:val="000000"/>
        </w:rPr>
        <w:t>do wyczerpania środków finansowych przeznaczonych na wykonanie umowy</w:t>
      </w:r>
      <w:r w:rsidR="00A2533C">
        <w:rPr>
          <w:rFonts w:cs="Calibri"/>
          <w:color w:val="000000"/>
        </w:rPr>
        <w:t xml:space="preserve">, jednak nie dłużej niż </w:t>
      </w:r>
      <w:r w:rsidRPr="00A2533C">
        <w:rPr>
          <w:rFonts w:cs="Calibri"/>
          <w:color w:val="000000"/>
        </w:rPr>
        <w:t xml:space="preserve">do dnia 31 </w:t>
      </w:r>
      <w:r w:rsidR="00004A82">
        <w:rPr>
          <w:rFonts w:cs="Calibri"/>
          <w:color w:val="000000"/>
        </w:rPr>
        <w:t xml:space="preserve">sierpnia </w:t>
      </w:r>
      <w:r w:rsidRPr="00A2533C">
        <w:rPr>
          <w:rFonts w:cs="Calibri"/>
          <w:color w:val="000000"/>
        </w:rPr>
        <w:t>2018 r.</w:t>
      </w:r>
    </w:p>
    <w:p w14:paraId="31EE6AEB" w14:textId="1D64C7F5" w:rsidR="0044582F" w:rsidRPr="005245B2" w:rsidRDefault="0044582F" w:rsidP="005245B2">
      <w:pPr>
        <w:pStyle w:val="Akapitzlist"/>
        <w:numPr>
          <w:ilvl w:val="0"/>
          <w:numId w:val="11"/>
        </w:numPr>
        <w:tabs>
          <w:tab w:val="left" w:pos="742"/>
        </w:tabs>
        <w:spacing w:before="120" w:after="0"/>
        <w:contextualSpacing w:val="0"/>
        <w:jc w:val="both"/>
        <w:rPr>
          <w:rFonts w:cs="Calibri"/>
          <w:color w:val="000000"/>
        </w:rPr>
      </w:pPr>
      <w:r w:rsidRPr="005245B2">
        <w:rPr>
          <w:rFonts w:cs="Calibri"/>
          <w:color w:val="000000"/>
        </w:rPr>
        <w:t xml:space="preserve">Zamawiający oczekuje wykonywania tłumaczenia </w:t>
      </w:r>
      <w:r w:rsidR="00C7691A" w:rsidRPr="005245B2">
        <w:rPr>
          <w:rFonts w:cs="Calibri"/>
          <w:color w:val="000000"/>
        </w:rPr>
        <w:t xml:space="preserve">co najmniej </w:t>
      </w:r>
      <w:r w:rsidR="005245B2">
        <w:rPr>
          <w:rFonts w:cs="Calibri"/>
          <w:color w:val="000000"/>
        </w:rPr>
        <w:t xml:space="preserve">ośmiu </w:t>
      </w:r>
      <w:r w:rsidR="00C7691A" w:rsidRPr="005245B2">
        <w:rPr>
          <w:rFonts w:cs="Calibri"/>
          <w:color w:val="000000"/>
        </w:rPr>
        <w:t>stron rozliczeniowych dziennie; termin wykonania liczony</w:t>
      </w:r>
      <w:r w:rsidRPr="005245B2">
        <w:rPr>
          <w:rFonts w:cs="Calibri"/>
          <w:color w:val="000000"/>
        </w:rPr>
        <w:t xml:space="preserve"> </w:t>
      </w:r>
      <w:r w:rsidR="00C7691A" w:rsidRPr="005245B2">
        <w:rPr>
          <w:rFonts w:cs="Calibri"/>
          <w:color w:val="000000"/>
        </w:rPr>
        <w:t xml:space="preserve">w dniach roboczych, </w:t>
      </w:r>
      <w:r w:rsidRPr="005245B2">
        <w:rPr>
          <w:rFonts w:cs="Calibri"/>
          <w:color w:val="000000"/>
        </w:rPr>
        <w:t xml:space="preserve">od pełnej godziny następującej po momencie wysłania </w:t>
      </w:r>
      <w:r w:rsidR="00E35A09" w:rsidRPr="005245B2">
        <w:rPr>
          <w:rFonts w:cs="Calibri"/>
          <w:color w:val="000000"/>
        </w:rPr>
        <w:t xml:space="preserve">przez Zamawiającego </w:t>
      </w:r>
      <w:r w:rsidRPr="005245B2">
        <w:rPr>
          <w:rFonts w:cs="Calibri"/>
          <w:color w:val="000000"/>
        </w:rPr>
        <w:t>zamówienia</w:t>
      </w:r>
      <w:r w:rsidR="00C7691A" w:rsidRPr="005245B2">
        <w:rPr>
          <w:rFonts w:cs="Calibri"/>
          <w:color w:val="000000"/>
        </w:rPr>
        <w:t xml:space="preserve"> oraz tekstu do tłumaczenia w formie elektronicznej na adres Wykonawcy wskazany w ofercie</w:t>
      </w:r>
      <w:r w:rsidRPr="005245B2">
        <w:rPr>
          <w:rFonts w:cs="Calibri"/>
          <w:color w:val="000000"/>
        </w:rPr>
        <w:t>.</w:t>
      </w:r>
    </w:p>
    <w:p w14:paraId="2EA16B53" w14:textId="05E832A5" w:rsidR="0044582F" w:rsidRPr="005245B2" w:rsidRDefault="005245B2" w:rsidP="005245B2">
      <w:pPr>
        <w:spacing w:before="120" w:after="0"/>
        <w:ind w:left="708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Zamawiający zastrzega sobie prawo do zlecania części tłumaczeń </w:t>
      </w:r>
      <w:r w:rsidR="00F11B90">
        <w:rPr>
          <w:rFonts w:cs="Calibri"/>
          <w:color w:val="000000"/>
        </w:rPr>
        <w:t xml:space="preserve">w ramach umowy </w:t>
      </w:r>
      <w:r>
        <w:rPr>
          <w:rFonts w:cs="Calibri"/>
          <w:color w:val="000000"/>
        </w:rPr>
        <w:t xml:space="preserve">w trybie </w:t>
      </w:r>
      <w:r w:rsidR="00F11B90">
        <w:rPr>
          <w:rFonts w:cs="Calibri"/>
          <w:color w:val="000000"/>
        </w:rPr>
        <w:t xml:space="preserve">przyspieszonym lub ekspresowym, zgodnie z aktualną ofertą Wykonawcy w odniesieniu do takich tłumaczeń. </w:t>
      </w:r>
    </w:p>
    <w:p w14:paraId="19800F6A" w14:textId="32E688EB" w:rsidR="004A2105" w:rsidRPr="000C3B25" w:rsidRDefault="004A2105" w:rsidP="0044582F">
      <w:pPr>
        <w:spacing w:before="120" w:after="0"/>
        <w:jc w:val="both"/>
        <w:rPr>
          <w:rFonts w:cs="Calibri"/>
        </w:rPr>
      </w:pPr>
    </w:p>
    <w:p w14:paraId="49D192F0" w14:textId="58136DFC" w:rsidR="004A2105" w:rsidRPr="00F92BDF" w:rsidRDefault="00F92BDF" w:rsidP="0044582F">
      <w:pPr>
        <w:pStyle w:val="Nagwek1"/>
        <w:spacing w:before="120" w:after="0" w:line="276" w:lineRule="auto"/>
        <w:rPr>
          <w:rFonts w:cs="Calibri"/>
        </w:rPr>
      </w:pPr>
      <w:r w:rsidRPr="00F92BDF">
        <w:t>WARUNKI UDZIAŁU W POSTĘPOWANIU</w:t>
      </w:r>
    </w:p>
    <w:p w14:paraId="07FEE36C" w14:textId="77777777" w:rsidR="004A2105" w:rsidRPr="00950F6F" w:rsidRDefault="004A2105" w:rsidP="0044582F">
      <w:pPr>
        <w:spacing w:before="120" w:after="0"/>
        <w:jc w:val="both"/>
        <w:rPr>
          <w:rFonts w:cs="Calibri"/>
          <w:color w:val="000000"/>
        </w:rPr>
      </w:pPr>
      <w:r w:rsidRPr="00950F6F">
        <w:rPr>
          <w:rFonts w:cs="Calibri"/>
          <w:color w:val="000000"/>
        </w:rPr>
        <w:t>O udzielenie zamówienia mogą ubiegać się wykonawcy, którzy wykażą, iż:</w:t>
      </w:r>
    </w:p>
    <w:p w14:paraId="19603352" w14:textId="72C2F88B" w:rsidR="00E35A09" w:rsidRPr="00E35A09" w:rsidRDefault="004A2105" w:rsidP="00AC048D">
      <w:pPr>
        <w:pStyle w:val="Akapitzlist"/>
        <w:numPr>
          <w:ilvl w:val="0"/>
          <w:numId w:val="9"/>
        </w:numPr>
        <w:spacing w:before="120" w:after="0"/>
        <w:contextualSpacing w:val="0"/>
        <w:jc w:val="both"/>
        <w:rPr>
          <w:rFonts w:cs="Calibri"/>
          <w:color w:val="000000"/>
        </w:rPr>
      </w:pPr>
      <w:r w:rsidRPr="006D6D74">
        <w:rPr>
          <w:rFonts w:cs="Calibri"/>
          <w:color w:val="000000"/>
        </w:rPr>
        <w:t xml:space="preserve">W okresie ostatnich </w:t>
      </w:r>
      <w:r w:rsidR="00E35A09">
        <w:rPr>
          <w:rFonts w:cs="Calibri"/>
          <w:color w:val="000000"/>
        </w:rPr>
        <w:t>trzech</w:t>
      </w:r>
      <w:r w:rsidRPr="006D6D74">
        <w:rPr>
          <w:rFonts w:cs="Calibri"/>
          <w:color w:val="000000"/>
        </w:rPr>
        <w:t xml:space="preserve"> lat przed upływem terminu składania ofert, a jeżeli okres prowadzenia działalności jest krótszy – w tym okresie, </w:t>
      </w:r>
      <w:r w:rsidR="00E35A09">
        <w:rPr>
          <w:rFonts w:cs="Calibri"/>
          <w:color w:val="000000"/>
        </w:rPr>
        <w:t xml:space="preserve">wykonali należycie co najmniej </w:t>
      </w:r>
      <w:r w:rsidR="00004A82">
        <w:rPr>
          <w:rFonts w:cs="Calibri"/>
          <w:color w:val="000000"/>
        </w:rPr>
        <w:t xml:space="preserve">trzy </w:t>
      </w:r>
      <w:r w:rsidR="005245B2">
        <w:rPr>
          <w:rFonts w:cs="Calibri"/>
          <w:color w:val="000000"/>
        </w:rPr>
        <w:t>usług</w:t>
      </w:r>
      <w:r w:rsidR="00004A82">
        <w:rPr>
          <w:rFonts w:cs="Calibri"/>
          <w:color w:val="000000"/>
        </w:rPr>
        <w:t>i</w:t>
      </w:r>
      <w:r w:rsidR="00E35A09">
        <w:rPr>
          <w:rFonts w:cs="Calibri"/>
          <w:color w:val="000000"/>
        </w:rPr>
        <w:t xml:space="preserve"> w zakresie tłumaczeń pisemnych z </w:t>
      </w:r>
      <w:r w:rsidR="00A2533C">
        <w:rPr>
          <w:rFonts w:cs="Calibri"/>
          <w:color w:val="000000"/>
        </w:rPr>
        <w:t xml:space="preserve">języka niemieckiego na język polski oraz/lub z języka polskiego na </w:t>
      </w:r>
      <w:r w:rsidR="00E35A09">
        <w:rPr>
          <w:rFonts w:cs="Calibri"/>
          <w:color w:val="000000"/>
        </w:rPr>
        <w:t xml:space="preserve">język niemiecki, </w:t>
      </w:r>
      <w:r w:rsidR="00A2533C">
        <w:rPr>
          <w:rFonts w:cs="Calibri"/>
          <w:color w:val="000000"/>
        </w:rPr>
        <w:t xml:space="preserve">o wartości co najmniej 10 000 zł brutto każda. </w:t>
      </w:r>
      <w:r w:rsidR="00E35A09">
        <w:rPr>
          <w:rFonts w:cs="Calibri"/>
          <w:color w:val="000000"/>
        </w:rPr>
        <w:t xml:space="preserve">W przypadku usług, których świadczenie nie zostało zakończone, </w:t>
      </w:r>
      <w:r w:rsidR="00FB5B03">
        <w:rPr>
          <w:rFonts w:cs="Calibri"/>
          <w:color w:val="000000"/>
        </w:rPr>
        <w:t>warunek zostanie uznany za spełniony w przypadku wykonania tłumacze</w:t>
      </w:r>
      <w:r w:rsidR="00A2533C">
        <w:rPr>
          <w:rFonts w:cs="Calibri"/>
          <w:color w:val="000000"/>
        </w:rPr>
        <w:t xml:space="preserve">ń o wartości co najmniej 10 000 zł brutto </w:t>
      </w:r>
      <w:r w:rsidR="00FB5B03">
        <w:rPr>
          <w:rFonts w:cs="Calibri"/>
          <w:color w:val="000000"/>
        </w:rPr>
        <w:t>do dnia złożenia oferty.</w:t>
      </w:r>
    </w:p>
    <w:p w14:paraId="358BE80F" w14:textId="55FAEE71" w:rsidR="00F92BDF" w:rsidRPr="00E35A09" w:rsidRDefault="004A2105" w:rsidP="00E35A09">
      <w:pPr>
        <w:spacing w:before="120" w:after="0"/>
        <w:ind w:left="708"/>
        <w:jc w:val="both"/>
        <w:rPr>
          <w:rFonts w:cs="Calibri"/>
          <w:color w:val="000000"/>
        </w:rPr>
      </w:pPr>
      <w:r w:rsidRPr="00E35A09">
        <w:rPr>
          <w:rFonts w:cs="Calibri"/>
          <w:color w:val="000000"/>
        </w:rPr>
        <w:t>Na potrzeby oceny przez Zamawiającego spełnienia warunku udziału w postępowaniu Wykonawca zobowiązany jest do złożenia wraz z o</w:t>
      </w:r>
      <w:r w:rsidR="009310D7" w:rsidRPr="00E35A09">
        <w:rPr>
          <w:rFonts w:cs="Calibri"/>
          <w:color w:val="000000"/>
        </w:rPr>
        <w:t xml:space="preserve">fertą Załącznika nr </w:t>
      </w:r>
      <w:r w:rsidR="00E440A5" w:rsidRPr="00E35A09">
        <w:rPr>
          <w:rFonts w:cs="Calibri"/>
          <w:color w:val="000000"/>
        </w:rPr>
        <w:t>2</w:t>
      </w:r>
      <w:r w:rsidR="009310D7" w:rsidRPr="00E35A09">
        <w:rPr>
          <w:rFonts w:cs="Calibri"/>
          <w:color w:val="000000"/>
        </w:rPr>
        <w:t xml:space="preserve"> do </w:t>
      </w:r>
      <w:r w:rsidRPr="00E35A09">
        <w:rPr>
          <w:rFonts w:cs="Calibri"/>
          <w:color w:val="000000"/>
        </w:rPr>
        <w:t>zapytania ofertowego</w:t>
      </w:r>
      <w:r w:rsidR="009310D7" w:rsidRPr="00E35A09">
        <w:rPr>
          <w:rFonts w:cs="Calibri"/>
          <w:color w:val="000000"/>
        </w:rPr>
        <w:t xml:space="preserve"> nr </w:t>
      </w:r>
      <w:r w:rsidR="006E4858">
        <w:rPr>
          <w:rFonts w:cs="Calibri"/>
          <w:color w:val="000000"/>
        </w:rPr>
        <w:t>3</w:t>
      </w:r>
      <w:r w:rsidR="00E440A5" w:rsidRPr="00E35A09">
        <w:rPr>
          <w:rFonts w:cs="Calibri"/>
          <w:color w:val="000000"/>
        </w:rPr>
        <w:t>/SP/2017</w:t>
      </w:r>
      <w:r w:rsidRPr="00E35A09">
        <w:rPr>
          <w:rFonts w:cs="Calibri"/>
          <w:color w:val="000000"/>
        </w:rPr>
        <w:t xml:space="preserve"> – Wykazu zrealizowanych usług wraz z podaniem przedmiotu usługi</w:t>
      </w:r>
      <w:r w:rsidR="00FB5B03">
        <w:rPr>
          <w:rFonts w:cs="Calibri"/>
          <w:color w:val="000000"/>
        </w:rPr>
        <w:t xml:space="preserve">, </w:t>
      </w:r>
      <w:r w:rsidR="008550F5">
        <w:rPr>
          <w:rFonts w:cs="Calibri"/>
          <w:color w:val="000000"/>
        </w:rPr>
        <w:t xml:space="preserve">wartości usługi, </w:t>
      </w:r>
      <w:r w:rsidRPr="00E35A09">
        <w:rPr>
          <w:rFonts w:cs="Calibri"/>
          <w:color w:val="000000"/>
        </w:rPr>
        <w:t>dat wykonania i podmiotów, na rzecz których usługi zostały wykonane</w:t>
      </w:r>
      <w:r w:rsidR="00FB5B03">
        <w:rPr>
          <w:rFonts w:cs="Calibri"/>
          <w:color w:val="000000"/>
        </w:rPr>
        <w:t xml:space="preserve"> lub są wykonywane</w:t>
      </w:r>
      <w:r w:rsidRPr="00E35A09">
        <w:rPr>
          <w:rFonts w:cs="Calibri"/>
          <w:color w:val="000000"/>
        </w:rPr>
        <w:t>, oraz załączeniem dowodów określających</w:t>
      </w:r>
      <w:r w:rsidR="00E35A09">
        <w:rPr>
          <w:rFonts w:cs="Calibri"/>
          <w:color w:val="000000"/>
        </w:rPr>
        <w:t>,</w:t>
      </w:r>
      <w:r w:rsidRPr="00E35A09">
        <w:rPr>
          <w:rFonts w:cs="Calibri"/>
          <w:color w:val="000000"/>
        </w:rPr>
        <w:t xml:space="preserve"> czy te usługi zostały wykonane lub są wykonywane należycie. Dowodami, o których mowa, są </w:t>
      </w:r>
      <w:r w:rsidR="00FB5B03">
        <w:rPr>
          <w:rFonts w:cs="Calibri"/>
          <w:color w:val="000000"/>
        </w:rPr>
        <w:t>protokoły</w:t>
      </w:r>
      <w:r w:rsidR="00A2533C">
        <w:rPr>
          <w:rFonts w:cs="Calibri"/>
          <w:color w:val="000000"/>
        </w:rPr>
        <w:t xml:space="preserve"> odbioru</w:t>
      </w:r>
      <w:r w:rsidR="00FB5B03">
        <w:rPr>
          <w:rFonts w:cs="Calibri"/>
          <w:color w:val="000000"/>
        </w:rPr>
        <w:t xml:space="preserve">, </w:t>
      </w:r>
      <w:r w:rsidRPr="00E35A09">
        <w:rPr>
          <w:rFonts w:cs="Calibri"/>
          <w:color w:val="000000"/>
        </w:rPr>
        <w:t xml:space="preserve">referencje bądź inne dokumenty wystawione przez podmiot, na rzecz </w:t>
      </w:r>
      <w:r w:rsidR="00E440A5" w:rsidRPr="00E35A09">
        <w:rPr>
          <w:rFonts w:cs="Calibri"/>
          <w:color w:val="000000"/>
        </w:rPr>
        <w:t xml:space="preserve">którego usługi były wykonywane </w:t>
      </w:r>
      <w:r w:rsidRPr="00E35A09">
        <w:rPr>
          <w:rFonts w:cs="Calibri"/>
          <w:color w:val="000000"/>
        </w:rPr>
        <w:t>lub są wykonywane.</w:t>
      </w:r>
    </w:p>
    <w:p w14:paraId="3D4DB6C0" w14:textId="37EB9CBD" w:rsidR="00FB5B03" w:rsidRDefault="00FB5B03" w:rsidP="00AC048D">
      <w:pPr>
        <w:pStyle w:val="Akapitzlist"/>
        <w:numPr>
          <w:ilvl w:val="0"/>
          <w:numId w:val="9"/>
        </w:numPr>
        <w:spacing w:before="120" w:after="0"/>
        <w:contextualSpacing w:val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Wyznaczą do wykonywania zamówienia co najmniej dwóch tłumaczy dysponujących </w:t>
      </w:r>
      <w:r w:rsidR="006E4858">
        <w:rPr>
          <w:rFonts w:cs="Calibri"/>
          <w:color w:val="000000"/>
        </w:rPr>
        <w:t xml:space="preserve">następującymi </w:t>
      </w:r>
      <w:r>
        <w:rPr>
          <w:rFonts w:cs="Calibri"/>
          <w:color w:val="000000"/>
        </w:rPr>
        <w:t>kwalifikacjami i doświadczeniem</w:t>
      </w:r>
      <w:r w:rsidR="006E4858">
        <w:rPr>
          <w:rFonts w:cs="Calibri"/>
          <w:color w:val="000000"/>
        </w:rPr>
        <w:t xml:space="preserve"> zawodowym</w:t>
      </w:r>
      <w:r>
        <w:rPr>
          <w:rFonts w:cs="Calibri"/>
          <w:color w:val="000000"/>
        </w:rPr>
        <w:t xml:space="preserve">: ukończone studia filologiczne </w:t>
      </w:r>
      <w:r w:rsidR="007D45BC">
        <w:rPr>
          <w:rFonts w:cs="Calibri"/>
          <w:color w:val="000000"/>
        </w:rPr>
        <w:t xml:space="preserve">w zakresie filologii niemieckiej </w:t>
      </w:r>
      <w:r w:rsidR="007D45BC" w:rsidRPr="007D45BC">
        <w:rPr>
          <w:rFonts w:cs="Calibri"/>
          <w:color w:val="000000"/>
        </w:rPr>
        <w:t xml:space="preserve">lub </w:t>
      </w:r>
      <w:r w:rsidR="006E4858">
        <w:rPr>
          <w:rFonts w:cs="Calibri"/>
          <w:color w:val="000000"/>
        </w:rPr>
        <w:t xml:space="preserve">studia </w:t>
      </w:r>
      <w:r w:rsidR="007D45BC">
        <w:rPr>
          <w:rFonts w:cs="Calibri"/>
          <w:color w:val="000000"/>
        </w:rPr>
        <w:t>kształc</w:t>
      </w:r>
      <w:r w:rsidR="006E4858">
        <w:rPr>
          <w:rFonts w:cs="Calibri"/>
          <w:color w:val="000000"/>
        </w:rPr>
        <w:t>ące</w:t>
      </w:r>
      <w:r w:rsidR="007D45BC" w:rsidRPr="007D45BC">
        <w:rPr>
          <w:rFonts w:cs="Calibri"/>
          <w:color w:val="000000"/>
        </w:rPr>
        <w:t xml:space="preserve"> tłumaczy</w:t>
      </w:r>
      <w:r w:rsidR="007D45BC">
        <w:rPr>
          <w:rFonts w:cs="Calibri"/>
          <w:color w:val="000000"/>
        </w:rPr>
        <w:t xml:space="preserve"> języka niemieckiego</w:t>
      </w:r>
      <w:r w:rsidR="007D45BC" w:rsidRPr="007D45BC">
        <w:rPr>
          <w:rFonts w:cs="Calibri"/>
          <w:color w:val="000000"/>
        </w:rPr>
        <w:t xml:space="preserve"> (tytuł </w:t>
      </w:r>
      <w:r w:rsidR="007D45BC">
        <w:rPr>
          <w:rFonts w:cs="Calibri"/>
          <w:color w:val="000000"/>
        </w:rPr>
        <w:t xml:space="preserve">magister lub równoważny) </w:t>
      </w:r>
      <w:r w:rsidR="00F11B90">
        <w:rPr>
          <w:rFonts w:cs="Calibri"/>
          <w:color w:val="000000"/>
        </w:rPr>
        <w:t xml:space="preserve">albo wpis na listę tłumaczy przysięgłych języka niemieckiego </w:t>
      </w:r>
      <w:r w:rsidR="007D45BC">
        <w:rPr>
          <w:rFonts w:cs="Calibri"/>
          <w:color w:val="000000"/>
        </w:rPr>
        <w:t xml:space="preserve">oraz co najmniej </w:t>
      </w:r>
      <w:r w:rsidR="005245B2">
        <w:rPr>
          <w:rFonts w:cs="Calibri"/>
          <w:color w:val="000000"/>
        </w:rPr>
        <w:t>pięć lat</w:t>
      </w:r>
      <w:r w:rsidR="007D45BC">
        <w:rPr>
          <w:rFonts w:cs="Calibri"/>
          <w:color w:val="000000"/>
        </w:rPr>
        <w:t xml:space="preserve"> doświadczenia zawodowego jako tłumacz języka niemieckiego.</w:t>
      </w:r>
    </w:p>
    <w:p w14:paraId="25841A27" w14:textId="34DD81AD" w:rsidR="00FB5B03" w:rsidRDefault="007D45BC" w:rsidP="00FB5B03">
      <w:pPr>
        <w:spacing w:before="120" w:after="0"/>
        <w:ind w:left="708"/>
        <w:jc w:val="both"/>
        <w:rPr>
          <w:rFonts w:cs="Calibri"/>
          <w:color w:val="000000"/>
        </w:rPr>
      </w:pPr>
      <w:r w:rsidRPr="007D45BC">
        <w:rPr>
          <w:rFonts w:cs="Calibri"/>
          <w:color w:val="000000"/>
        </w:rPr>
        <w:lastRenderedPageBreak/>
        <w:t>Na potrzeby oceny przez Zamawiającego spełnienia warunku udziału w postępowaniu Wykonawca zobowiązany jest do złożen</w:t>
      </w:r>
      <w:r>
        <w:rPr>
          <w:rFonts w:cs="Calibri"/>
          <w:color w:val="000000"/>
        </w:rPr>
        <w:t>ia wraz z ofertą Załącznika nr 3</w:t>
      </w:r>
      <w:r w:rsidRPr="007D45BC">
        <w:rPr>
          <w:rFonts w:cs="Calibri"/>
          <w:color w:val="000000"/>
        </w:rPr>
        <w:t xml:space="preserve"> do zapytania ofertowego nr </w:t>
      </w:r>
      <w:r w:rsidR="006E4858">
        <w:rPr>
          <w:rFonts w:cs="Calibri"/>
          <w:color w:val="000000"/>
        </w:rPr>
        <w:t>3</w:t>
      </w:r>
      <w:r w:rsidRPr="007D45BC">
        <w:rPr>
          <w:rFonts w:cs="Calibri"/>
          <w:color w:val="000000"/>
        </w:rPr>
        <w:t xml:space="preserve">/SP/2017 – Wykazu </w:t>
      </w:r>
      <w:r>
        <w:rPr>
          <w:rFonts w:cs="Calibri"/>
          <w:color w:val="000000"/>
        </w:rPr>
        <w:t xml:space="preserve">personelu </w:t>
      </w:r>
      <w:r w:rsidRPr="007D45BC">
        <w:rPr>
          <w:rFonts w:cs="Calibri"/>
          <w:color w:val="000000"/>
        </w:rPr>
        <w:t xml:space="preserve">wraz z podaniem </w:t>
      </w:r>
      <w:r>
        <w:rPr>
          <w:rFonts w:cs="Calibri"/>
          <w:color w:val="000000"/>
        </w:rPr>
        <w:t>kwalifikacji zawodowych oraz doświadczenia zawodowego</w:t>
      </w:r>
      <w:r w:rsidR="00F11B90">
        <w:rPr>
          <w:rFonts w:cs="Calibri"/>
          <w:color w:val="000000"/>
        </w:rPr>
        <w:t xml:space="preserve"> proponowanych do wykonania zamówienia tłumaczy</w:t>
      </w:r>
      <w:r w:rsidRPr="007D45BC">
        <w:rPr>
          <w:rFonts w:cs="Calibri"/>
          <w:color w:val="000000"/>
        </w:rPr>
        <w:t>.</w:t>
      </w:r>
    </w:p>
    <w:p w14:paraId="450F9583" w14:textId="77777777" w:rsidR="007D45BC" w:rsidRPr="00FB5B03" w:rsidRDefault="007D45BC" w:rsidP="00FB5B03">
      <w:pPr>
        <w:spacing w:before="120" w:after="0"/>
        <w:ind w:left="708"/>
        <w:jc w:val="both"/>
        <w:rPr>
          <w:rFonts w:cs="Calibri"/>
          <w:color w:val="000000"/>
        </w:rPr>
      </w:pPr>
    </w:p>
    <w:p w14:paraId="3D632D3B" w14:textId="37A27B73" w:rsidR="004A2105" w:rsidRPr="00F92BDF" w:rsidRDefault="00F92BDF" w:rsidP="0044582F">
      <w:pPr>
        <w:pStyle w:val="Nagwek1"/>
        <w:spacing w:before="120" w:after="0" w:line="276" w:lineRule="auto"/>
        <w:rPr>
          <w:rFonts w:cs="Calibri"/>
        </w:rPr>
      </w:pPr>
      <w:r w:rsidRPr="00F92BDF">
        <w:t>WYKAZ OŚWIADCZEŃ LUB DOKUMENTÓW, SKŁADANYCH PRZEZ WYKONAWCĘ W POSTĘPOWANIU</w:t>
      </w:r>
    </w:p>
    <w:p w14:paraId="20CAF55F" w14:textId="77777777" w:rsidR="004A2105" w:rsidRDefault="004A2105" w:rsidP="00AC048D">
      <w:pPr>
        <w:pStyle w:val="Akapitzlist"/>
        <w:numPr>
          <w:ilvl w:val="0"/>
          <w:numId w:val="2"/>
        </w:numPr>
        <w:spacing w:before="120" w:after="0"/>
        <w:ind w:left="426"/>
        <w:contextualSpacing w:val="0"/>
        <w:jc w:val="both"/>
        <w:rPr>
          <w:rFonts w:asciiTheme="minorHAnsi" w:hAnsiTheme="minorHAnsi" w:cs="Calibri"/>
          <w:color w:val="000000"/>
        </w:rPr>
      </w:pPr>
      <w:r w:rsidRPr="00950F6F">
        <w:rPr>
          <w:rFonts w:asciiTheme="minorHAnsi" w:hAnsiTheme="minorHAnsi" w:cs="Calibri"/>
          <w:color w:val="000000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ustawy, wystawiony nie później niż </w:t>
      </w:r>
      <w:r w:rsidRPr="00950F6F">
        <w:rPr>
          <w:rFonts w:asciiTheme="minorHAnsi" w:hAnsiTheme="minorHAnsi" w:cs="Calibri"/>
          <w:color w:val="000000"/>
        </w:rPr>
        <w:br/>
      </w:r>
      <w:r w:rsidRPr="007A3E5D">
        <w:rPr>
          <w:rFonts w:asciiTheme="minorHAnsi" w:hAnsiTheme="minorHAnsi" w:cs="Calibri"/>
          <w:color w:val="000000"/>
        </w:rPr>
        <w:t>6 miesięcy przed terminem złożenia ofert.</w:t>
      </w:r>
    </w:p>
    <w:p w14:paraId="2533F52F" w14:textId="77777777" w:rsidR="004A2105" w:rsidRPr="007A3E5D" w:rsidRDefault="004A2105" w:rsidP="00AC048D">
      <w:pPr>
        <w:pStyle w:val="Akapitzlist"/>
        <w:numPr>
          <w:ilvl w:val="0"/>
          <w:numId w:val="2"/>
        </w:numPr>
        <w:spacing w:before="120" w:after="0"/>
        <w:ind w:left="426"/>
        <w:contextualSpacing w:val="0"/>
        <w:jc w:val="both"/>
        <w:rPr>
          <w:rFonts w:asciiTheme="minorHAnsi" w:hAnsiTheme="minorHAnsi" w:cs="Calibri"/>
          <w:color w:val="000000"/>
        </w:rPr>
      </w:pPr>
      <w:r w:rsidRPr="007A3E5D">
        <w:rPr>
          <w:rFonts w:asciiTheme="minorHAnsi" w:hAnsiTheme="minorHAnsi" w:cs="Calibri"/>
          <w:color w:val="000000"/>
        </w:rPr>
        <w:t xml:space="preserve">Z udziału w postępowaniu wykluczone są podmioty powiązane osobowo i kapitałowo </w:t>
      </w:r>
      <w:r w:rsidRPr="007A3E5D">
        <w:rPr>
          <w:rFonts w:asciiTheme="minorHAnsi" w:hAnsiTheme="minorHAnsi" w:cs="Calibri"/>
          <w:color w:val="000000"/>
        </w:rPr>
        <w:br/>
        <w:t xml:space="preserve">z Zamawiającym. 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 w:rsidRPr="007A3E5D">
        <w:rPr>
          <w:rFonts w:asciiTheme="minorHAnsi" w:hAnsiTheme="minorHAnsi" w:cs="Calibri"/>
          <w:color w:val="000000"/>
        </w:rPr>
        <w:br/>
        <w:t>z przygotowaniem i przeprowadzaniem procedury wyboru Wykonawcy, a Wykonawcą, polegające w szczególności na:</w:t>
      </w:r>
    </w:p>
    <w:p w14:paraId="5551E457" w14:textId="77777777" w:rsidR="004A2105" w:rsidRPr="007A3E5D" w:rsidRDefault="004A2105" w:rsidP="00AC048D">
      <w:pPr>
        <w:pStyle w:val="Akapitzlist"/>
        <w:numPr>
          <w:ilvl w:val="0"/>
          <w:numId w:val="5"/>
        </w:numPr>
        <w:spacing w:before="120" w:after="0"/>
        <w:contextualSpacing w:val="0"/>
        <w:jc w:val="both"/>
        <w:rPr>
          <w:rFonts w:asciiTheme="minorHAnsi" w:hAnsiTheme="minorHAnsi" w:cs="Calibri"/>
          <w:color w:val="000000"/>
        </w:rPr>
      </w:pPr>
      <w:r w:rsidRPr="007A3E5D">
        <w:rPr>
          <w:rFonts w:asciiTheme="minorHAnsi" w:hAnsiTheme="minorHAnsi" w:cs="Calibri"/>
          <w:color w:val="000000"/>
        </w:rPr>
        <w:t>uczestniczeniu w spółce, jako wspólnik spółki cywilnej lub spółki osobowej,</w:t>
      </w:r>
    </w:p>
    <w:p w14:paraId="41B1B665" w14:textId="77777777" w:rsidR="004A2105" w:rsidRPr="007A3E5D" w:rsidRDefault="004A2105" w:rsidP="00AC048D">
      <w:pPr>
        <w:pStyle w:val="Akapitzlist"/>
        <w:numPr>
          <w:ilvl w:val="0"/>
          <w:numId w:val="5"/>
        </w:numPr>
        <w:spacing w:before="120" w:after="0"/>
        <w:contextualSpacing w:val="0"/>
        <w:jc w:val="both"/>
        <w:rPr>
          <w:rFonts w:asciiTheme="minorHAnsi" w:hAnsiTheme="minorHAnsi" w:cs="Calibri"/>
          <w:color w:val="000000"/>
        </w:rPr>
      </w:pPr>
      <w:r w:rsidRPr="007A3E5D">
        <w:rPr>
          <w:rFonts w:asciiTheme="minorHAnsi" w:hAnsiTheme="minorHAnsi" w:cs="Calibri"/>
          <w:color w:val="000000"/>
        </w:rPr>
        <w:t>posiadaniu co najmniej 10% udziałów lub akcji,</w:t>
      </w:r>
    </w:p>
    <w:p w14:paraId="59AF23E5" w14:textId="77777777" w:rsidR="004A2105" w:rsidRPr="007A3E5D" w:rsidRDefault="004A2105" w:rsidP="00AC048D">
      <w:pPr>
        <w:pStyle w:val="Akapitzlist"/>
        <w:numPr>
          <w:ilvl w:val="0"/>
          <w:numId w:val="5"/>
        </w:numPr>
        <w:spacing w:before="120" w:after="0"/>
        <w:contextualSpacing w:val="0"/>
        <w:jc w:val="both"/>
        <w:rPr>
          <w:rFonts w:asciiTheme="minorHAnsi" w:hAnsiTheme="minorHAnsi" w:cs="Calibri"/>
          <w:color w:val="000000"/>
        </w:rPr>
      </w:pPr>
      <w:r w:rsidRPr="007A3E5D">
        <w:rPr>
          <w:rFonts w:asciiTheme="minorHAnsi" w:hAnsiTheme="minorHAnsi" w:cs="Calibri"/>
          <w:color w:val="000000"/>
        </w:rPr>
        <w:t>pełnieniu funkcji członka organu nadzorczego lub zarządzającego, prokurenta, pełnomocnika,</w:t>
      </w:r>
    </w:p>
    <w:p w14:paraId="2F00F4EA" w14:textId="77777777" w:rsidR="004A2105" w:rsidRPr="007A3E5D" w:rsidRDefault="004A2105" w:rsidP="00AC048D">
      <w:pPr>
        <w:pStyle w:val="Akapitzlist"/>
        <w:numPr>
          <w:ilvl w:val="0"/>
          <w:numId w:val="5"/>
        </w:numPr>
        <w:spacing w:before="120" w:after="0"/>
        <w:contextualSpacing w:val="0"/>
        <w:jc w:val="both"/>
        <w:rPr>
          <w:rFonts w:asciiTheme="minorHAnsi" w:hAnsiTheme="minorHAnsi" w:cs="Calibri"/>
          <w:color w:val="000000"/>
        </w:rPr>
      </w:pPr>
      <w:r w:rsidRPr="007A3E5D">
        <w:rPr>
          <w:rFonts w:asciiTheme="minorHAnsi" w:hAnsiTheme="minorHAnsi" w:cs="Calibri"/>
          <w:color w:val="00000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DAE299A" w14:textId="597C3894" w:rsidR="004A2105" w:rsidRDefault="004A2105" w:rsidP="0044582F">
      <w:pPr>
        <w:spacing w:before="120" w:after="0"/>
        <w:jc w:val="both"/>
        <w:rPr>
          <w:rFonts w:cs="Calibri"/>
          <w:color w:val="000000"/>
        </w:rPr>
      </w:pPr>
      <w:r w:rsidRPr="00950F6F">
        <w:rPr>
          <w:rFonts w:cs="Calibri"/>
          <w:color w:val="000000"/>
        </w:rPr>
        <w:t xml:space="preserve">W celu </w:t>
      </w:r>
      <w:r w:rsidR="007D45BC">
        <w:rPr>
          <w:rFonts w:cs="Calibri"/>
          <w:color w:val="000000"/>
        </w:rPr>
        <w:t xml:space="preserve">wykazania, że nie podlega wykluczeniu z ww. przyczyn, </w:t>
      </w:r>
      <w:r w:rsidRPr="00950F6F">
        <w:rPr>
          <w:rFonts w:cs="Calibri"/>
          <w:color w:val="000000"/>
        </w:rPr>
        <w:t>Wykonawca zobowiązany jest do wypełnienia i złożenia wraz z ofer</w:t>
      </w:r>
      <w:r w:rsidR="007D45BC">
        <w:rPr>
          <w:rFonts w:cs="Calibri"/>
          <w:color w:val="000000"/>
        </w:rPr>
        <w:t>tą Załącznika nr4</w:t>
      </w:r>
      <w:r w:rsidR="001361F0">
        <w:rPr>
          <w:rFonts w:cs="Calibri"/>
          <w:color w:val="000000"/>
        </w:rPr>
        <w:t xml:space="preserve"> </w:t>
      </w:r>
      <w:r w:rsidR="004526DC" w:rsidRPr="00950F6F">
        <w:rPr>
          <w:rFonts w:cs="Calibri"/>
          <w:color w:val="000000"/>
        </w:rPr>
        <w:t xml:space="preserve">do Zapytania ofertowego nr </w:t>
      </w:r>
      <w:r w:rsidR="006E4858">
        <w:rPr>
          <w:rFonts w:cs="Calibri"/>
          <w:color w:val="000000"/>
        </w:rPr>
        <w:t>3</w:t>
      </w:r>
      <w:r w:rsidR="00E440A5">
        <w:rPr>
          <w:rFonts w:cs="Calibri"/>
          <w:color w:val="000000"/>
        </w:rPr>
        <w:t>/SP/2017</w:t>
      </w:r>
      <w:r w:rsidRPr="00950F6F">
        <w:rPr>
          <w:rFonts w:cs="Calibri"/>
          <w:color w:val="000000"/>
        </w:rPr>
        <w:t>.</w:t>
      </w:r>
    </w:p>
    <w:p w14:paraId="7C31456E" w14:textId="77777777" w:rsidR="007D45BC" w:rsidRDefault="007D45BC" w:rsidP="0044582F">
      <w:pPr>
        <w:spacing w:before="120" w:after="0"/>
        <w:jc w:val="both"/>
        <w:rPr>
          <w:rFonts w:cs="Calibri"/>
          <w:color w:val="000000"/>
        </w:rPr>
      </w:pPr>
    </w:p>
    <w:p w14:paraId="5B0ACE64" w14:textId="5C3998F9" w:rsidR="00F92BDF" w:rsidRPr="00F92BDF" w:rsidRDefault="00F92BDF" w:rsidP="0044582F">
      <w:pPr>
        <w:pStyle w:val="Nagwek1"/>
        <w:spacing w:before="120" w:after="0" w:line="276" w:lineRule="auto"/>
        <w:rPr>
          <w:rFonts w:cs="Calibri"/>
        </w:rPr>
      </w:pPr>
      <w:r w:rsidRPr="00F92BDF">
        <w:t>SPOSÓB PRZYGOTOWANIA OFERTY</w:t>
      </w:r>
    </w:p>
    <w:p w14:paraId="7124C1F3" w14:textId="77777777" w:rsidR="004A2105" w:rsidRPr="00950F6F" w:rsidRDefault="004A2105" w:rsidP="0044582F">
      <w:pPr>
        <w:spacing w:before="120" w:after="0"/>
        <w:jc w:val="both"/>
        <w:rPr>
          <w:rFonts w:cs="Calibri"/>
          <w:color w:val="000000"/>
        </w:rPr>
      </w:pPr>
      <w:r w:rsidRPr="00950F6F">
        <w:rPr>
          <w:rFonts w:cs="Calibri"/>
          <w:color w:val="000000"/>
        </w:rPr>
        <w:t>Kompletna oferta powinna zawierać następujące elementy:</w:t>
      </w:r>
    </w:p>
    <w:p w14:paraId="2A3168C3" w14:textId="0D9371AA" w:rsidR="004A2105" w:rsidRPr="00E97005" w:rsidRDefault="004526DC" w:rsidP="00AC048D">
      <w:pPr>
        <w:pStyle w:val="Akapitzlist"/>
        <w:numPr>
          <w:ilvl w:val="0"/>
          <w:numId w:val="10"/>
        </w:numPr>
        <w:spacing w:before="120" w:after="0"/>
        <w:ind w:left="426"/>
        <w:contextualSpacing w:val="0"/>
        <w:jc w:val="both"/>
        <w:rPr>
          <w:rFonts w:cs="Calibri"/>
          <w:color w:val="000000"/>
        </w:rPr>
      </w:pPr>
      <w:r w:rsidRPr="00E97005">
        <w:rPr>
          <w:rFonts w:cs="Calibri"/>
          <w:color w:val="000000"/>
        </w:rPr>
        <w:t xml:space="preserve">Formularz oferty – Załącznik nr </w:t>
      </w:r>
      <w:r w:rsidR="00E440A5">
        <w:rPr>
          <w:rFonts w:cs="Calibri"/>
          <w:color w:val="000000"/>
        </w:rPr>
        <w:t>1</w:t>
      </w:r>
      <w:r w:rsidRPr="00E97005">
        <w:rPr>
          <w:rFonts w:cs="Calibri"/>
          <w:color w:val="000000"/>
        </w:rPr>
        <w:t xml:space="preserve"> do zapytania ofertowego nr </w:t>
      </w:r>
      <w:r w:rsidR="007D45BC">
        <w:rPr>
          <w:rFonts w:cs="Calibri"/>
          <w:color w:val="000000"/>
        </w:rPr>
        <w:t xml:space="preserve"> </w:t>
      </w:r>
      <w:r w:rsidR="006E4858">
        <w:rPr>
          <w:rFonts w:cs="Calibri"/>
          <w:color w:val="000000"/>
        </w:rPr>
        <w:t>3</w:t>
      </w:r>
      <w:r w:rsidR="00E440A5">
        <w:rPr>
          <w:rFonts w:cs="Calibri"/>
          <w:color w:val="000000"/>
        </w:rPr>
        <w:t>/SP/2017</w:t>
      </w:r>
    </w:p>
    <w:p w14:paraId="639DDA99" w14:textId="780EBC38" w:rsidR="007D45BC" w:rsidRPr="007D45BC" w:rsidRDefault="004A2105" w:rsidP="00AC048D">
      <w:pPr>
        <w:pStyle w:val="Akapitzlist"/>
        <w:numPr>
          <w:ilvl w:val="0"/>
          <w:numId w:val="10"/>
        </w:numPr>
        <w:spacing w:before="120" w:after="0"/>
        <w:ind w:left="426"/>
        <w:contextualSpacing w:val="0"/>
        <w:jc w:val="both"/>
        <w:rPr>
          <w:rFonts w:cs="Calibri"/>
          <w:color w:val="000000"/>
        </w:rPr>
      </w:pPr>
      <w:r w:rsidRPr="00E97005">
        <w:rPr>
          <w:rFonts w:cs="Calibri"/>
          <w:color w:val="000000"/>
        </w:rPr>
        <w:t xml:space="preserve">Wykaz zrealizowanych usług – </w:t>
      </w:r>
      <w:r w:rsidR="004526DC" w:rsidRPr="00E97005">
        <w:rPr>
          <w:rFonts w:cs="Calibri"/>
          <w:color w:val="000000"/>
        </w:rPr>
        <w:t xml:space="preserve">Załącznik nr </w:t>
      </w:r>
      <w:r w:rsidR="00E440A5">
        <w:rPr>
          <w:rFonts w:cs="Calibri"/>
          <w:color w:val="000000"/>
        </w:rPr>
        <w:t>2</w:t>
      </w:r>
      <w:r w:rsidR="004526DC" w:rsidRPr="00E97005">
        <w:rPr>
          <w:rFonts w:cs="Calibri"/>
          <w:color w:val="000000"/>
        </w:rPr>
        <w:t xml:space="preserve"> do zapytania ofertowego nr </w:t>
      </w:r>
      <w:r w:rsidR="006E4858">
        <w:rPr>
          <w:rFonts w:cs="Calibri"/>
          <w:color w:val="000000"/>
        </w:rPr>
        <w:t>3</w:t>
      </w:r>
      <w:r w:rsidR="00E440A5">
        <w:rPr>
          <w:rFonts w:cs="Calibri"/>
          <w:color w:val="000000"/>
        </w:rPr>
        <w:t>/SP/2017</w:t>
      </w:r>
    </w:p>
    <w:p w14:paraId="729D67A0" w14:textId="042FFB9C" w:rsidR="007D45BC" w:rsidRDefault="007D45BC" w:rsidP="00AC048D">
      <w:pPr>
        <w:pStyle w:val="Akapitzlist"/>
        <w:numPr>
          <w:ilvl w:val="0"/>
          <w:numId w:val="10"/>
        </w:numPr>
        <w:spacing w:before="120" w:after="0"/>
        <w:ind w:left="426"/>
        <w:contextualSpacing w:val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Wykaz </w:t>
      </w:r>
      <w:r w:rsidRPr="007D45BC">
        <w:rPr>
          <w:rFonts w:cs="Calibri"/>
          <w:color w:val="000000"/>
        </w:rPr>
        <w:t>personelu - Załącznik n</w:t>
      </w:r>
      <w:r w:rsidR="006E4858">
        <w:rPr>
          <w:rFonts w:cs="Calibri"/>
          <w:color w:val="000000"/>
        </w:rPr>
        <w:t>r 3 do zapytania ofertowego nr 3</w:t>
      </w:r>
      <w:r w:rsidRPr="007D45BC">
        <w:rPr>
          <w:rFonts w:cs="Calibri"/>
          <w:color w:val="000000"/>
        </w:rPr>
        <w:t>/SP/2017</w:t>
      </w:r>
    </w:p>
    <w:p w14:paraId="66C00425" w14:textId="4C57A387" w:rsidR="004A2105" w:rsidRPr="00E97005" w:rsidRDefault="004526DC" w:rsidP="00AC048D">
      <w:pPr>
        <w:pStyle w:val="Akapitzlist"/>
        <w:numPr>
          <w:ilvl w:val="0"/>
          <w:numId w:val="10"/>
        </w:numPr>
        <w:spacing w:before="120" w:after="0"/>
        <w:ind w:left="426"/>
        <w:contextualSpacing w:val="0"/>
        <w:jc w:val="both"/>
        <w:rPr>
          <w:rFonts w:cs="Calibri"/>
          <w:color w:val="000000"/>
        </w:rPr>
      </w:pPr>
      <w:r w:rsidRPr="00E97005">
        <w:rPr>
          <w:rFonts w:cs="Calibri"/>
          <w:color w:val="000000"/>
        </w:rPr>
        <w:t xml:space="preserve">Oświadczenie o braku powiązań - Załącznik nr </w:t>
      </w:r>
      <w:r w:rsidR="007D45BC">
        <w:rPr>
          <w:rFonts w:cs="Calibri"/>
          <w:color w:val="000000"/>
        </w:rPr>
        <w:t>4</w:t>
      </w:r>
      <w:r w:rsidR="001361F0">
        <w:rPr>
          <w:rFonts w:cs="Calibri"/>
          <w:color w:val="000000"/>
        </w:rPr>
        <w:t xml:space="preserve"> </w:t>
      </w:r>
      <w:r w:rsidRPr="00E97005">
        <w:rPr>
          <w:rFonts w:cs="Calibri"/>
          <w:color w:val="000000"/>
        </w:rPr>
        <w:t xml:space="preserve">do zapytania ofertowego nr </w:t>
      </w:r>
      <w:r w:rsidR="006E4858">
        <w:rPr>
          <w:rFonts w:cs="Calibri"/>
          <w:color w:val="000000"/>
        </w:rPr>
        <w:t>3</w:t>
      </w:r>
      <w:r w:rsidR="00E440A5">
        <w:rPr>
          <w:rFonts w:cs="Calibri"/>
          <w:color w:val="000000"/>
        </w:rPr>
        <w:t>/SP/2017</w:t>
      </w:r>
    </w:p>
    <w:p w14:paraId="6F6BEFC2" w14:textId="175EA32D" w:rsidR="004A2105" w:rsidRPr="00E97005" w:rsidRDefault="004526DC" w:rsidP="00AC048D">
      <w:pPr>
        <w:pStyle w:val="Akapitzlist"/>
        <w:numPr>
          <w:ilvl w:val="0"/>
          <w:numId w:val="10"/>
        </w:numPr>
        <w:spacing w:before="120" w:after="0"/>
        <w:ind w:left="426"/>
        <w:contextualSpacing w:val="0"/>
        <w:jc w:val="both"/>
        <w:rPr>
          <w:rFonts w:cs="Calibri"/>
          <w:color w:val="000000"/>
        </w:rPr>
      </w:pPr>
      <w:r w:rsidRPr="00E97005">
        <w:rPr>
          <w:rFonts w:cs="Calibri"/>
          <w:color w:val="000000"/>
        </w:rPr>
        <w:t>Odpis z właściwego rejestru</w:t>
      </w:r>
    </w:p>
    <w:p w14:paraId="1AD9CA08" w14:textId="7B7AA7E6" w:rsidR="004A2105" w:rsidRPr="00E97005" w:rsidRDefault="004526DC" w:rsidP="00AC048D">
      <w:pPr>
        <w:pStyle w:val="Akapitzlist"/>
        <w:numPr>
          <w:ilvl w:val="0"/>
          <w:numId w:val="10"/>
        </w:numPr>
        <w:spacing w:before="120" w:after="0"/>
        <w:ind w:left="426"/>
        <w:contextualSpacing w:val="0"/>
        <w:jc w:val="both"/>
        <w:rPr>
          <w:rFonts w:cs="Calibri"/>
          <w:color w:val="000000"/>
        </w:rPr>
      </w:pPr>
      <w:r w:rsidRPr="00E97005">
        <w:rPr>
          <w:rFonts w:cs="Calibri"/>
          <w:color w:val="000000"/>
        </w:rPr>
        <w:t>Inne dokumenty kluczowe dla postępowania (np.: referencje, oświadczenia itp.)</w:t>
      </w:r>
    </w:p>
    <w:p w14:paraId="0D240501" w14:textId="6C8E366B" w:rsidR="004A2105" w:rsidRDefault="004A2105" w:rsidP="006E4858">
      <w:pPr>
        <w:spacing w:before="120" w:after="0"/>
        <w:jc w:val="both"/>
        <w:rPr>
          <w:rFonts w:cs="Calibri"/>
          <w:color w:val="000000"/>
        </w:rPr>
      </w:pPr>
      <w:r w:rsidRPr="006E4858">
        <w:rPr>
          <w:rFonts w:cs="Calibri"/>
          <w:color w:val="000000"/>
        </w:rPr>
        <w:lastRenderedPageBreak/>
        <w:t>Oferty niekompletne nie będą podlegały ocenie przez Zamawiającego.</w:t>
      </w:r>
    </w:p>
    <w:p w14:paraId="35ECABAC" w14:textId="77777777" w:rsidR="006E4858" w:rsidRPr="006E4858" w:rsidRDefault="006E4858" w:rsidP="006E4858">
      <w:pPr>
        <w:spacing w:before="120" w:after="0"/>
        <w:jc w:val="both"/>
        <w:rPr>
          <w:rFonts w:cs="Calibri"/>
          <w:color w:val="000000"/>
        </w:rPr>
      </w:pPr>
    </w:p>
    <w:p w14:paraId="7C9D4F96" w14:textId="5D1DF718" w:rsidR="00333AC9" w:rsidRPr="007D13F2" w:rsidRDefault="007D13F2" w:rsidP="0044582F">
      <w:pPr>
        <w:pStyle w:val="Nagwek1"/>
        <w:spacing w:before="120" w:after="0" w:line="276" w:lineRule="auto"/>
        <w:rPr>
          <w:rFonts w:cs="Calibri"/>
        </w:rPr>
      </w:pPr>
      <w:r w:rsidRPr="007D13F2">
        <w:t>DODATKOWE INFORMACJE</w:t>
      </w:r>
    </w:p>
    <w:p w14:paraId="4541F65D" w14:textId="77777777" w:rsidR="004A2105" w:rsidRPr="00950F6F" w:rsidRDefault="004A2105" w:rsidP="00AC048D">
      <w:pPr>
        <w:pStyle w:val="Akapitzlist"/>
        <w:numPr>
          <w:ilvl w:val="0"/>
          <w:numId w:val="3"/>
        </w:numPr>
        <w:spacing w:before="120" w:after="0"/>
        <w:ind w:left="426"/>
        <w:contextualSpacing w:val="0"/>
        <w:jc w:val="both"/>
        <w:rPr>
          <w:rFonts w:asciiTheme="minorHAnsi" w:hAnsiTheme="minorHAnsi" w:cs="Calibri"/>
          <w:color w:val="000000"/>
        </w:rPr>
      </w:pPr>
      <w:r w:rsidRPr="00950F6F">
        <w:rPr>
          <w:rFonts w:asciiTheme="minorHAnsi" w:hAnsiTheme="minorHAnsi" w:cs="Calibri"/>
          <w:color w:val="000000"/>
        </w:rPr>
        <w:t xml:space="preserve">Wykonawca może złożyć jedną ofertę. Złożenie więcej niż jednej oferty spowoduje odrzucenie wszystkich ofert złożonych przez Wykonawcę. </w:t>
      </w:r>
    </w:p>
    <w:p w14:paraId="0E952561" w14:textId="77777777" w:rsidR="004A2105" w:rsidRPr="00950F6F" w:rsidRDefault="004A2105" w:rsidP="00AC048D">
      <w:pPr>
        <w:pStyle w:val="Akapitzlist"/>
        <w:numPr>
          <w:ilvl w:val="0"/>
          <w:numId w:val="3"/>
        </w:numPr>
        <w:spacing w:before="120" w:after="0"/>
        <w:ind w:left="426"/>
        <w:contextualSpacing w:val="0"/>
        <w:jc w:val="both"/>
        <w:rPr>
          <w:rFonts w:asciiTheme="minorHAnsi" w:hAnsiTheme="minorHAnsi" w:cs="Calibri"/>
          <w:color w:val="000000"/>
        </w:rPr>
      </w:pPr>
      <w:r w:rsidRPr="00950F6F">
        <w:rPr>
          <w:rFonts w:asciiTheme="minorHAnsi" w:hAnsiTheme="minorHAnsi" w:cs="Calibri"/>
          <w:color w:val="000000"/>
        </w:rPr>
        <w:t>Zamawiający nie dopuszcza możliwości składania ofert częściowych.</w:t>
      </w:r>
    </w:p>
    <w:p w14:paraId="0AC7BAAE" w14:textId="77777777" w:rsidR="004A2105" w:rsidRPr="00950F6F" w:rsidRDefault="004A2105" w:rsidP="00AC048D">
      <w:pPr>
        <w:pStyle w:val="Akapitzlist"/>
        <w:numPr>
          <w:ilvl w:val="0"/>
          <w:numId w:val="3"/>
        </w:numPr>
        <w:spacing w:before="120" w:after="0"/>
        <w:ind w:left="426"/>
        <w:contextualSpacing w:val="0"/>
        <w:jc w:val="both"/>
        <w:rPr>
          <w:rFonts w:asciiTheme="minorHAnsi" w:hAnsiTheme="minorHAnsi" w:cs="Calibri"/>
          <w:color w:val="000000"/>
        </w:rPr>
      </w:pPr>
      <w:r w:rsidRPr="00950F6F">
        <w:rPr>
          <w:rFonts w:asciiTheme="minorHAnsi" w:hAnsiTheme="minorHAnsi" w:cs="Calibri"/>
          <w:color w:val="000000"/>
        </w:rPr>
        <w:t>Zamawiający nie dopuszcza możliwości złożenia oferty wariantowej.</w:t>
      </w:r>
    </w:p>
    <w:p w14:paraId="2B5160C8" w14:textId="336298D5" w:rsidR="004A2105" w:rsidRPr="00950F6F" w:rsidRDefault="004A2105" w:rsidP="00AC048D">
      <w:pPr>
        <w:pStyle w:val="Akapitzlist"/>
        <w:numPr>
          <w:ilvl w:val="0"/>
          <w:numId w:val="3"/>
        </w:numPr>
        <w:spacing w:before="120" w:after="0"/>
        <w:ind w:left="426"/>
        <w:contextualSpacing w:val="0"/>
        <w:jc w:val="both"/>
        <w:rPr>
          <w:rFonts w:asciiTheme="minorHAnsi" w:hAnsiTheme="minorHAnsi" w:cs="Calibri"/>
          <w:color w:val="000000"/>
        </w:rPr>
      </w:pPr>
      <w:r w:rsidRPr="00950F6F">
        <w:rPr>
          <w:rFonts w:asciiTheme="minorHAnsi" w:hAnsiTheme="minorHAnsi" w:cs="Calibri"/>
          <w:color w:val="000000"/>
        </w:rPr>
        <w:t>Oferta musi być sporządzona z zachowaniem formy pisemnej pod rygorem nieważności.</w:t>
      </w:r>
    </w:p>
    <w:p w14:paraId="6BFA9BA4" w14:textId="77777777" w:rsidR="004A2105" w:rsidRPr="00950F6F" w:rsidRDefault="004A2105" w:rsidP="00AC048D">
      <w:pPr>
        <w:pStyle w:val="Akapitzlist"/>
        <w:numPr>
          <w:ilvl w:val="0"/>
          <w:numId w:val="3"/>
        </w:numPr>
        <w:spacing w:before="120" w:after="0"/>
        <w:ind w:left="426"/>
        <w:contextualSpacing w:val="0"/>
        <w:jc w:val="both"/>
        <w:rPr>
          <w:rFonts w:asciiTheme="minorHAnsi" w:hAnsiTheme="minorHAnsi" w:cs="Calibri"/>
          <w:color w:val="000000"/>
        </w:rPr>
      </w:pPr>
      <w:r w:rsidRPr="00950F6F">
        <w:rPr>
          <w:rFonts w:asciiTheme="minorHAnsi" w:hAnsiTheme="minorHAnsi" w:cs="Calibri"/>
          <w:color w:val="000000"/>
        </w:rPr>
        <w:t>Treść oferty musi być zgodna z treścią Zapytania ofertowego.</w:t>
      </w:r>
    </w:p>
    <w:p w14:paraId="0831CB42" w14:textId="11CCE6DC" w:rsidR="004A2105" w:rsidRDefault="006E4858" w:rsidP="00AC048D">
      <w:pPr>
        <w:pStyle w:val="Akapitzlist"/>
        <w:numPr>
          <w:ilvl w:val="0"/>
          <w:numId w:val="3"/>
        </w:numPr>
        <w:spacing w:before="120" w:after="0"/>
        <w:ind w:left="426"/>
        <w:contextualSpacing w:val="0"/>
        <w:jc w:val="both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>Oferta wraz z załącznikami</w:t>
      </w:r>
      <w:r w:rsidR="004A2105" w:rsidRPr="00950F6F">
        <w:rPr>
          <w:rFonts w:asciiTheme="minorHAnsi" w:hAnsiTheme="minorHAnsi" w:cs="Calibri"/>
          <w:color w:val="000000"/>
        </w:rPr>
        <w:t xml:space="preserve"> musi być sporządzona w sposób czytelny.</w:t>
      </w:r>
    </w:p>
    <w:p w14:paraId="6A3C7B4F" w14:textId="62A28DD0" w:rsidR="00F14486" w:rsidRPr="00950F6F" w:rsidRDefault="00F14486" w:rsidP="00AC048D">
      <w:pPr>
        <w:pStyle w:val="Akapitzlist"/>
        <w:numPr>
          <w:ilvl w:val="0"/>
          <w:numId w:val="3"/>
        </w:numPr>
        <w:spacing w:before="120" w:after="0"/>
        <w:ind w:left="426"/>
        <w:contextualSpacing w:val="0"/>
        <w:jc w:val="both"/>
        <w:rPr>
          <w:rFonts w:asciiTheme="minorHAnsi" w:hAnsiTheme="minorHAnsi" w:cs="Calibri"/>
          <w:color w:val="000000"/>
        </w:rPr>
      </w:pPr>
      <w:r w:rsidRPr="00F14486">
        <w:rPr>
          <w:rFonts w:asciiTheme="minorHAnsi" w:hAnsiTheme="minorHAnsi" w:cs="Calibri"/>
          <w:color w:val="000000"/>
        </w:rPr>
        <w:t>Złożona oferta musi uwzględniać wszystkie zobowiązania i obejmować wszystkie koszty i składniki związane z wykonywaniem zamówienia.</w:t>
      </w:r>
    </w:p>
    <w:p w14:paraId="794F4D02" w14:textId="33C1A5C3" w:rsidR="004A2105" w:rsidRPr="00950F6F" w:rsidRDefault="004A2105" w:rsidP="00AC048D">
      <w:pPr>
        <w:pStyle w:val="Akapitzlist"/>
        <w:numPr>
          <w:ilvl w:val="0"/>
          <w:numId w:val="3"/>
        </w:numPr>
        <w:spacing w:before="120" w:after="0"/>
        <w:ind w:left="426"/>
        <w:contextualSpacing w:val="0"/>
        <w:jc w:val="both"/>
        <w:rPr>
          <w:rFonts w:asciiTheme="minorHAnsi" w:hAnsiTheme="minorHAnsi" w:cs="Calibri"/>
          <w:color w:val="000000"/>
        </w:rPr>
      </w:pPr>
      <w:r w:rsidRPr="00950F6F">
        <w:rPr>
          <w:rFonts w:asciiTheme="minorHAnsi" w:hAnsiTheme="minorHAnsi" w:cs="Calibri"/>
          <w:color w:val="000000"/>
        </w:rPr>
        <w:t xml:space="preserve">Wszelkie zmiany naniesione przez Wykonawcę w treści oferty po jej sporządzeniu muszą być parafowane przez </w:t>
      </w:r>
      <w:r w:rsidR="00F14486">
        <w:rPr>
          <w:rFonts w:asciiTheme="minorHAnsi" w:hAnsiTheme="minorHAnsi" w:cs="Calibri"/>
          <w:color w:val="000000"/>
        </w:rPr>
        <w:t>W</w:t>
      </w:r>
      <w:r w:rsidRPr="00950F6F">
        <w:rPr>
          <w:rFonts w:asciiTheme="minorHAnsi" w:hAnsiTheme="minorHAnsi" w:cs="Calibri"/>
          <w:color w:val="000000"/>
        </w:rPr>
        <w:t>ykonawcę.</w:t>
      </w:r>
    </w:p>
    <w:p w14:paraId="724A421B" w14:textId="43912C70" w:rsidR="004A2105" w:rsidRPr="00950F6F" w:rsidRDefault="004A2105" w:rsidP="00AC048D">
      <w:pPr>
        <w:pStyle w:val="Akapitzlist"/>
        <w:numPr>
          <w:ilvl w:val="0"/>
          <w:numId w:val="3"/>
        </w:numPr>
        <w:spacing w:before="120" w:after="0"/>
        <w:ind w:left="426"/>
        <w:contextualSpacing w:val="0"/>
        <w:jc w:val="both"/>
        <w:rPr>
          <w:rFonts w:asciiTheme="minorHAnsi" w:hAnsiTheme="minorHAnsi" w:cs="Calibri"/>
          <w:color w:val="000000"/>
        </w:rPr>
      </w:pPr>
      <w:r w:rsidRPr="00950F6F">
        <w:rPr>
          <w:rFonts w:asciiTheme="minorHAnsi" w:hAnsiTheme="minorHAnsi" w:cs="Calibri"/>
          <w:color w:val="000000"/>
        </w:rPr>
        <w:t>Oferta musi być podpisana przez Wykonawcę, tj. osobę (osoby) reprezentującą wykonawcę, zgodnie z zasadami reprezentacji wskazanymi we właściwym rejestrze lub osobę (osoby) upoważnioną do reprezentowania Wykonawcy.</w:t>
      </w:r>
      <w:r w:rsidR="006E4858">
        <w:rPr>
          <w:rFonts w:asciiTheme="minorHAnsi" w:hAnsiTheme="minorHAnsi" w:cs="Calibri"/>
          <w:color w:val="000000"/>
        </w:rPr>
        <w:t xml:space="preserve"> Wymagany jest podpis czytelny lub podpis z pieczęcią imienną. </w:t>
      </w:r>
    </w:p>
    <w:p w14:paraId="25D6F3BB" w14:textId="77777777" w:rsidR="004A2105" w:rsidRPr="00950F6F" w:rsidRDefault="004A2105" w:rsidP="00AC048D">
      <w:pPr>
        <w:pStyle w:val="Akapitzlist"/>
        <w:numPr>
          <w:ilvl w:val="0"/>
          <w:numId w:val="3"/>
        </w:numPr>
        <w:spacing w:before="120" w:after="0"/>
        <w:ind w:left="426"/>
        <w:contextualSpacing w:val="0"/>
        <w:jc w:val="both"/>
        <w:rPr>
          <w:rFonts w:asciiTheme="minorHAnsi" w:hAnsiTheme="minorHAnsi" w:cs="Calibri"/>
          <w:color w:val="000000"/>
        </w:rPr>
      </w:pPr>
      <w:r w:rsidRPr="00950F6F">
        <w:rPr>
          <w:rFonts w:asciiTheme="minorHAnsi" w:hAnsiTheme="minorHAnsi" w:cs="Calibri"/>
          <w:color w:val="000000"/>
        </w:rPr>
        <w:t xml:space="preserve">Jeżeli osoba (osoby) podpisująca ofertę (reprezentująca wykonawcę) działa na podstawie pełnomocnictwa, pełnomocnictwo to, w formie oryginału lub kopii poświadczonej za zgodność </w:t>
      </w:r>
      <w:r w:rsidRPr="00950F6F">
        <w:rPr>
          <w:rFonts w:asciiTheme="minorHAnsi" w:hAnsiTheme="minorHAnsi" w:cs="Calibri"/>
          <w:color w:val="000000"/>
        </w:rPr>
        <w:br/>
        <w:t>z oryginałem, musi zostać dołączone do oferty.</w:t>
      </w:r>
    </w:p>
    <w:p w14:paraId="42511264" w14:textId="77777777" w:rsidR="004A2105" w:rsidRPr="00950F6F" w:rsidRDefault="004A2105" w:rsidP="00AC048D">
      <w:pPr>
        <w:pStyle w:val="Akapitzlist"/>
        <w:numPr>
          <w:ilvl w:val="0"/>
          <w:numId w:val="3"/>
        </w:numPr>
        <w:spacing w:before="120" w:after="0"/>
        <w:ind w:left="426"/>
        <w:contextualSpacing w:val="0"/>
        <w:jc w:val="both"/>
        <w:rPr>
          <w:rFonts w:asciiTheme="minorHAnsi" w:hAnsiTheme="minorHAnsi" w:cs="Calibri"/>
          <w:color w:val="000000"/>
        </w:rPr>
      </w:pPr>
      <w:r w:rsidRPr="00950F6F">
        <w:rPr>
          <w:rFonts w:asciiTheme="minorHAnsi" w:hAnsiTheme="minorHAnsi" w:cs="Calibri"/>
          <w:color w:val="000000"/>
        </w:rPr>
        <w:t>Oferta wraz z załącznikami musi być sporządzona w języku polskim. Każdy dokument składający się na ofertę lub złożony wraz z ofertą sporządzony w języku innym niż polski musi być złożony wraz z tłumaczeniem na język polski.</w:t>
      </w:r>
    </w:p>
    <w:p w14:paraId="3B3B6EC7" w14:textId="77777777" w:rsidR="004A2105" w:rsidRPr="00950F6F" w:rsidRDefault="004A2105" w:rsidP="00AC048D">
      <w:pPr>
        <w:pStyle w:val="Akapitzlist"/>
        <w:numPr>
          <w:ilvl w:val="0"/>
          <w:numId w:val="3"/>
        </w:numPr>
        <w:spacing w:before="120" w:after="0"/>
        <w:ind w:left="426"/>
        <w:contextualSpacing w:val="0"/>
        <w:jc w:val="both"/>
        <w:rPr>
          <w:rFonts w:asciiTheme="minorHAnsi" w:hAnsiTheme="minorHAnsi" w:cs="Calibri"/>
          <w:color w:val="000000"/>
        </w:rPr>
      </w:pPr>
      <w:r w:rsidRPr="00950F6F">
        <w:rPr>
          <w:rFonts w:asciiTheme="minorHAnsi" w:hAnsiTheme="minorHAnsi" w:cs="Calibri"/>
          <w:color w:val="000000"/>
        </w:rPr>
        <w:t>Wykonawca ponosi wszelkie koszty związane z przygotowaniem i złożeniem oferty.</w:t>
      </w:r>
    </w:p>
    <w:p w14:paraId="7215AA12" w14:textId="77777777" w:rsidR="004A2105" w:rsidRPr="00950F6F" w:rsidRDefault="004A2105" w:rsidP="00AC048D">
      <w:pPr>
        <w:pStyle w:val="Akapitzlist"/>
        <w:numPr>
          <w:ilvl w:val="0"/>
          <w:numId w:val="3"/>
        </w:numPr>
        <w:spacing w:before="120" w:after="0"/>
        <w:ind w:left="426"/>
        <w:contextualSpacing w:val="0"/>
        <w:jc w:val="both"/>
        <w:rPr>
          <w:rFonts w:asciiTheme="minorHAnsi" w:hAnsiTheme="minorHAnsi" w:cs="Calibri"/>
          <w:color w:val="000000"/>
        </w:rPr>
      </w:pPr>
      <w:r w:rsidRPr="00950F6F">
        <w:rPr>
          <w:rFonts w:asciiTheme="minorHAnsi" w:hAnsiTheme="minorHAnsi" w:cs="Calibri"/>
          <w:color w:val="000000"/>
        </w:rPr>
        <w:t>Zaleca się, aby strony oferty były trwale ze sobą połączone i kolejno ponumerowane.</w:t>
      </w:r>
    </w:p>
    <w:p w14:paraId="442A7651" w14:textId="1F1F82F7" w:rsidR="004A2105" w:rsidRPr="00950F6F" w:rsidRDefault="004A2105" w:rsidP="00AC048D">
      <w:pPr>
        <w:pStyle w:val="Akapitzlist"/>
        <w:numPr>
          <w:ilvl w:val="0"/>
          <w:numId w:val="3"/>
        </w:numPr>
        <w:spacing w:before="120" w:after="0"/>
        <w:ind w:left="426"/>
        <w:contextualSpacing w:val="0"/>
        <w:jc w:val="both"/>
        <w:rPr>
          <w:rFonts w:asciiTheme="minorHAnsi" w:hAnsiTheme="minorHAnsi" w:cs="Calibri"/>
          <w:color w:val="000000"/>
        </w:rPr>
      </w:pPr>
      <w:r w:rsidRPr="00950F6F">
        <w:rPr>
          <w:rFonts w:asciiTheme="minorHAnsi" w:hAnsiTheme="minorHAnsi" w:cs="Calibri"/>
          <w:color w:val="000000"/>
        </w:rPr>
        <w:t xml:space="preserve">Zaleca się, aby każda strona oferty zawierająca jakąkolwiek treść była podpisana lub parafowana przez </w:t>
      </w:r>
      <w:r w:rsidR="00043233" w:rsidRPr="00950F6F">
        <w:rPr>
          <w:rFonts w:asciiTheme="minorHAnsi" w:hAnsiTheme="minorHAnsi" w:cs="Calibri"/>
          <w:color w:val="000000"/>
        </w:rPr>
        <w:t>W</w:t>
      </w:r>
      <w:r w:rsidRPr="00950F6F">
        <w:rPr>
          <w:rFonts w:asciiTheme="minorHAnsi" w:hAnsiTheme="minorHAnsi" w:cs="Calibri"/>
          <w:color w:val="000000"/>
        </w:rPr>
        <w:t>ykonawcę.</w:t>
      </w:r>
    </w:p>
    <w:p w14:paraId="2C09CBFB" w14:textId="181FAAA8" w:rsidR="004A2105" w:rsidRPr="00950F6F" w:rsidRDefault="004A2105" w:rsidP="00AC048D">
      <w:pPr>
        <w:pStyle w:val="Akapitzlist"/>
        <w:numPr>
          <w:ilvl w:val="0"/>
          <w:numId w:val="3"/>
        </w:numPr>
        <w:spacing w:before="120" w:after="0"/>
        <w:ind w:left="426"/>
        <w:contextualSpacing w:val="0"/>
        <w:jc w:val="both"/>
        <w:rPr>
          <w:rFonts w:asciiTheme="minorHAnsi" w:hAnsiTheme="minorHAnsi" w:cs="Calibri"/>
          <w:color w:val="000000"/>
        </w:rPr>
      </w:pPr>
      <w:r w:rsidRPr="00950F6F">
        <w:rPr>
          <w:rFonts w:asciiTheme="minorHAnsi" w:hAnsiTheme="minorHAnsi" w:cs="Calibri"/>
          <w:color w:val="000000"/>
        </w:rPr>
        <w:t>Zamawiający oświadcza, iż wynagrodzenie za realizację zamówienia jest współfinansowane ze środków Europejskiego Funduszu Społecznego.</w:t>
      </w:r>
    </w:p>
    <w:p w14:paraId="2DED0DF1" w14:textId="77777777" w:rsidR="004A2105" w:rsidRPr="00950F6F" w:rsidRDefault="004A2105" w:rsidP="00AC048D">
      <w:pPr>
        <w:pStyle w:val="Akapitzlist"/>
        <w:numPr>
          <w:ilvl w:val="0"/>
          <w:numId w:val="3"/>
        </w:numPr>
        <w:spacing w:before="120" w:after="0"/>
        <w:ind w:left="425" w:hanging="357"/>
        <w:contextualSpacing w:val="0"/>
        <w:jc w:val="both"/>
        <w:rPr>
          <w:rFonts w:asciiTheme="minorHAnsi" w:hAnsiTheme="minorHAnsi" w:cs="Calibri"/>
          <w:color w:val="000000"/>
        </w:rPr>
      </w:pPr>
      <w:r w:rsidRPr="00950F6F">
        <w:rPr>
          <w:rFonts w:asciiTheme="minorHAnsi" w:hAnsiTheme="minorHAnsi" w:cs="Calibri"/>
          <w:color w:val="000000"/>
        </w:rPr>
        <w:t>Zamawiający przewiduje nakładanie kar umownych na Wykonawcę na etapie realizacji zamówienia.</w:t>
      </w:r>
    </w:p>
    <w:p w14:paraId="7A3C920A" w14:textId="11E2BFA8" w:rsidR="004A2105" w:rsidRPr="00950F6F" w:rsidRDefault="004A2105" w:rsidP="00AC048D">
      <w:pPr>
        <w:pStyle w:val="Akapitzlist"/>
        <w:numPr>
          <w:ilvl w:val="0"/>
          <w:numId w:val="3"/>
        </w:numPr>
        <w:spacing w:before="120" w:after="0"/>
        <w:ind w:left="425" w:hanging="357"/>
        <w:contextualSpacing w:val="0"/>
        <w:jc w:val="both"/>
        <w:rPr>
          <w:rFonts w:asciiTheme="minorHAnsi" w:hAnsiTheme="minorHAnsi" w:cs="Calibri"/>
          <w:color w:val="000000"/>
        </w:rPr>
      </w:pPr>
      <w:r w:rsidRPr="00950F6F">
        <w:rPr>
          <w:rFonts w:asciiTheme="minorHAnsi" w:hAnsiTheme="minorHAnsi" w:cs="Calibri"/>
          <w:color w:val="000000"/>
        </w:rPr>
        <w:lastRenderedPageBreak/>
        <w:t xml:space="preserve">W przypadku, gdy oferta Wykonawcy wybrana jako najkorzystniejsza będzie przewyższać zaplanowany budżet, Zamawiający zastrzega sobie prawo do podjęcia negocjacji z tym Wykonawcą. </w:t>
      </w:r>
    </w:p>
    <w:p w14:paraId="00BB9262" w14:textId="77777777" w:rsidR="004A2105" w:rsidRPr="00950F6F" w:rsidRDefault="004A2105" w:rsidP="00AC048D">
      <w:pPr>
        <w:pStyle w:val="Akapitzlist"/>
        <w:numPr>
          <w:ilvl w:val="0"/>
          <w:numId w:val="3"/>
        </w:numPr>
        <w:spacing w:before="120" w:after="0"/>
        <w:ind w:left="425" w:hanging="357"/>
        <w:contextualSpacing w:val="0"/>
        <w:jc w:val="both"/>
        <w:rPr>
          <w:rFonts w:asciiTheme="minorHAnsi" w:hAnsiTheme="minorHAnsi" w:cs="Calibri"/>
          <w:color w:val="000000"/>
        </w:rPr>
      </w:pPr>
      <w:r w:rsidRPr="00950F6F">
        <w:rPr>
          <w:rFonts w:asciiTheme="minorHAnsi" w:hAnsiTheme="minorHAnsi" w:cs="Calibri"/>
          <w:color w:val="000000"/>
        </w:rPr>
        <w:t>Gdy Zamawiający nie dojdzie do porozumienia z Wykonawcą, którego oferta została wybrana jako najkorzystniejsza, Zamawiający przystąpi do negocjacji z Wykonawcą/</w:t>
      </w:r>
      <w:proofErr w:type="spellStart"/>
      <w:r w:rsidRPr="00950F6F">
        <w:rPr>
          <w:rFonts w:asciiTheme="minorHAnsi" w:hAnsiTheme="minorHAnsi" w:cs="Calibri"/>
          <w:color w:val="000000"/>
        </w:rPr>
        <w:t>ami</w:t>
      </w:r>
      <w:proofErr w:type="spellEnd"/>
      <w:r w:rsidRPr="00950F6F">
        <w:rPr>
          <w:rFonts w:asciiTheme="minorHAnsi" w:hAnsiTheme="minorHAnsi" w:cs="Calibri"/>
          <w:color w:val="000000"/>
        </w:rPr>
        <w:t xml:space="preserve"> z kolejnych miejsc </w:t>
      </w:r>
      <w:r w:rsidRPr="00950F6F">
        <w:rPr>
          <w:rFonts w:asciiTheme="minorHAnsi" w:hAnsiTheme="minorHAnsi" w:cs="Calibri"/>
          <w:color w:val="000000"/>
        </w:rPr>
        <w:br/>
        <w:t>z listy rankingowej.</w:t>
      </w:r>
    </w:p>
    <w:p w14:paraId="36EB59BF" w14:textId="66434ADB" w:rsidR="004A2105" w:rsidRDefault="004A2105" w:rsidP="00AC048D">
      <w:pPr>
        <w:pStyle w:val="Akapitzlist"/>
        <w:numPr>
          <w:ilvl w:val="0"/>
          <w:numId w:val="3"/>
        </w:numPr>
        <w:spacing w:before="120" w:after="0"/>
        <w:ind w:left="425" w:hanging="357"/>
        <w:contextualSpacing w:val="0"/>
        <w:jc w:val="both"/>
        <w:rPr>
          <w:rFonts w:asciiTheme="minorHAnsi" w:hAnsiTheme="minorHAnsi" w:cs="Calibri"/>
          <w:color w:val="000000"/>
        </w:rPr>
      </w:pPr>
      <w:r w:rsidRPr="00950F6F">
        <w:rPr>
          <w:rFonts w:asciiTheme="minorHAnsi" w:hAnsiTheme="minorHAnsi" w:cs="Calibri"/>
          <w:color w:val="000000"/>
        </w:rPr>
        <w:t>Jeżeli nie będzie możliwe dokonanie wyboru oferty najkorzystniejszej ze względu na fakt, że złożone oferty otrzymały taką samą liczbę punktó</w:t>
      </w:r>
      <w:r w:rsidR="00A33238">
        <w:rPr>
          <w:rFonts w:asciiTheme="minorHAnsi" w:hAnsiTheme="minorHAnsi" w:cs="Calibri"/>
          <w:color w:val="000000"/>
        </w:rPr>
        <w:t>w, Zamawiający wezwie Oferentów</w:t>
      </w:r>
      <w:r w:rsidRPr="00950F6F">
        <w:rPr>
          <w:rFonts w:asciiTheme="minorHAnsi" w:hAnsiTheme="minorHAnsi" w:cs="Calibri"/>
          <w:color w:val="000000"/>
        </w:rPr>
        <w:t xml:space="preserve"> do złożenia ofert dodatkowych. Złożenie oferty dodatkowej polegać będzie na przedstawieniu nowej propozycji cenowej, nie wyższej niż zaoferowana w ofercie pierwotnej.</w:t>
      </w:r>
    </w:p>
    <w:p w14:paraId="50290429" w14:textId="568AE56C" w:rsidR="00F14486" w:rsidRDefault="00F14486" w:rsidP="00AC048D">
      <w:pPr>
        <w:pStyle w:val="Akapitzlist"/>
        <w:numPr>
          <w:ilvl w:val="0"/>
          <w:numId w:val="3"/>
        </w:numPr>
        <w:spacing w:before="120" w:after="0"/>
        <w:ind w:left="426"/>
        <w:contextualSpacing w:val="0"/>
        <w:jc w:val="both"/>
        <w:rPr>
          <w:rFonts w:asciiTheme="minorHAnsi" w:hAnsiTheme="minorHAnsi" w:cs="Calibri"/>
          <w:color w:val="000000"/>
        </w:rPr>
      </w:pPr>
      <w:r w:rsidRPr="00F14486">
        <w:rPr>
          <w:rFonts w:asciiTheme="minorHAnsi" w:hAnsiTheme="minorHAnsi" w:cs="Calibri"/>
          <w:color w:val="000000"/>
        </w:rPr>
        <w:t>Oferta jest jawna, z wyjątkiem informacji stanowiących tajemnic</w:t>
      </w:r>
      <w:r w:rsidR="00903F3E">
        <w:rPr>
          <w:rFonts w:asciiTheme="minorHAnsi" w:hAnsiTheme="minorHAnsi" w:cs="Calibri"/>
          <w:color w:val="000000"/>
        </w:rPr>
        <w:t>ę</w:t>
      </w:r>
      <w:r w:rsidRPr="00F14486">
        <w:rPr>
          <w:rFonts w:asciiTheme="minorHAnsi" w:hAnsiTheme="minorHAnsi" w:cs="Calibri"/>
          <w:color w:val="000000"/>
        </w:rPr>
        <w:t xml:space="preserve"> przedsiębiorstwa w rozumieniu przepisów o zwalczaniu nieuczciwej konkurencji, a Wykonawca składając ofertę zastrzegł w odniesieniu do tych informacji, że nie mogą one być udostępnione innym uczestnikom postępowania. Tajemnicą przedsiębiorstwa nie można objąć informacji zawartych w formularzu ofertowym.</w:t>
      </w:r>
    </w:p>
    <w:p w14:paraId="44106F89" w14:textId="7BA5382D" w:rsidR="00333AC9" w:rsidRPr="006E4858" w:rsidRDefault="00333AC9" w:rsidP="00AC048D">
      <w:pPr>
        <w:pStyle w:val="Akapitzlist"/>
        <w:numPr>
          <w:ilvl w:val="0"/>
          <w:numId w:val="3"/>
        </w:numPr>
        <w:spacing w:before="120" w:after="0"/>
        <w:ind w:left="426"/>
        <w:contextualSpacing w:val="0"/>
        <w:jc w:val="both"/>
        <w:rPr>
          <w:rFonts w:cs="Calibri"/>
          <w:color w:val="000000"/>
        </w:rPr>
      </w:pPr>
      <w:r w:rsidRPr="00333AC9">
        <w:rPr>
          <w:bCs/>
        </w:rPr>
        <w:t>Niniejsze zapytanie ofertowe nie stanowi zobowiązania do zawarcia umowy.</w:t>
      </w:r>
    </w:p>
    <w:p w14:paraId="688DFC8B" w14:textId="77777777" w:rsidR="006E4858" w:rsidRPr="006E4858" w:rsidRDefault="006E4858" w:rsidP="006E4858">
      <w:pPr>
        <w:spacing w:before="120" w:after="0"/>
        <w:ind w:left="66"/>
        <w:jc w:val="both"/>
        <w:rPr>
          <w:rFonts w:cs="Calibri"/>
          <w:color w:val="000000"/>
        </w:rPr>
      </w:pPr>
    </w:p>
    <w:p w14:paraId="5C48F4E4" w14:textId="741FD37E" w:rsidR="004A2105" w:rsidRPr="00333AC9" w:rsidRDefault="00333AC9" w:rsidP="0044582F">
      <w:pPr>
        <w:pStyle w:val="Nagwek1"/>
        <w:spacing w:before="120" w:after="0" w:line="276" w:lineRule="auto"/>
        <w:rPr>
          <w:rFonts w:cs="Calibri"/>
        </w:rPr>
      </w:pPr>
      <w:r w:rsidRPr="00333AC9">
        <w:t>KRYTERIA OCENY OFERT</w:t>
      </w:r>
    </w:p>
    <w:p w14:paraId="75E7A418" w14:textId="2AAB760F" w:rsidR="004A2105" w:rsidRPr="00333AC9" w:rsidRDefault="005245B2" w:rsidP="00AC048D">
      <w:pPr>
        <w:pStyle w:val="Akapitzlist"/>
        <w:numPr>
          <w:ilvl w:val="0"/>
          <w:numId w:val="4"/>
        </w:numPr>
        <w:spacing w:before="120" w:after="0"/>
        <w:contextualSpacing w:val="0"/>
        <w:jc w:val="both"/>
        <w:rPr>
          <w:rFonts w:asciiTheme="minorHAnsi" w:hAnsiTheme="minorHAnsi" w:cs="Calibri"/>
          <w:b/>
          <w:color w:val="000000"/>
        </w:rPr>
      </w:pPr>
      <w:r>
        <w:rPr>
          <w:rFonts w:asciiTheme="minorHAnsi" w:hAnsiTheme="minorHAnsi" w:cs="Calibri"/>
          <w:b/>
          <w:color w:val="000000"/>
        </w:rPr>
        <w:t>Cena – maksymalnie 8</w:t>
      </w:r>
      <w:r w:rsidR="004A2105" w:rsidRPr="00333AC9">
        <w:rPr>
          <w:rFonts w:asciiTheme="minorHAnsi" w:hAnsiTheme="minorHAnsi" w:cs="Calibri"/>
          <w:b/>
          <w:color w:val="000000"/>
        </w:rPr>
        <w:t>0 punktów.</w:t>
      </w:r>
    </w:p>
    <w:p w14:paraId="528F21AE" w14:textId="77777777" w:rsidR="004A2105" w:rsidRDefault="004A2105" w:rsidP="0044582F">
      <w:pPr>
        <w:spacing w:before="120" w:after="0"/>
        <w:jc w:val="both"/>
        <w:rPr>
          <w:rFonts w:cs="Calibri"/>
          <w:color w:val="000000"/>
        </w:rPr>
      </w:pPr>
      <w:r w:rsidRPr="00950F6F">
        <w:rPr>
          <w:rFonts w:cs="Calibri"/>
          <w:color w:val="000000"/>
        </w:rPr>
        <w:t>Metodyka wyliczenia punktów za to kryterium:</w:t>
      </w:r>
    </w:p>
    <w:p w14:paraId="6B23BA16" w14:textId="77777777" w:rsidR="006E4858" w:rsidRDefault="006E4858" w:rsidP="0044582F">
      <w:pPr>
        <w:spacing w:before="120" w:after="0"/>
        <w:jc w:val="both"/>
        <w:rPr>
          <w:rFonts w:cs="Calibri"/>
          <w:color w:val="000000"/>
        </w:rPr>
      </w:pPr>
    </w:p>
    <w:p w14:paraId="5F3DE271" w14:textId="3AFE84FB" w:rsidR="004A2105" w:rsidRPr="00950F6F" w:rsidRDefault="00950F6F" w:rsidP="0044582F">
      <w:pPr>
        <w:spacing w:before="120" w:after="0"/>
        <w:jc w:val="both"/>
        <w:rPr>
          <w:rFonts w:cs="Calibri"/>
          <w:color w:val="000000"/>
        </w:rPr>
      </w:pPr>
      <m:oMathPara>
        <m:oMath>
          <m:r>
            <w:rPr>
              <w:rFonts w:ascii="Cambria Math" w:hAnsi="Cambria Math" w:cs="Arial"/>
            </w:rPr>
            <m:t>Liczba punktów=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cena najniższej oferty</m:t>
              </m:r>
            </m:num>
            <m:den>
              <m:r>
                <w:rPr>
                  <w:rFonts w:ascii="Cambria Math" w:hAnsi="Cambria Math" w:cs="Arial"/>
                </w:rPr>
                <m:t>cena badanej oferty</m:t>
              </m:r>
            </m:den>
          </m:f>
          <m:r>
            <w:rPr>
              <w:rFonts w:ascii="Cambria Math" w:hAnsi="Cambria Math" w:cs="Arial"/>
            </w:rPr>
            <m:t>*80</m:t>
          </m:r>
        </m:oMath>
      </m:oMathPara>
    </w:p>
    <w:p w14:paraId="6424E7AF" w14:textId="77777777" w:rsidR="004A2105" w:rsidRPr="00950F6F" w:rsidRDefault="004A2105" w:rsidP="0044582F">
      <w:pPr>
        <w:spacing w:before="120" w:after="0"/>
        <w:jc w:val="both"/>
        <w:rPr>
          <w:rFonts w:cs="Calibri"/>
          <w:color w:val="000000"/>
        </w:rPr>
      </w:pPr>
    </w:p>
    <w:p w14:paraId="2127D71C" w14:textId="75F2DE71" w:rsidR="004A2105" w:rsidRPr="00333AC9" w:rsidRDefault="005245B2" w:rsidP="00AC048D">
      <w:pPr>
        <w:pStyle w:val="Akapitzlist"/>
        <w:numPr>
          <w:ilvl w:val="0"/>
          <w:numId w:val="4"/>
        </w:numPr>
        <w:spacing w:before="120" w:after="0"/>
        <w:contextualSpacing w:val="0"/>
        <w:jc w:val="both"/>
        <w:rPr>
          <w:rFonts w:asciiTheme="minorHAnsi" w:hAnsiTheme="minorHAnsi" w:cs="Calibri"/>
          <w:b/>
          <w:color w:val="000000"/>
        </w:rPr>
      </w:pPr>
      <w:r>
        <w:rPr>
          <w:rFonts w:asciiTheme="minorHAnsi" w:hAnsiTheme="minorHAnsi" w:cs="Calibri"/>
          <w:b/>
          <w:color w:val="000000"/>
        </w:rPr>
        <w:t xml:space="preserve">Liczba stron przetłumaczonych w trybie zwykłym w ciągu jednego dnia roboczego </w:t>
      </w:r>
      <w:r w:rsidR="004A2105" w:rsidRPr="00333AC9">
        <w:rPr>
          <w:rFonts w:asciiTheme="minorHAnsi" w:hAnsiTheme="minorHAnsi" w:cs="Calibri"/>
          <w:b/>
          <w:color w:val="000000"/>
        </w:rPr>
        <w:t xml:space="preserve">- maksymalnie </w:t>
      </w:r>
      <w:r w:rsidR="00A2533C">
        <w:rPr>
          <w:rFonts w:asciiTheme="minorHAnsi" w:hAnsiTheme="minorHAnsi" w:cs="Calibri"/>
          <w:b/>
          <w:color w:val="000000"/>
        </w:rPr>
        <w:t>2</w:t>
      </w:r>
      <w:r w:rsidR="001361F0" w:rsidRPr="00333AC9">
        <w:rPr>
          <w:rFonts w:asciiTheme="minorHAnsi" w:hAnsiTheme="minorHAnsi" w:cs="Calibri"/>
          <w:b/>
          <w:color w:val="000000"/>
        </w:rPr>
        <w:t xml:space="preserve">0 </w:t>
      </w:r>
      <w:r w:rsidR="004A2105" w:rsidRPr="00333AC9">
        <w:rPr>
          <w:rFonts w:asciiTheme="minorHAnsi" w:hAnsiTheme="minorHAnsi" w:cs="Calibri"/>
          <w:b/>
          <w:color w:val="000000"/>
        </w:rPr>
        <w:t>punktów</w:t>
      </w:r>
    </w:p>
    <w:p w14:paraId="6EFDB444" w14:textId="7BE4E57E" w:rsidR="00E97005" w:rsidRDefault="006E4858" w:rsidP="0044582F">
      <w:pPr>
        <w:spacing w:before="120" w:after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Metodyka wyliczenia punktów za to kryterium:</w:t>
      </w:r>
    </w:p>
    <w:p w14:paraId="5E7855EA" w14:textId="3DE7025A" w:rsidR="00AC048D" w:rsidRPr="005245B2" w:rsidRDefault="005245B2" w:rsidP="005245B2">
      <w:pPr>
        <w:pStyle w:val="Akapitzlist"/>
        <w:numPr>
          <w:ilvl w:val="0"/>
          <w:numId w:val="12"/>
        </w:numPr>
        <w:spacing w:before="120" w:after="0"/>
        <w:ind w:left="714" w:hanging="357"/>
        <w:contextualSpacing w:val="0"/>
        <w:jc w:val="both"/>
        <w:rPr>
          <w:rFonts w:cs="Calibri"/>
          <w:color w:val="000000"/>
        </w:rPr>
      </w:pPr>
      <w:r w:rsidRPr="005245B2">
        <w:rPr>
          <w:rFonts w:cs="Calibri"/>
          <w:color w:val="000000"/>
        </w:rPr>
        <w:t>Osiem stron przetłumaczonych w ciągu jednego dnia roboczego – 0 punktów</w:t>
      </w:r>
    </w:p>
    <w:p w14:paraId="3CEF283A" w14:textId="2C5E45E2" w:rsidR="005245B2" w:rsidRPr="005245B2" w:rsidRDefault="005245B2" w:rsidP="005245B2">
      <w:pPr>
        <w:pStyle w:val="Akapitzlist"/>
        <w:numPr>
          <w:ilvl w:val="0"/>
          <w:numId w:val="12"/>
        </w:numPr>
        <w:spacing w:before="120" w:after="0"/>
        <w:ind w:left="714" w:hanging="357"/>
        <w:contextualSpacing w:val="0"/>
        <w:jc w:val="both"/>
        <w:rPr>
          <w:rFonts w:cs="Calibri"/>
          <w:color w:val="000000"/>
        </w:rPr>
      </w:pPr>
      <w:r w:rsidRPr="005245B2">
        <w:rPr>
          <w:rFonts w:cs="Calibri"/>
          <w:color w:val="000000"/>
        </w:rPr>
        <w:t>Dziewięć stron przetłumaczonych w ciągu jednego dnia roboczego – 10 punktów</w:t>
      </w:r>
    </w:p>
    <w:p w14:paraId="4282BB75" w14:textId="42A9FC57" w:rsidR="005245B2" w:rsidRPr="005245B2" w:rsidRDefault="005245B2" w:rsidP="005245B2">
      <w:pPr>
        <w:pStyle w:val="Akapitzlist"/>
        <w:numPr>
          <w:ilvl w:val="0"/>
          <w:numId w:val="12"/>
        </w:numPr>
        <w:spacing w:before="120" w:after="0"/>
        <w:ind w:left="714" w:hanging="357"/>
        <w:contextualSpacing w:val="0"/>
        <w:jc w:val="both"/>
        <w:rPr>
          <w:rFonts w:cs="Calibri"/>
          <w:color w:val="000000"/>
        </w:rPr>
      </w:pPr>
      <w:r w:rsidRPr="005245B2">
        <w:rPr>
          <w:rFonts w:cs="Calibri"/>
          <w:color w:val="000000"/>
        </w:rPr>
        <w:t>Dziesięć stron przetłumaczonych w ciągu jednego dnia roboczego – 20 punktów</w:t>
      </w:r>
    </w:p>
    <w:p w14:paraId="4984E1F3" w14:textId="77777777" w:rsidR="00AC048D" w:rsidRDefault="00AC048D" w:rsidP="00AC048D">
      <w:pPr>
        <w:spacing w:before="120" w:after="0"/>
        <w:jc w:val="both"/>
        <w:rPr>
          <w:rFonts w:cs="Calibri"/>
          <w:color w:val="000000"/>
        </w:rPr>
      </w:pPr>
    </w:p>
    <w:p w14:paraId="039E0DE9" w14:textId="22BCDD67" w:rsidR="004A2105" w:rsidRDefault="004A2105" w:rsidP="0044582F">
      <w:pPr>
        <w:spacing w:before="120" w:after="0"/>
        <w:jc w:val="both"/>
        <w:rPr>
          <w:rFonts w:cs="Calibri"/>
          <w:color w:val="000000"/>
        </w:rPr>
      </w:pPr>
      <w:r w:rsidRPr="00950F6F">
        <w:rPr>
          <w:rFonts w:cs="Calibri"/>
          <w:color w:val="000000"/>
        </w:rPr>
        <w:t xml:space="preserve">Łącznie Wykonawca może otrzymać 100 pkt. Łączna suma punktów otrzymana przez Wykonawcę </w:t>
      </w:r>
      <w:r w:rsidR="00DC458E">
        <w:rPr>
          <w:rFonts w:cs="Calibri"/>
          <w:color w:val="000000"/>
        </w:rPr>
        <w:t>zostanie obliczona</w:t>
      </w:r>
      <w:r w:rsidRPr="00950F6F">
        <w:rPr>
          <w:rFonts w:cs="Calibri"/>
          <w:color w:val="000000"/>
        </w:rPr>
        <w:t xml:space="preserve"> według poniższego wzoru:</w:t>
      </w:r>
    </w:p>
    <w:p w14:paraId="37AEC132" w14:textId="732A6264" w:rsidR="00E440A5" w:rsidRPr="00AC048D" w:rsidRDefault="00E440A5" w:rsidP="0044582F">
      <w:pPr>
        <w:spacing w:before="120" w:after="0"/>
        <w:jc w:val="center"/>
        <w:rPr>
          <w:rFonts w:cs="Calibri"/>
          <w:i/>
          <w:color w:val="000000"/>
        </w:rPr>
      </w:pPr>
      <w:r w:rsidRPr="00AC048D">
        <w:rPr>
          <w:rFonts w:cs="Calibri"/>
          <w:i/>
          <w:color w:val="000000"/>
        </w:rPr>
        <w:t xml:space="preserve">Suma punktów = Kryterium Cena + Kryterium </w:t>
      </w:r>
      <w:r w:rsidR="005245B2">
        <w:rPr>
          <w:rFonts w:cs="Calibri"/>
          <w:i/>
          <w:color w:val="000000"/>
        </w:rPr>
        <w:t>liczba stron przetłumaczona dziennie</w:t>
      </w:r>
    </w:p>
    <w:p w14:paraId="350E8494" w14:textId="70CBF2DE" w:rsidR="004A2105" w:rsidRDefault="004A2105" w:rsidP="0044582F">
      <w:pPr>
        <w:spacing w:before="120" w:after="0"/>
        <w:jc w:val="both"/>
        <w:rPr>
          <w:rFonts w:cs="Calibri"/>
          <w:color w:val="000000"/>
        </w:rPr>
      </w:pPr>
      <w:r w:rsidRPr="00950F6F">
        <w:rPr>
          <w:rFonts w:cs="Calibri"/>
          <w:color w:val="000000"/>
        </w:rPr>
        <w:lastRenderedPageBreak/>
        <w:t xml:space="preserve"> Jako najkorzystniejsza zostanie wybrana oferta Wykonawcy, która uzyska największą liczbę punktów.</w:t>
      </w:r>
    </w:p>
    <w:p w14:paraId="5B312EED" w14:textId="77777777" w:rsidR="00DC458E" w:rsidRPr="00950F6F" w:rsidRDefault="00DC458E" w:rsidP="0044582F">
      <w:pPr>
        <w:spacing w:before="120" w:after="0"/>
        <w:jc w:val="both"/>
        <w:rPr>
          <w:rFonts w:cs="Calibri"/>
          <w:color w:val="000000"/>
        </w:rPr>
      </w:pPr>
    </w:p>
    <w:p w14:paraId="6B6F067A" w14:textId="5B85E698" w:rsidR="004A2105" w:rsidRPr="00333AC9" w:rsidRDefault="00333AC9" w:rsidP="0044582F">
      <w:pPr>
        <w:pStyle w:val="Nagwek1"/>
        <w:spacing w:before="120" w:after="0" w:line="276" w:lineRule="auto"/>
        <w:rPr>
          <w:rFonts w:asciiTheme="majorHAnsi" w:hAnsiTheme="majorHAnsi" w:cs="Calibri"/>
          <w:sz w:val="28"/>
          <w:szCs w:val="28"/>
        </w:rPr>
      </w:pPr>
      <w:r w:rsidRPr="00333AC9">
        <w:t>TERMIN I SPOSÓB ZŁOŻENIA OFERT</w:t>
      </w:r>
    </w:p>
    <w:p w14:paraId="1D5857E1" w14:textId="6ED2EF3F" w:rsidR="004A2105" w:rsidRPr="00950F6F" w:rsidRDefault="004A2105" w:rsidP="0044582F">
      <w:pPr>
        <w:tabs>
          <w:tab w:val="left" w:pos="567"/>
        </w:tabs>
        <w:spacing w:before="120" w:after="0"/>
        <w:jc w:val="both"/>
      </w:pPr>
      <w:r w:rsidRPr="00950F6F">
        <w:t>Ofertę nale</w:t>
      </w:r>
      <w:r w:rsidR="00EE5B7D" w:rsidRPr="00950F6F">
        <w:t>ży złożyć w terminie do dnia</w:t>
      </w:r>
      <w:r w:rsidR="00AC048D">
        <w:t xml:space="preserve"> </w:t>
      </w:r>
      <w:r w:rsidR="004C527B">
        <w:t>29</w:t>
      </w:r>
      <w:bookmarkStart w:id="0" w:name="_GoBack"/>
      <w:bookmarkEnd w:id="0"/>
      <w:r w:rsidR="00BB0231">
        <w:t xml:space="preserve"> listopada </w:t>
      </w:r>
      <w:r w:rsidR="00B1722A">
        <w:t>2017 r.</w:t>
      </w:r>
      <w:r w:rsidR="00EE5B7D" w:rsidRPr="00950F6F">
        <w:t xml:space="preserve"> do godziny </w:t>
      </w:r>
      <w:r w:rsidR="00B1722A">
        <w:t>16.00.</w:t>
      </w:r>
    </w:p>
    <w:p w14:paraId="61301965" w14:textId="77777777" w:rsidR="004A2105" w:rsidRPr="00950F6F" w:rsidRDefault="004A2105" w:rsidP="0044582F">
      <w:pPr>
        <w:tabs>
          <w:tab w:val="left" w:pos="567"/>
        </w:tabs>
        <w:spacing w:before="120" w:after="0"/>
        <w:jc w:val="both"/>
      </w:pPr>
      <w:r w:rsidRPr="00950F6F">
        <w:t>Ofertę należy złożyć w następującej formie:</w:t>
      </w:r>
    </w:p>
    <w:p w14:paraId="0D4B1C8C" w14:textId="1681198A" w:rsidR="004A2105" w:rsidRPr="00950F6F" w:rsidRDefault="004A2105" w:rsidP="00AC048D">
      <w:pPr>
        <w:pStyle w:val="Akapitzlist"/>
        <w:numPr>
          <w:ilvl w:val="0"/>
          <w:numId w:val="1"/>
        </w:numPr>
        <w:spacing w:before="120" w:after="0"/>
        <w:contextualSpacing w:val="0"/>
        <w:jc w:val="both"/>
        <w:rPr>
          <w:rFonts w:asciiTheme="minorHAnsi" w:hAnsiTheme="minorHAnsi"/>
        </w:rPr>
      </w:pPr>
      <w:r w:rsidRPr="00950F6F">
        <w:rPr>
          <w:rFonts w:asciiTheme="minorHAnsi" w:hAnsiTheme="minorHAnsi"/>
        </w:rPr>
        <w:t>skan wymaganych dokumentów należy</w:t>
      </w:r>
      <w:r w:rsidR="00EE5B7D" w:rsidRPr="00950F6F">
        <w:rPr>
          <w:rFonts w:asciiTheme="minorHAnsi" w:hAnsiTheme="minorHAnsi"/>
        </w:rPr>
        <w:t xml:space="preserve"> przesłać na adres</w:t>
      </w:r>
      <w:r w:rsidR="00A960DD">
        <w:rPr>
          <w:rFonts w:asciiTheme="minorHAnsi" w:hAnsiTheme="minorHAnsi"/>
        </w:rPr>
        <w:t>y</w:t>
      </w:r>
      <w:r w:rsidR="00EE5B7D" w:rsidRPr="00950F6F">
        <w:rPr>
          <w:rFonts w:asciiTheme="minorHAnsi" w:hAnsiTheme="minorHAnsi"/>
        </w:rPr>
        <w:t xml:space="preserve"> e-mail: </w:t>
      </w:r>
      <w:hyperlink r:id="rId10" w:history="1">
        <w:r w:rsidR="00257168" w:rsidRPr="008D57CA">
          <w:rPr>
            <w:rStyle w:val="Hipercze"/>
            <w:rFonts w:asciiTheme="minorHAnsi" w:hAnsiTheme="minorHAnsi"/>
          </w:rPr>
          <w:t>kgurbiel@pfron.org.pl</w:t>
        </w:r>
      </w:hyperlink>
      <w:r w:rsidR="00A960DD">
        <w:rPr>
          <w:rFonts w:asciiTheme="minorHAnsi" w:hAnsiTheme="minorHAnsi"/>
        </w:rPr>
        <w:t xml:space="preserve"> oraz </w:t>
      </w:r>
      <w:hyperlink r:id="rId11" w:history="1">
        <w:r w:rsidR="00A960DD" w:rsidRPr="00EF6AB8">
          <w:rPr>
            <w:rStyle w:val="Hipercze"/>
            <w:rFonts w:asciiTheme="minorHAnsi" w:hAnsiTheme="minorHAnsi"/>
          </w:rPr>
          <w:t>kkrysik@pfron.org.pl</w:t>
        </w:r>
      </w:hyperlink>
      <w:r w:rsidR="00A960DD">
        <w:rPr>
          <w:rFonts w:asciiTheme="minorHAnsi" w:hAnsiTheme="minorHAnsi"/>
        </w:rPr>
        <w:t xml:space="preserve"> </w:t>
      </w:r>
    </w:p>
    <w:p w14:paraId="1592ED12" w14:textId="77777777" w:rsidR="004A2105" w:rsidRPr="00950F6F" w:rsidRDefault="004A2105" w:rsidP="0044582F">
      <w:pPr>
        <w:spacing w:before="120" w:after="0"/>
        <w:jc w:val="both"/>
      </w:pPr>
      <w:r w:rsidRPr="00950F6F">
        <w:t>lub</w:t>
      </w:r>
    </w:p>
    <w:p w14:paraId="409D8695" w14:textId="014C82C0" w:rsidR="004A2105" w:rsidRDefault="004A2105" w:rsidP="00AC048D">
      <w:pPr>
        <w:pStyle w:val="Akapitzlist"/>
        <w:numPr>
          <w:ilvl w:val="0"/>
          <w:numId w:val="1"/>
        </w:numPr>
        <w:spacing w:before="120" w:after="0"/>
        <w:ind w:left="714" w:hanging="357"/>
        <w:contextualSpacing w:val="0"/>
        <w:jc w:val="both"/>
        <w:rPr>
          <w:rFonts w:asciiTheme="minorHAnsi" w:hAnsiTheme="minorHAnsi"/>
        </w:rPr>
      </w:pPr>
      <w:r w:rsidRPr="00950F6F">
        <w:rPr>
          <w:rFonts w:asciiTheme="minorHAnsi" w:hAnsiTheme="minorHAnsi"/>
        </w:rPr>
        <w:t xml:space="preserve">dostarczyć w oryginale do siedziby Zamawiającego na adres: ul. </w:t>
      </w:r>
      <w:r w:rsidR="00F92BDF">
        <w:rPr>
          <w:rFonts w:asciiTheme="minorHAnsi" w:hAnsiTheme="minorHAnsi"/>
        </w:rPr>
        <w:t>Jana Pawła II 13</w:t>
      </w:r>
      <w:r w:rsidR="00EE5B7D" w:rsidRPr="00950F6F">
        <w:rPr>
          <w:rFonts w:asciiTheme="minorHAnsi" w:hAnsiTheme="minorHAnsi"/>
        </w:rPr>
        <w:t xml:space="preserve">, </w:t>
      </w:r>
      <w:r w:rsidR="00F92BDF">
        <w:rPr>
          <w:rFonts w:asciiTheme="minorHAnsi" w:hAnsiTheme="minorHAnsi"/>
        </w:rPr>
        <w:t>00-828</w:t>
      </w:r>
      <w:r w:rsidR="00EE5B7D" w:rsidRPr="00950F6F">
        <w:rPr>
          <w:rFonts w:asciiTheme="minorHAnsi" w:hAnsiTheme="minorHAnsi"/>
        </w:rPr>
        <w:t xml:space="preserve"> Warszawa, </w:t>
      </w:r>
      <w:r w:rsidR="00F92BDF">
        <w:rPr>
          <w:rFonts w:asciiTheme="minorHAnsi" w:hAnsiTheme="minorHAnsi"/>
        </w:rPr>
        <w:t>KANCELARIA</w:t>
      </w:r>
      <w:r w:rsidR="00F92BDF" w:rsidRPr="00A960DD">
        <w:rPr>
          <w:rFonts w:asciiTheme="minorHAnsi" w:hAnsiTheme="minorHAnsi"/>
        </w:rPr>
        <w:t>.</w:t>
      </w:r>
    </w:p>
    <w:p w14:paraId="63F5B1ED" w14:textId="77777777" w:rsidR="00DC458E" w:rsidRPr="00DC458E" w:rsidRDefault="00DC458E" w:rsidP="00DC458E">
      <w:pPr>
        <w:spacing w:before="120" w:after="0"/>
        <w:ind w:left="357"/>
        <w:jc w:val="both"/>
      </w:pPr>
    </w:p>
    <w:p w14:paraId="343020EE" w14:textId="77777777" w:rsidR="00F92BDF" w:rsidRPr="00333AC9" w:rsidRDefault="00F92BDF" w:rsidP="0044582F">
      <w:pPr>
        <w:pStyle w:val="Nagwek1"/>
        <w:spacing w:before="120" w:after="0" w:line="276" w:lineRule="auto"/>
      </w:pPr>
      <w:r w:rsidRPr="00333AC9">
        <w:t>SPOSÓB KOMUNIKOWANIA SIĘ Z ZAMAWIAJĄCYM</w:t>
      </w:r>
    </w:p>
    <w:p w14:paraId="0ED001D8" w14:textId="31B335CA" w:rsidR="00F92BDF" w:rsidRDefault="00333AC9" w:rsidP="0044582F">
      <w:pPr>
        <w:spacing w:before="120" w:after="0"/>
        <w:jc w:val="both"/>
      </w:pPr>
      <w:r w:rsidRPr="00950F6F">
        <w:t>Osob</w:t>
      </w:r>
      <w:r w:rsidR="00A960DD">
        <w:t>y</w:t>
      </w:r>
      <w:r w:rsidRPr="00950F6F">
        <w:t xml:space="preserve"> uprawnion</w:t>
      </w:r>
      <w:r w:rsidR="00A960DD">
        <w:t>e</w:t>
      </w:r>
      <w:r w:rsidRPr="00950F6F">
        <w:t xml:space="preserve"> do komunikowania się z oferentami: </w:t>
      </w:r>
    </w:p>
    <w:p w14:paraId="432346D2" w14:textId="36743DB6" w:rsidR="00A960DD" w:rsidRDefault="00A960DD" w:rsidP="0044582F">
      <w:pPr>
        <w:spacing w:before="120" w:after="0"/>
        <w:jc w:val="both"/>
      </w:pPr>
      <w:r>
        <w:t>Krystyna Gurbiel:</w:t>
      </w:r>
      <w:r w:rsidR="00DC458E">
        <w:t xml:space="preserve"> </w:t>
      </w:r>
      <w:hyperlink r:id="rId12" w:history="1">
        <w:r w:rsidR="00DC458E" w:rsidRPr="0008247D">
          <w:rPr>
            <w:rStyle w:val="Hipercze"/>
          </w:rPr>
          <w:t>kgurbiel@pfron.org.pl</w:t>
        </w:r>
      </w:hyperlink>
    </w:p>
    <w:p w14:paraId="00194C7F" w14:textId="45F4ED6E" w:rsidR="00A960DD" w:rsidRDefault="00A960DD" w:rsidP="0044582F">
      <w:pPr>
        <w:spacing w:before="120" w:after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Katarzyna </w:t>
      </w:r>
      <w:proofErr w:type="spellStart"/>
      <w:r>
        <w:rPr>
          <w:rFonts w:cs="Calibri"/>
          <w:color w:val="000000"/>
        </w:rPr>
        <w:t>Krysik</w:t>
      </w:r>
      <w:proofErr w:type="spellEnd"/>
      <w:r>
        <w:rPr>
          <w:rFonts w:cs="Calibri"/>
          <w:color w:val="000000"/>
        </w:rPr>
        <w:t xml:space="preserve">: </w:t>
      </w:r>
      <w:hyperlink r:id="rId13" w:history="1">
        <w:r w:rsidR="00DC458E" w:rsidRPr="0008247D">
          <w:rPr>
            <w:rStyle w:val="Hipercze"/>
            <w:rFonts w:cs="Calibri"/>
          </w:rPr>
          <w:t>kkrysik@pfron.org.pl</w:t>
        </w:r>
      </w:hyperlink>
    </w:p>
    <w:p w14:paraId="62DEAFBB" w14:textId="77777777" w:rsidR="00DC458E" w:rsidRDefault="00DC458E" w:rsidP="0044582F">
      <w:pPr>
        <w:spacing w:before="120" w:after="0"/>
        <w:jc w:val="both"/>
        <w:rPr>
          <w:rFonts w:cs="Calibri"/>
          <w:color w:val="000000"/>
        </w:rPr>
      </w:pPr>
    </w:p>
    <w:p w14:paraId="5CE384D2" w14:textId="192A76C1" w:rsidR="00F92BDF" w:rsidRPr="00950F6F" w:rsidRDefault="00333AC9" w:rsidP="0044582F">
      <w:pPr>
        <w:pStyle w:val="Nagwek1"/>
        <w:spacing w:before="120" w:after="0" w:line="276" w:lineRule="auto"/>
      </w:pPr>
      <w:r w:rsidRPr="00333AC9">
        <w:t>TERMIN ZWIĄZANIA OFERTĄ</w:t>
      </w:r>
    </w:p>
    <w:p w14:paraId="3E554600" w14:textId="4566B674" w:rsidR="00333AC9" w:rsidRDefault="005245B2" w:rsidP="0044582F">
      <w:pPr>
        <w:spacing w:before="120" w:after="0"/>
        <w:jc w:val="both"/>
        <w:rPr>
          <w:bCs/>
        </w:rPr>
      </w:pPr>
      <w:r>
        <w:rPr>
          <w:bCs/>
        </w:rPr>
        <w:t>Termin związania ofertą wynosi 3</w:t>
      </w:r>
      <w:r w:rsidR="00333AC9" w:rsidRPr="00333AC9">
        <w:rPr>
          <w:bCs/>
        </w:rPr>
        <w:t>0 dni. Bieg terminu związania ofertą rozpoczyna się wraz z upływem terminu składania ofert.</w:t>
      </w:r>
    </w:p>
    <w:p w14:paraId="247045A9" w14:textId="77777777" w:rsidR="00DC458E" w:rsidRDefault="00DC458E" w:rsidP="0044582F">
      <w:pPr>
        <w:spacing w:before="120" w:after="0"/>
        <w:jc w:val="both"/>
        <w:rPr>
          <w:bCs/>
        </w:rPr>
      </w:pPr>
    </w:p>
    <w:p w14:paraId="70171115" w14:textId="0700B6F6" w:rsidR="00333AC9" w:rsidRDefault="00333AC9" w:rsidP="0044582F">
      <w:pPr>
        <w:pStyle w:val="Nagwek1"/>
        <w:spacing w:before="120" w:after="0" w:line="276" w:lineRule="auto"/>
      </w:pPr>
      <w:r w:rsidRPr="00333AC9">
        <w:t>UNIEWAŻNIENIE POSTĘPOWANIA</w:t>
      </w:r>
    </w:p>
    <w:p w14:paraId="686B5686" w14:textId="3E9B915F" w:rsidR="00333AC9" w:rsidRDefault="00333AC9" w:rsidP="0044582F">
      <w:pPr>
        <w:spacing w:before="120" w:after="0"/>
        <w:jc w:val="both"/>
        <w:rPr>
          <w:bCs/>
        </w:rPr>
      </w:pPr>
      <w:r w:rsidRPr="00333AC9">
        <w:rPr>
          <w:bCs/>
        </w:rPr>
        <w:t>Zamawiający zastrzega sobie możliwość unieważnienia postępowania na każdym etapie bez podania przyczyny</w:t>
      </w:r>
      <w:r w:rsidRPr="00333AC9">
        <w:t xml:space="preserve"> </w:t>
      </w:r>
      <w:r w:rsidRPr="00333AC9">
        <w:rPr>
          <w:bCs/>
        </w:rPr>
        <w:t xml:space="preserve">lub zamknąć postępowanie bez wyboru którejkolwiek z ofert. </w:t>
      </w:r>
      <w:r w:rsidR="00A33238">
        <w:rPr>
          <w:bCs/>
        </w:rPr>
        <w:t xml:space="preserve">W </w:t>
      </w:r>
      <w:r w:rsidRPr="00333AC9">
        <w:rPr>
          <w:bCs/>
        </w:rPr>
        <w:t>przypadku unieważnienia postępowania lub zamknięcia postępowania bez wyboru którejkolwiek z ofert, PFRON nie ponosi kosztów postępowania</w:t>
      </w:r>
      <w:r>
        <w:rPr>
          <w:bCs/>
        </w:rPr>
        <w:t>.</w:t>
      </w:r>
    </w:p>
    <w:p w14:paraId="022D365F" w14:textId="77777777" w:rsidR="00DC458E" w:rsidRDefault="00DC458E" w:rsidP="0044582F">
      <w:pPr>
        <w:spacing w:before="120" w:after="0"/>
        <w:jc w:val="both"/>
        <w:rPr>
          <w:bCs/>
        </w:rPr>
      </w:pPr>
    </w:p>
    <w:p w14:paraId="50563250" w14:textId="2708CE95" w:rsidR="004A2105" w:rsidRPr="00950F6F" w:rsidRDefault="00333AC9" w:rsidP="0044582F">
      <w:pPr>
        <w:pStyle w:val="Nagwek1"/>
        <w:spacing w:before="120" w:after="0" w:line="276" w:lineRule="auto"/>
        <w:rPr>
          <w:sz w:val="22"/>
        </w:rPr>
      </w:pPr>
      <w:r w:rsidRPr="00333AC9">
        <w:t>UWAGI KOŃCOWE</w:t>
      </w:r>
    </w:p>
    <w:p w14:paraId="028CF7E2" w14:textId="7AD5847B" w:rsidR="007C40DE" w:rsidRDefault="007C40DE" w:rsidP="00AC048D">
      <w:pPr>
        <w:pStyle w:val="Akapitzlist"/>
        <w:numPr>
          <w:ilvl w:val="0"/>
          <w:numId w:val="6"/>
        </w:numPr>
        <w:spacing w:before="120" w:after="0"/>
        <w:contextualSpacing w:val="0"/>
        <w:jc w:val="both"/>
      </w:pPr>
      <w:r>
        <w:t xml:space="preserve">O </w:t>
      </w:r>
      <w:r w:rsidR="00333AC9" w:rsidRPr="00333AC9">
        <w:t>wyborze najkorzystniejszej oferty Zamawiający niezwłocznie powiadomi wszystkich Wykonawców,</w:t>
      </w:r>
      <w:r w:rsidR="00DC458E">
        <w:t xml:space="preserve"> którzy złożyli oferty. Ponadto</w:t>
      </w:r>
      <w:r w:rsidR="00333AC9" w:rsidRPr="00333AC9">
        <w:t xml:space="preserve"> powyższe zawiadomienie Zamawiający zamieści na swojej stronie internetowej.</w:t>
      </w:r>
    </w:p>
    <w:p w14:paraId="15D50A58" w14:textId="750E46BB" w:rsidR="004A2105" w:rsidRDefault="00333AC9" w:rsidP="00AC048D">
      <w:pPr>
        <w:pStyle w:val="Akapitzlist"/>
        <w:numPr>
          <w:ilvl w:val="0"/>
          <w:numId w:val="6"/>
        </w:numPr>
        <w:spacing w:before="120" w:after="0"/>
        <w:contextualSpacing w:val="0"/>
        <w:jc w:val="both"/>
      </w:pPr>
      <w:r w:rsidRPr="00333AC9">
        <w:t xml:space="preserve">Niniejsze ogłoszenie nie jest ogłoszeniem w rozumieniu ustawy prawo zamówień publicznych. Państwowy Fundusz Rehabilitacji Osób Niepełnosprawnych zastrzega sobie </w:t>
      </w:r>
      <w:r w:rsidRPr="00333AC9">
        <w:lastRenderedPageBreak/>
        <w:t>możliwość rezygnacji z podpisania lub zawarcia umowy bez podania uzasadnienia swojej decyzji.</w:t>
      </w:r>
    </w:p>
    <w:p w14:paraId="6C48643B" w14:textId="77777777" w:rsidR="00DC458E" w:rsidRPr="007C40DE" w:rsidRDefault="00DC458E" w:rsidP="00DC458E">
      <w:pPr>
        <w:pStyle w:val="Akapitzlist"/>
        <w:spacing w:before="120" w:after="0"/>
        <w:contextualSpacing w:val="0"/>
        <w:jc w:val="both"/>
      </w:pPr>
    </w:p>
    <w:p w14:paraId="28FA9F4C" w14:textId="14308ACB" w:rsidR="004A2105" w:rsidRPr="00333AC9" w:rsidRDefault="007C40DE" w:rsidP="0044582F">
      <w:pPr>
        <w:pStyle w:val="Nagwek1"/>
        <w:spacing w:before="120" w:after="0" w:line="276" w:lineRule="auto"/>
        <w:rPr>
          <w:sz w:val="22"/>
        </w:rPr>
      </w:pPr>
      <w:r w:rsidRPr="007C40DE">
        <w:t>WYKAZ ZAŁĄCZNIKÓW DO NINIEJSZEGO ZAPYTANIA</w:t>
      </w:r>
    </w:p>
    <w:p w14:paraId="31BDEB78" w14:textId="7BA52DFB" w:rsidR="004A2105" w:rsidRDefault="007C40DE" w:rsidP="00AC048D">
      <w:pPr>
        <w:pStyle w:val="Akapitzlist"/>
        <w:numPr>
          <w:ilvl w:val="0"/>
          <w:numId w:val="7"/>
        </w:numPr>
        <w:spacing w:before="120" w:after="0"/>
        <w:contextualSpacing w:val="0"/>
        <w:jc w:val="both"/>
      </w:pPr>
      <w:r>
        <w:t>Załącznik nr 1 – Oferta</w:t>
      </w:r>
    </w:p>
    <w:p w14:paraId="70BD0578" w14:textId="77777777" w:rsidR="00B1722A" w:rsidRDefault="00E440A5" w:rsidP="00AC048D">
      <w:pPr>
        <w:pStyle w:val="Akapitzlist"/>
        <w:numPr>
          <w:ilvl w:val="0"/>
          <w:numId w:val="7"/>
        </w:numPr>
        <w:spacing w:before="120" w:after="0"/>
        <w:contextualSpacing w:val="0"/>
        <w:jc w:val="both"/>
      </w:pPr>
      <w:r>
        <w:t xml:space="preserve">Załącznik nr 2 – Wykaz zrealizowanych usług </w:t>
      </w:r>
    </w:p>
    <w:p w14:paraId="303A2DE3" w14:textId="5CF40505" w:rsidR="00DC458E" w:rsidRDefault="00DC458E" w:rsidP="00AC048D">
      <w:pPr>
        <w:pStyle w:val="Akapitzlist"/>
        <w:numPr>
          <w:ilvl w:val="0"/>
          <w:numId w:val="7"/>
        </w:numPr>
        <w:spacing w:before="120" w:after="0"/>
        <w:contextualSpacing w:val="0"/>
        <w:jc w:val="both"/>
      </w:pPr>
      <w:r w:rsidRPr="00DC458E">
        <w:t>Załącznik nr 3</w:t>
      </w:r>
      <w:r>
        <w:t xml:space="preserve"> – Wykaz personelu</w:t>
      </w:r>
    </w:p>
    <w:p w14:paraId="686F7F87" w14:textId="1FB58EEB" w:rsidR="000C3A0B" w:rsidRPr="007C40DE" w:rsidRDefault="000C3A0B" w:rsidP="00AC048D">
      <w:pPr>
        <w:pStyle w:val="Akapitzlist"/>
        <w:numPr>
          <w:ilvl w:val="0"/>
          <w:numId w:val="7"/>
        </w:numPr>
        <w:spacing w:before="120" w:after="0"/>
        <w:contextualSpacing w:val="0"/>
        <w:jc w:val="both"/>
      </w:pPr>
      <w:r>
        <w:t xml:space="preserve">Załącznik nr </w:t>
      </w:r>
      <w:r w:rsidR="00A2533C">
        <w:t>4</w:t>
      </w:r>
      <w:r w:rsidR="001361F0">
        <w:t xml:space="preserve"> </w:t>
      </w:r>
      <w:r>
        <w:t xml:space="preserve">- </w:t>
      </w:r>
      <w:r w:rsidRPr="00B1722A">
        <w:rPr>
          <w:rFonts w:cs="Calibri"/>
          <w:color w:val="000000"/>
        </w:rPr>
        <w:t>Oświadczenie o braku powiązań</w:t>
      </w:r>
    </w:p>
    <w:p w14:paraId="5DFF31A9" w14:textId="77777777" w:rsidR="004A2105" w:rsidRPr="00950F6F" w:rsidRDefault="004A2105" w:rsidP="0044582F">
      <w:pPr>
        <w:spacing w:before="120" w:after="0"/>
        <w:jc w:val="both"/>
        <w:rPr>
          <w:i/>
        </w:rPr>
      </w:pPr>
    </w:p>
    <w:p w14:paraId="3B1788E4" w14:textId="77777777" w:rsidR="004A2105" w:rsidRPr="00950F6F" w:rsidRDefault="004A2105" w:rsidP="0044582F">
      <w:pPr>
        <w:spacing w:before="120" w:after="0"/>
      </w:pPr>
    </w:p>
    <w:p w14:paraId="44BFED5A" w14:textId="5CEC9A88" w:rsidR="00BA083A" w:rsidRPr="00950F6F" w:rsidRDefault="00BA083A" w:rsidP="0044582F">
      <w:pPr>
        <w:spacing w:before="120" w:after="0"/>
      </w:pPr>
    </w:p>
    <w:sectPr w:rsidR="00BA083A" w:rsidRPr="00950F6F" w:rsidSect="00F14486">
      <w:headerReference w:type="default" r:id="rId14"/>
      <w:footerReference w:type="default" r:id="rId15"/>
      <w:pgSz w:w="11906" w:h="16838"/>
      <w:pgMar w:top="1385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30F753" w14:textId="77777777" w:rsidR="00AB136A" w:rsidRDefault="00AB136A" w:rsidP="007163BF">
      <w:pPr>
        <w:spacing w:after="0" w:line="240" w:lineRule="auto"/>
      </w:pPr>
      <w:r>
        <w:separator/>
      </w:r>
    </w:p>
  </w:endnote>
  <w:endnote w:type="continuationSeparator" w:id="0">
    <w:p w14:paraId="0D47F581" w14:textId="77777777" w:rsidR="00AB136A" w:rsidRDefault="00AB136A" w:rsidP="0071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0A013" w14:textId="5379D54B" w:rsidR="00EB7F86" w:rsidRDefault="00EB7F86" w:rsidP="00EB7F86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2D0A9A0B" wp14:editId="0AC45478">
          <wp:extent cx="1522590" cy="720000"/>
          <wp:effectExtent l="0" t="0" r="1905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590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ptab w:relativeTo="margin" w:alignment="right" w:leader="none"/>
    </w:r>
    <w:r>
      <w:rPr>
        <w:noProof/>
        <w:lang w:eastAsia="pl-PL"/>
      </w:rPr>
      <w:drawing>
        <wp:inline distT="0" distB="0" distL="0" distR="0" wp14:anchorId="28E9231D" wp14:editId="12F4C6C3">
          <wp:extent cx="2439152" cy="720000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915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655FF2" w14:textId="4CF23BB5" w:rsidR="00EB7F86" w:rsidRDefault="00EB7F86" w:rsidP="00EB7F86">
    <w:pPr>
      <w:pStyle w:val="Nagwek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4C527B">
      <w:rPr>
        <w:b/>
        <w:noProof/>
      </w:rPr>
      <w:t>6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4C527B">
      <w:rPr>
        <w:b/>
        <w:noProof/>
      </w:rPr>
      <w:t>7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525068" w14:textId="77777777" w:rsidR="00AB136A" w:rsidRDefault="00AB136A" w:rsidP="007163BF">
      <w:pPr>
        <w:spacing w:after="0" w:line="240" w:lineRule="auto"/>
      </w:pPr>
      <w:r>
        <w:separator/>
      </w:r>
    </w:p>
  </w:footnote>
  <w:footnote w:type="continuationSeparator" w:id="0">
    <w:p w14:paraId="792AB6EB" w14:textId="77777777" w:rsidR="00AB136A" w:rsidRDefault="00AB136A" w:rsidP="00716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ADCCF" w14:textId="1C2DC42E" w:rsidR="0019364A" w:rsidRDefault="00EB7F86" w:rsidP="009E4027">
    <w:pPr>
      <w:pStyle w:val="Nagwek"/>
    </w:pPr>
    <w:r>
      <w:rPr>
        <w:noProof/>
        <w:lang w:eastAsia="pl-PL"/>
      </w:rPr>
      <w:drawing>
        <wp:inline distT="0" distB="0" distL="0" distR="0" wp14:anchorId="22CBEB22" wp14:editId="0D0AF8BA">
          <wp:extent cx="1709564" cy="903600"/>
          <wp:effectExtent l="0" t="0" r="508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FRON_wersja podstawowa_RGB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9564" cy="90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4027">
      <w:rPr>
        <w:noProof/>
        <w:lang w:eastAsia="pl-PL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5EC8"/>
    <w:multiLevelType w:val="hybridMultilevel"/>
    <w:tmpl w:val="BA248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F3267"/>
    <w:multiLevelType w:val="hybridMultilevel"/>
    <w:tmpl w:val="CFCC4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124D1"/>
    <w:multiLevelType w:val="hybridMultilevel"/>
    <w:tmpl w:val="9F5E4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C35BD"/>
    <w:multiLevelType w:val="hybridMultilevel"/>
    <w:tmpl w:val="C42A2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C7BEC"/>
    <w:multiLevelType w:val="multilevel"/>
    <w:tmpl w:val="8F52AD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335000F"/>
    <w:multiLevelType w:val="hybridMultilevel"/>
    <w:tmpl w:val="E2906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3448A"/>
    <w:multiLevelType w:val="hybridMultilevel"/>
    <w:tmpl w:val="444A4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12EF6"/>
    <w:multiLevelType w:val="hybridMultilevel"/>
    <w:tmpl w:val="D4B820DA"/>
    <w:lvl w:ilvl="0" w:tplc="93D6059E">
      <w:start w:val="1"/>
      <w:numFmt w:val="upperRoman"/>
      <w:pStyle w:val="Nagwek1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3F2C98"/>
    <w:multiLevelType w:val="hybridMultilevel"/>
    <w:tmpl w:val="19903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D92E8D"/>
    <w:multiLevelType w:val="hybridMultilevel"/>
    <w:tmpl w:val="21C4C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AF3F3A"/>
    <w:multiLevelType w:val="hybridMultilevel"/>
    <w:tmpl w:val="284C59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960F800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D47671"/>
    <w:multiLevelType w:val="hybridMultilevel"/>
    <w:tmpl w:val="D0E21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4"/>
  </w:num>
  <w:num w:numId="5">
    <w:abstractNumId w:val="10"/>
  </w:num>
  <w:num w:numId="6">
    <w:abstractNumId w:val="1"/>
  </w:num>
  <w:num w:numId="7">
    <w:abstractNumId w:val="2"/>
  </w:num>
  <w:num w:numId="8">
    <w:abstractNumId w:val="7"/>
  </w:num>
  <w:num w:numId="9">
    <w:abstractNumId w:val="0"/>
  </w:num>
  <w:num w:numId="10">
    <w:abstractNumId w:val="5"/>
  </w:num>
  <w:num w:numId="11">
    <w:abstractNumId w:val="9"/>
  </w:num>
  <w:num w:numId="12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BF"/>
    <w:rsid w:val="00003BAB"/>
    <w:rsid w:val="00004A82"/>
    <w:rsid w:val="00017089"/>
    <w:rsid w:val="00031C77"/>
    <w:rsid w:val="00032F8D"/>
    <w:rsid w:val="00035BA6"/>
    <w:rsid w:val="00042C98"/>
    <w:rsid w:val="00043233"/>
    <w:rsid w:val="00043C0C"/>
    <w:rsid w:val="000A1C3C"/>
    <w:rsid w:val="000C3A0B"/>
    <w:rsid w:val="000C3B25"/>
    <w:rsid w:val="000C75DC"/>
    <w:rsid w:val="000D7C4E"/>
    <w:rsid w:val="00121289"/>
    <w:rsid w:val="00132E7F"/>
    <w:rsid w:val="001361F0"/>
    <w:rsid w:val="001367C0"/>
    <w:rsid w:val="001470F9"/>
    <w:rsid w:val="001628AE"/>
    <w:rsid w:val="00180610"/>
    <w:rsid w:val="00180FDF"/>
    <w:rsid w:val="001815E0"/>
    <w:rsid w:val="0019364A"/>
    <w:rsid w:val="001B0FB3"/>
    <w:rsid w:val="001F4BFF"/>
    <w:rsid w:val="0021259D"/>
    <w:rsid w:val="00231119"/>
    <w:rsid w:val="00257168"/>
    <w:rsid w:val="002C638B"/>
    <w:rsid w:val="002E650F"/>
    <w:rsid w:val="002E7225"/>
    <w:rsid w:val="002F34DD"/>
    <w:rsid w:val="00324280"/>
    <w:rsid w:val="00333AC9"/>
    <w:rsid w:val="00340E69"/>
    <w:rsid w:val="00364B95"/>
    <w:rsid w:val="00374805"/>
    <w:rsid w:val="00380D5C"/>
    <w:rsid w:val="003871BF"/>
    <w:rsid w:val="003B74D5"/>
    <w:rsid w:val="003C71B5"/>
    <w:rsid w:val="003E29BC"/>
    <w:rsid w:val="004015FE"/>
    <w:rsid w:val="00441D70"/>
    <w:rsid w:val="00442BB6"/>
    <w:rsid w:val="0044582F"/>
    <w:rsid w:val="004526DC"/>
    <w:rsid w:val="0049115C"/>
    <w:rsid w:val="004A2105"/>
    <w:rsid w:val="004B6E51"/>
    <w:rsid w:val="004C527B"/>
    <w:rsid w:val="004D210B"/>
    <w:rsid w:val="004D6F57"/>
    <w:rsid w:val="004D6F58"/>
    <w:rsid w:val="005245B2"/>
    <w:rsid w:val="00534357"/>
    <w:rsid w:val="0054656F"/>
    <w:rsid w:val="0058352F"/>
    <w:rsid w:val="005D7274"/>
    <w:rsid w:val="005E0D2C"/>
    <w:rsid w:val="005F1CCC"/>
    <w:rsid w:val="006267E7"/>
    <w:rsid w:val="006734AD"/>
    <w:rsid w:val="00691838"/>
    <w:rsid w:val="006A2F1F"/>
    <w:rsid w:val="006C1BF5"/>
    <w:rsid w:val="006D6D74"/>
    <w:rsid w:val="006E4858"/>
    <w:rsid w:val="006F5C3D"/>
    <w:rsid w:val="006F65AE"/>
    <w:rsid w:val="007163BF"/>
    <w:rsid w:val="00792349"/>
    <w:rsid w:val="007A0B06"/>
    <w:rsid w:val="007A3E5D"/>
    <w:rsid w:val="007C40DE"/>
    <w:rsid w:val="007C4F64"/>
    <w:rsid w:val="007D13F2"/>
    <w:rsid w:val="007D45BC"/>
    <w:rsid w:val="007D5660"/>
    <w:rsid w:val="007E5006"/>
    <w:rsid w:val="00800B28"/>
    <w:rsid w:val="00807530"/>
    <w:rsid w:val="008136BB"/>
    <w:rsid w:val="008550F5"/>
    <w:rsid w:val="008571ED"/>
    <w:rsid w:val="0088515C"/>
    <w:rsid w:val="008C0A47"/>
    <w:rsid w:val="008C37D6"/>
    <w:rsid w:val="008E5D5D"/>
    <w:rsid w:val="00903F3E"/>
    <w:rsid w:val="00916D9F"/>
    <w:rsid w:val="00930A18"/>
    <w:rsid w:val="009310D7"/>
    <w:rsid w:val="00950F6F"/>
    <w:rsid w:val="00992C07"/>
    <w:rsid w:val="009E4027"/>
    <w:rsid w:val="009E7216"/>
    <w:rsid w:val="009F6476"/>
    <w:rsid w:val="00A0011B"/>
    <w:rsid w:val="00A17231"/>
    <w:rsid w:val="00A23679"/>
    <w:rsid w:val="00A2533C"/>
    <w:rsid w:val="00A33238"/>
    <w:rsid w:val="00A46AC2"/>
    <w:rsid w:val="00A4739D"/>
    <w:rsid w:val="00A54187"/>
    <w:rsid w:val="00A960DD"/>
    <w:rsid w:val="00AB136A"/>
    <w:rsid w:val="00AB190A"/>
    <w:rsid w:val="00AC048D"/>
    <w:rsid w:val="00AF3B59"/>
    <w:rsid w:val="00B1722A"/>
    <w:rsid w:val="00B25564"/>
    <w:rsid w:val="00B343E7"/>
    <w:rsid w:val="00B80DA1"/>
    <w:rsid w:val="00BA083A"/>
    <w:rsid w:val="00BB0231"/>
    <w:rsid w:val="00BC45E3"/>
    <w:rsid w:val="00BF5291"/>
    <w:rsid w:val="00C06E60"/>
    <w:rsid w:val="00C161D9"/>
    <w:rsid w:val="00C6787A"/>
    <w:rsid w:val="00C7691A"/>
    <w:rsid w:val="00C94053"/>
    <w:rsid w:val="00CE07F1"/>
    <w:rsid w:val="00CF7E12"/>
    <w:rsid w:val="00D66643"/>
    <w:rsid w:val="00D71CE2"/>
    <w:rsid w:val="00D87DA7"/>
    <w:rsid w:val="00DC458E"/>
    <w:rsid w:val="00DE4057"/>
    <w:rsid w:val="00E1244A"/>
    <w:rsid w:val="00E21A8C"/>
    <w:rsid w:val="00E30ED7"/>
    <w:rsid w:val="00E35A09"/>
    <w:rsid w:val="00E362BB"/>
    <w:rsid w:val="00E440A5"/>
    <w:rsid w:val="00E67025"/>
    <w:rsid w:val="00E91CA6"/>
    <w:rsid w:val="00E97005"/>
    <w:rsid w:val="00EA175D"/>
    <w:rsid w:val="00EA2D8D"/>
    <w:rsid w:val="00EB7F86"/>
    <w:rsid w:val="00EE5B7D"/>
    <w:rsid w:val="00EF7CF2"/>
    <w:rsid w:val="00F11B90"/>
    <w:rsid w:val="00F14486"/>
    <w:rsid w:val="00F710DE"/>
    <w:rsid w:val="00F92BDF"/>
    <w:rsid w:val="00F96AD4"/>
    <w:rsid w:val="00FA72B9"/>
    <w:rsid w:val="00FB5B03"/>
    <w:rsid w:val="00FC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  <w14:docId w14:val="695F28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105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7D13F2"/>
    <w:pPr>
      <w:keepNext/>
      <w:keepLines/>
      <w:numPr>
        <w:numId w:val="8"/>
      </w:numPr>
      <w:spacing w:before="240" w:after="120" w:line="288" w:lineRule="auto"/>
      <w:ind w:left="1077" w:hanging="357"/>
      <w:jc w:val="both"/>
      <w:outlineLvl w:val="0"/>
    </w:pPr>
    <w:rPr>
      <w:rFonts w:eastAsiaTheme="majorEastAsia" w:cstheme="majorBidi"/>
      <w:b/>
      <w:bCs/>
      <w:color w:val="2F5496" w:themeColor="accent5" w:themeShade="BF"/>
      <w:sz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2B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3BF"/>
  </w:style>
  <w:style w:type="paragraph" w:styleId="Stopka">
    <w:name w:val="footer"/>
    <w:basedOn w:val="Normalny"/>
    <w:link w:val="Stopka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3BF"/>
  </w:style>
  <w:style w:type="paragraph" w:styleId="NormalnyWeb">
    <w:name w:val="Normal (Web)"/>
    <w:basedOn w:val="Normalny"/>
    <w:uiPriority w:val="99"/>
    <w:unhideWhenUsed/>
    <w:rsid w:val="00716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63BF"/>
    <w:rPr>
      <w:b/>
      <w:bCs/>
    </w:rPr>
  </w:style>
  <w:style w:type="paragraph" w:styleId="Akapitzlist">
    <w:name w:val="List Paragraph"/>
    <w:basedOn w:val="Normalny"/>
    <w:uiPriority w:val="99"/>
    <w:qFormat/>
    <w:rsid w:val="00FA72B9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CF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CF2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CF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CF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C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CF2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CF2"/>
    <w:rPr>
      <w:rFonts w:ascii="Lucida Grande CE" w:hAnsi="Lucida Grande CE" w:cs="Lucida Grande CE"/>
      <w:sz w:val="18"/>
      <w:szCs w:val="18"/>
    </w:rPr>
  </w:style>
  <w:style w:type="table" w:styleId="Tabela-Siatka">
    <w:name w:val="Table Grid"/>
    <w:basedOn w:val="Standardowy"/>
    <w:uiPriority w:val="59"/>
    <w:rsid w:val="004A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2105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F92BD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92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7D13F2"/>
    <w:rPr>
      <w:rFonts w:eastAsiaTheme="majorEastAsia" w:cstheme="majorBidi"/>
      <w:b/>
      <w:bCs/>
      <w:color w:val="2F5496" w:themeColor="accent5" w:themeShade="BF"/>
      <w:sz w:val="26"/>
    </w:rPr>
  </w:style>
  <w:style w:type="character" w:customStyle="1" w:styleId="Nagwek2Znak">
    <w:name w:val="Nagłówek 2 Znak"/>
    <w:basedOn w:val="Domylnaczcionkaakapitu"/>
    <w:link w:val="Nagwek2"/>
    <w:uiPriority w:val="9"/>
    <w:rsid w:val="00F92B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105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7D13F2"/>
    <w:pPr>
      <w:keepNext/>
      <w:keepLines/>
      <w:numPr>
        <w:numId w:val="8"/>
      </w:numPr>
      <w:spacing w:before="240" w:after="120" w:line="288" w:lineRule="auto"/>
      <w:ind w:left="1077" w:hanging="357"/>
      <w:jc w:val="both"/>
      <w:outlineLvl w:val="0"/>
    </w:pPr>
    <w:rPr>
      <w:rFonts w:eastAsiaTheme="majorEastAsia" w:cstheme="majorBidi"/>
      <w:b/>
      <w:bCs/>
      <w:color w:val="2F5496" w:themeColor="accent5" w:themeShade="BF"/>
      <w:sz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2B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3BF"/>
  </w:style>
  <w:style w:type="paragraph" w:styleId="Stopka">
    <w:name w:val="footer"/>
    <w:basedOn w:val="Normalny"/>
    <w:link w:val="Stopka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3BF"/>
  </w:style>
  <w:style w:type="paragraph" w:styleId="NormalnyWeb">
    <w:name w:val="Normal (Web)"/>
    <w:basedOn w:val="Normalny"/>
    <w:uiPriority w:val="99"/>
    <w:unhideWhenUsed/>
    <w:rsid w:val="00716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63BF"/>
    <w:rPr>
      <w:b/>
      <w:bCs/>
    </w:rPr>
  </w:style>
  <w:style w:type="paragraph" w:styleId="Akapitzlist">
    <w:name w:val="List Paragraph"/>
    <w:basedOn w:val="Normalny"/>
    <w:uiPriority w:val="99"/>
    <w:qFormat/>
    <w:rsid w:val="00FA72B9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CF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CF2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CF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CF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C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CF2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CF2"/>
    <w:rPr>
      <w:rFonts w:ascii="Lucida Grande CE" w:hAnsi="Lucida Grande CE" w:cs="Lucida Grande CE"/>
      <w:sz w:val="18"/>
      <w:szCs w:val="18"/>
    </w:rPr>
  </w:style>
  <w:style w:type="table" w:styleId="Tabela-Siatka">
    <w:name w:val="Table Grid"/>
    <w:basedOn w:val="Standardowy"/>
    <w:uiPriority w:val="59"/>
    <w:rsid w:val="004A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2105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F92BD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92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7D13F2"/>
    <w:rPr>
      <w:rFonts w:eastAsiaTheme="majorEastAsia" w:cstheme="majorBidi"/>
      <w:b/>
      <w:bCs/>
      <w:color w:val="2F5496" w:themeColor="accent5" w:themeShade="BF"/>
      <w:sz w:val="26"/>
    </w:rPr>
  </w:style>
  <w:style w:type="character" w:customStyle="1" w:styleId="Nagwek2Znak">
    <w:name w:val="Nagłówek 2 Znak"/>
    <w:basedOn w:val="Domylnaczcionkaakapitu"/>
    <w:link w:val="Nagwek2"/>
    <w:uiPriority w:val="9"/>
    <w:rsid w:val="00F92B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krysik@pfron.org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gurbiel@pfron.org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krysik@pfron.org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kgurbiel@pfron.or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fron.org.p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EC703-F202-4F8C-9365-3D42427C6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1841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Leona Koźmińskiego</Company>
  <LinksUpToDate>false</LinksUpToDate>
  <CharactersWithSpaces>12868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 Burchuladze-Sobczynska</dc:creator>
  <cp:lastModifiedBy>test</cp:lastModifiedBy>
  <cp:revision>3</cp:revision>
  <cp:lastPrinted>2017-11-13T07:38:00Z</cp:lastPrinted>
  <dcterms:created xsi:type="dcterms:W3CDTF">2017-11-21T13:41:00Z</dcterms:created>
  <dcterms:modified xsi:type="dcterms:W3CDTF">2017-11-21T15:10:00Z</dcterms:modified>
</cp:coreProperties>
</file>