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0B" w:rsidRPr="00D75D0B" w:rsidRDefault="00D75D0B" w:rsidP="00861591">
      <w:pPr>
        <w:spacing w:line="280" w:lineRule="exact"/>
        <w:jc w:val="both"/>
        <w:rPr>
          <w:rFonts w:asciiTheme="minorHAnsi" w:hAnsiTheme="minorHAnsi"/>
          <w:b/>
          <w:sz w:val="22"/>
          <w:szCs w:val="22"/>
        </w:rPr>
      </w:pPr>
      <w:r w:rsidRPr="00D75D0B">
        <w:rPr>
          <w:rFonts w:asciiTheme="minorHAnsi" w:hAnsiTheme="minorHAnsi"/>
          <w:b/>
          <w:sz w:val="22"/>
          <w:szCs w:val="22"/>
        </w:rPr>
        <w:t>Pytania, które wpłynęły d</w:t>
      </w:r>
      <w:r>
        <w:rPr>
          <w:rFonts w:asciiTheme="minorHAnsi" w:hAnsiTheme="minorHAnsi"/>
          <w:b/>
          <w:sz w:val="22"/>
          <w:szCs w:val="22"/>
        </w:rPr>
        <w:t>o</w:t>
      </w:r>
      <w:r w:rsidRPr="00D75D0B">
        <w:rPr>
          <w:rFonts w:asciiTheme="minorHAnsi" w:hAnsiTheme="minorHAnsi"/>
          <w:b/>
          <w:sz w:val="22"/>
          <w:szCs w:val="22"/>
        </w:rPr>
        <w:t xml:space="preserve"> Zamawiającego dotyczące </w:t>
      </w:r>
      <w:r>
        <w:rPr>
          <w:rFonts w:asciiTheme="minorHAnsi" w:hAnsiTheme="minorHAnsi"/>
          <w:b/>
          <w:sz w:val="22"/>
          <w:szCs w:val="22"/>
        </w:rPr>
        <w:t>dostarczenia</w:t>
      </w:r>
      <w:r w:rsidRPr="00D75D0B">
        <w:rPr>
          <w:rFonts w:asciiTheme="minorHAnsi" w:hAnsiTheme="minorHAnsi"/>
          <w:b/>
          <w:sz w:val="22"/>
          <w:szCs w:val="22"/>
        </w:rPr>
        <w:t xml:space="preserve"> i uruchomieni</w:t>
      </w:r>
      <w:r>
        <w:rPr>
          <w:rFonts w:asciiTheme="minorHAnsi" w:hAnsiTheme="minorHAnsi"/>
          <w:b/>
          <w:sz w:val="22"/>
          <w:szCs w:val="22"/>
        </w:rPr>
        <w:t>a</w:t>
      </w:r>
      <w:r w:rsidRPr="00D75D0B">
        <w:rPr>
          <w:rFonts w:asciiTheme="minorHAnsi" w:hAnsiTheme="minorHAnsi"/>
          <w:b/>
          <w:sz w:val="22"/>
          <w:szCs w:val="22"/>
        </w:rPr>
        <w:t xml:space="preserve"> zapasowego łącza internetowego dla Biura PFRON w Warszawie przy al. Jana Pawła II 13</w:t>
      </w:r>
      <w:r>
        <w:rPr>
          <w:rFonts w:asciiTheme="minorHAnsi" w:hAnsiTheme="minorHAnsi"/>
          <w:b/>
          <w:sz w:val="22"/>
          <w:szCs w:val="22"/>
        </w:rPr>
        <w:t xml:space="preserve"> </w:t>
      </w:r>
      <w:r w:rsidRPr="00D75D0B">
        <w:rPr>
          <w:rFonts w:asciiTheme="minorHAnsi" w:hAnsiTheme="minorHAnsi"/>
          <w:b/>
          <w:sz w:val="22"/>
          <w:szCs w:val="22"/>
        </w:rPr>
        <w:t>wraz z jego utrzymaniem i serwisem.</w:t>
      </w:r>
    </w:p>
    <w:p w:rsidR="00861591" w:rsidRPr="00D75D0B" w:rsidRDefault="00861591" w:rsidP="00861591">
      <w:pPr>
        <w:spacing w:line="280" w:lineRule="exact"/>
        <w:jc w:val="both"/>
        <w:rPr>
          <w:rFonts w:asciiTheme="minorHAnsi" w:hAnsiTheme="minorHAnsi"/>
          <w:sz w:val="22"/>
          <w:szCs w:val="22"/>
        </w:rPr>
      </w:pPr>
      <w:r w:rsidRPr="00861591">
        <w:rPr>
          <w:rFonts w:asciiTheme="minorHAnsi" w:hAnsiTheme="minorHAnsi"/>
          <w:b/>
          <w:sz w:val="22"/>
          <w:szCs w:val="22"/>
        </w:rPr>
        <w:t>Pytanie 1</w:t>
      </w:r>
    </w:p>
    <w:p w:rsidR="00861591" w:rsidRPr="00861591" w:rsidRDefault="00861591" w:rsidP="00861591">
      <w:pPr>
        <w:spacing w:line="280" w:lineRule="exact"/>
        <w:rPr>
          <w:rFonts w:asciiTheme="minorHAnsi" w:hAnsiTheme="minorHAnsi"/>
          <w:sz w:val="22"/>
          <w:szCs w:val="22"/>
        </w:rPr>
      </w:pPr>
      <w:r w:rsidRPr="00861591">
        <w:rPr>
          <w:rFonts w:asciiTheme="minorHAnsi" w:hAnsiTheme="minorHAnsi"/>
          <w:sz w:val="22"/>
          <w:szCs w:val="22"/>
        </w:rPr>
        <w:t>W treści § 3 ust. 6 Umowy Zamawiający przewidział dla siebie: „</w:t>
      </w:r>
      <w:r w:rsidRPr="00861591">
        <w:rPr>
          <w:rFonts w:asciiTheme="minorHAnsi" w:hAnsiTheme="minorHAnsi"/>
          <w:i/>
          <w:sz w:val="22"/>
          <w:szCs w:val="22"/>
        </w:rPr>
        <w:t>Zamawiającemu przysługuje prawo do potrącania z wynagrodzenia należnego Wykonawcy wszelkich roszczeń nadających się do potrącenia i wynikających z niniejszej Umowy, w tym w szczególności roszczeń z tytułu należnych Zamawiającemu kar umownych zastrzeżonych w niniejszej Umowie</w:t>
      </w:r>
      <w:r w:rsidRPr="00861591">
        <w:rPr>
          <w:rFonts w:asciiTheme="minorHAnsi" w:hAnsiTheme="minorHAnsi"/>
          <w:sz w:val="22"/>
          <w:szCs w:val="22"/>
        </w:rPr>
        <w:t xml:space="preserve">”. </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Nieograniczone jednostronne prawo ustalania i  naliczenia kar umownych i potrącenia ich przez Zamawiającego z kwoty należytego wykonania umowy,  uniemożliwia zbadanie, czy kara umowna została naliczona  i potrącona prawidłowo i w odpowiedniej wysokości. W ocenie Wykonawcy  zasadnym jest dodanie zapisu  o  treści: „Naliczenie  i potrącenie kar umownych nastąpi po uprzednim  przeprowadzeniu postępowania  potwierdzającego  wysokość  naliczonej  kary umownej”.</w:t>
      </w:r>
      <w:r>
        <w:rPr>
          <w:rFonts w:asciiTheme="minorHAnsi" w:hAnsiTheme="minorHAnsi"/>
          <w:sz w:val="22"/>
          <w:szCs w:val="22"/>
        </w:rPr>
        <w:t xml:space="preserve"> </w:t>
      </w:r>
      <w:r w:rsidRPr="00861591">
        <w:rPr>
          <w:rFonts w:asciiTheme="minorHAnsi" w:hAnsiTheme="minorHAnsi"/>
          <w:sz w:val="22"/>
          <w:szCs w:val="22"/>
        </w:rPr>
        <w:t>W związku z powyższym, czy Zamawiający wyrazi zgodę na wskazaną zaproponowaną modyfikację?</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1</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b/>
          <w:sz w:val="22"/>
          <w:szCs w:val="22"/>
        </w:rPr>
        <w:t xml:space="preserve"> </w:t>
      </w:r>
      <w:r w:rsidR="00A81C8F">
        <w:rPr>
          <w:rFonts w:asciiTheme="minorHAnsi" w:hAnsiTheme="minorHAnsi"/>
          <w:sz w:val="22"/>
          <w:szCs w:val="22"/>
        </w:rPr>
        <w:t>Zamawiający nie wyraża</w:t>
      </w:r>
      <w:r w:rsidRPr="00861591">
        <w:rPr>
          <w:rFonts w:asciiTheme="minorHAnsi" w:hAnsiTheme="minorHAnsi"/>
          <w:sz w:val="22"/>
          <w:szCs w:val="22"/>
        </w:rPr>
        <w:t xml:space="preserve"> zgody na zaproponowaną modyfikację.</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Pytanie 2</w:t>
      </w:r>
    </w:p>
    <w:p w:rsidR="00861591" w:rsidRPr="00861591" w:rsidRDefault="00861591" w:rsidP="00861591">
      <w:pPr>
        <w:spacing w:line="280" w:lineRule="exact"/>
        <w:rPr>
          <w:rFonts w:asciiTheme="minorHAnsi" w:hAnsiTheme="minorHAnsi"/>
          <w:sz w:val="22"/>
          <w:szCs w:val="22"/>
        </w:rPr>
      </w:pPr>
      <w:r w:rsidRPr="00861591">
        <w:rPr>
          <w:rFonts w:asciiTheme="minorHAnsi" w:hAnsiTheme="minorHAnsi"/>
          <w:sz w:val="22"/>
          <w:szCs w:val="22"/>
        </w:rPr>
        <w:t>Zgodnie z  treścią § 3 ust.4 Umowy wynagrodzenie płatne będzie w terminie 30 dni od daty otrzymania prawidłowo wystawionej  faktury.  </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 xml:space="preserve">Należy zauważyć należy, iż z punktu widzenia Wykonawcy, jak i przepisów podatkowych takie określenie terminu płatności nie pozwala ustalić prawidłowej daty powstania obowiązku podatkowego, co w konsekwencji naraża Wykonawcę na sankcje skarbowe z tytułu nieterminowego odprowadzenia podatku VAT i podatku dochodowego od osób prawnych (art. 19 ust. 13 pkt 16 ustawy z dnia 05.04.2004 r. o podatku od towarów i usług (Dz. U. Nr 54 poz. 535 z </w:t>
      </w:r>
      <w:proofErr w:type="spellStart"/>
      <w:r w:rsidRPr="00861591">
        <w:rPr>
          <w:rFonts w:asciiTheme="minorHAnsi" w:hAnsiTheme="minorHAnsi"/>
          <w:sz w:val="22"/>
          <w:szCs w:val="22"/>
        </w:rPr>
        <w:t>późn</w:t>
      </w:r>
      <w:proofErr w:type="spellEnd"/>
      <w:r w:rsidRPr="00861591">
        <w:rPr>
          <w:rFonts w:asciiTheme="minorHAnsi" w:hAnsiTheme="minorHAnsi"/>
          <w:sz w:val="22"/>
          <w:szCs w:val="22"/>
        </w:rPr>
        <w:t>. zm.) oraz art. 12 ust. 3d pkt 16 ustawy z dnia 15.02.1992 r. o podatku dochodowym od osób prawnych (</w:t>
      </w:r>
      <w:proofErr w:type="spellStart"/>
      <w:r w:rsidRPr="00861591">
        <w:rPr>
          <w:rFonts w:asciiTheme="minorHAnsi" w:hAnsiTheme="minorHAnsi"/>
          <w:sz w:val="22"/>
          <w:szCs w:val="22"/>
        </w:rPr>
        <w:t>t.j</w:t>
      </w:r>
      <w:proofErr w:type="spellEnd"/>
      <w:r w:rsidRPr="00861591">
        <w:rPr>
          <w:rFonts w:asciiTheme="minorHAnsi" w:hAnsiTheme="minorHAnsi"/>
          <w:sz w:val="22"/>
          <w:szCs w:val="22"/>
        </w:rPr>
        <w:t xml:space="preserve">. Dz. U. z 2000 r. Nr 54, poz. 654 z </w:t>
      </w:r>
      <w:proofErr w:type="spellStart"/>
      <w:r w:rsidRPr="00861591">
        <w:rPr>
          <w:rFonts w:asciiTheme="minorHAnsi" w:hAnsiTheme="minorHAnsi"/>
          <w:sz w:val="22"/>
          <w:szCs w:val="22"/>
        </w:rPr>
        <w:t>późn</w:t>
      </w:r>
      <w:proofErr w:type="spellEnd"/>
      <w:r w:rsidRPr="00861591">
        <w:rPr>
          <w:rFonts w:asciiTheme="minorHAnsi" w:hAnsiTheme="minorHAnsi"/>
          <w:sz w:val="22"/>
          <w:szCs w:val="22"/>
        </w:rPr>
        <w:t xml:space="preserve">. zm.)). </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Wskazujemy ponadto, że Zamawiającego jako podatnika VAT również dotyczą zapisy ustawy o podatku od towarów i usług, tzn. zgodnie z art. 86 ust. 10 pkt 3 oraz art. 86 ust. 11 tej ustawy prawo do obniżania kwoty podatku należnego o podatek naliczony powstaje w rozliczeniu za okres, w którym przypada okres płatności lub w miesiącu następnym. W tym stanie rzeczy zauważyć należy, iż takie ukształtowanie warunków umowy naraża Wykonawcę na istotne niebezpieczeństwo błędnego określenia powyższych terminów, co w konsekwencji doprowadzić może do nieprawidłowego wyliczenia kwot należnych podatków. Podkreślić należy, iż jedynym rozwiązaniem takiej sytuacji może być wyłącznie uzależnienie terminu płatności od daty wystawienia faktury VAT (z punktu widzenia Wykonawcy jest to data pewna), nie zaś od daty jej otrzymania przez Zamawiającego.</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W związku z powyższym zwracamy się z pytaniem, czy Zamawiający dopuszcza możliwość zastąpienia treści § 3 ust. 4 Umowy następującymi zapisami: „Wynagrodzenie będzie płatne (…) w terminie 30 dni, licząc od daty wystawienia faktury VAT. Wykonawca zobowiązany jest każdorazowo dostarczać Zamawiającemu faktury VAT w terminie 7 dni od dnia ich wystawienia.”?</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2.</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Zamawiający nie wyraża zgody na zmiany w  § 3 ust.4</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sz w:val="22"/>
          <w:szCs w:val="22"/>
        </w:rPr>
        <w:br/>
      </w:r>
      <w:r w:rsidRPr="00861591">
        <w:rPr>
          <w:rFonts w:asciiTheme="minorHAnsi" w:hAnsiTheme="minorHAnsi"/>
          <w:b/>
          <w:sz w:val="22"/>
          <w:szCs w:val="22"/>
        </w:rPr>
        <w:t>Pytanie 3</w:t>
      </w:r>
    </w:p>
    <w:p w:rsidR="00861591" w:rsidRPr="00861591" w:rsidRDefault="00861591" w:rsidP="00847B10">
      <w:pPr>
        <w:spacing w:line="280" w:lineRule="exact"/>
        <w:rPr>
          <w:rFonts w:asciiTheme="minorHAnsi" w:hAnsiTheme="minorHAnsi"/>
          <w:sz w:val="22"/>
          <w:szCs w:val="22"/>
        </w:rPr>
      </w:pPr>
      <w:r w:rsidRPr="00861591">
        <w:rPr>
          <w:rFonts w:asciiTheme="minorHAnsi" w:hAnsiTheme="minorHAnsi"/>
          <w:sz w:val="22"/>
          <w:szCs w:val="22"/>
        </w:rPr>
        <w:lastRenderedPageBreak/>
        <w:t>Wykonawca zwraca z pytaniem czy możliwym jest  uzupełnienie  treści  postanowień §  5 Umowy o zapis, zgodnie z którym: „</w:t>
      </w:r>
      <w:r w:rsidRPr="00861591">
        <w:rPr>
          <w:rFonts w:asciiTheme="minorHAnsi" w:hAnsiTheme="minorHAnsi"/>
          <w:i/>
          <w:sz w:val="22"/>
          <w:szCs w:val="22"/>
        </w:rPr>
        <w:t>Całkowita suma kar umownych naliczonych na podstawie  § 5   ust. 4 pkt a-c  Umowy nie przekroczy 20 % wartości łącznego wynagrodzenia brutto określonego w § 3 ust. 1 Umowy,  a łączna  suma kar umownych naliczonych w danym miesiącu nie przekroczy sumy opłat należnych Wykonawcy za świadczenie usług w danym miesiącu</w:t>
      </w:r>
      <w:r w:rsidRPr="00861591">
        <w:rPr>
          <w:rFonts w:asciiTheme="minorHAnsi" w:hAnsiTheme="minorHAnsi"/>
          <w:sz w:val="22"/>
          <w:szCs w:val="22"/>
        </w:rPr>
        <w:t>”?</w:t>
      </w:r>
      <w:r w:rsidRPr="00861591">
        <w:rPr>
          <w:rFonts w:asciiTheme="minorHAnsi" w:hAnsiTheme="minorHAnsi"/>
          <w:sz w:val="22"/>
          <w:szCs w:val="22"/>
        </w:rPr>
        <w:br/>
        <w:t xml:space="preserve">Z punktu widzenia Wykonawcy wskazanie maksymalnej wysokości kar umownych umożliwia pełne rozeznanie i  oszacowanie ryzyka kontraktowego  związanego z realizacją umowy. </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W sytuacji, gdyby Zamawiający nie uwzględnił ograniczenia całkowitej wysokości kar umownych do proponowanej  wysokości 20  % wartości Umowy brutto,  zasadnym będzie wskazanie i  rozważenie innej wartości procentowej.  Zwrócić należy uwagę, że Zamawiający zastrzega również w umowie mimo na</w:t>
      </w:r>
      <w:r w:rsidRPr="00861591">
        <w:rPr>
          <w:rFonts w:asciiTheme="minorHAnsi" w:hAnsiTheme="minorHAnsi"/>
          <w:sz w:val="22"/>
          <w:szCs w:val="22"/>
        </w:rPr>
        <w:softHyphen/>
        <w:t xml:space="preserve">liczenia kar , jednocześnie prawo odstąpienia  od umowy. Tego rodzaju postanowienie może zostać uznane za naruszające zasadę współżycia społecznego wynikającą z art. 5 </w:t>
      </w:r>
      <w:proofErr w:type="spellStart"/>
      <w:r w:rsidRPr="00861591">
        <w:rPr>
          <w:rFonts w:asciiTheme="minorHAnsi" w:hAnsiTheme="minorHAnsi"/>
          <w:sz w:val="22"/>
          <w:szCs w:val="22"/>
        </w:rPr>
        <w:t>kc</w:t>
      </w:r>
      <w:proofErr w:type="spellEnd"/>
      <w:r w:rsidRPr="00861591">
        <w:rPr>
          <w:rFonts w:asciiTheme="minorHAnsi" w:hAnsiTheme="minorHAnsi"/>
          <w:sz w:val="22"/>
          <w:szCs w:val="22"/>
        </w:rPr>
        <w:t>.. Kary powinny bowiem służyć zabezpieczeniu terminowego i należytego wykonania prac, a nie być nadmiernym i nieuzasadnionym rangą przewinienia obciążeniem dla wykonawcy</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3</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Zamawiający nie wyraża zgody na zmiany w  §5.</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Pytanie 4</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 xml:space="preserve">Wykonawca zwraca  się do  Zamawiającego o  wyrażenie  zgody na modyfikację treści  postanowień § 5 ust.5  Umowy  poprzez wskazanie, że w przypadku dochodzenia odszkodowania przewyższającego wysokość naliczonych kar umownych łączna wysokość odszkodowania wraz z naliczonymi karami nie przekroczy  całkowitej wartości umowy, i wyłączona jest odpowiedzialność Wykonawcy z tytułu utraconych korzyści. </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4</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Zamawiający nie wyraża zgody na zmiany w  §5.</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Pytanie 5</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Wykonawca zwraca się z prośbą o potwierdzenie, czy Zamawiający udostępni Wykonawcy bezpłatnie sieć wewnętrzną?</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5</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sz w:val="22"/>
          <w:szCs w:val="22"/>
        </w:rPr>
        <w:t>Zamawiający udostępni Wykonawcy bezpłatnie sieć wewnętrzną</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Pytanie 6</w:t>
      </w:r>
    </w:p>
    <w:p w:rsidR="00861591" w:rsidRP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W związku z koniecznością sprawdzenia przez Wykonawcę możliwości technicznych świadczenia usług będących przedmiotem zamówienia, zwracamy się z prośbą o zmianę terminu składania ofert i wyznaczenie go nie wcześniej niż na dzień 02.02.2018 r.</w:t>
      </w:r>
    </w:p>
    <w:p w:rsidR="00861591" w:rsidRPr="00861591" w:rsidRDefault="00861591" w:rsidP="00861591">
      <w:pPr>
        <w:spacing w:line="280" w:lineRule="exact"/>
        <w:jc w:val="both"/>
        <w:rPr>
          <w:rFonts w:asciiTheme="minorHAnsi" w:hAnsiTheme="minorHAnsi"/>
          <w:b/>
          <w:sz w:val="22"/>
          <w:szCs w:val="22"/>
        </w:rPr>
      </w:pPr>
      <w:r w:rsidRPr="00861591">
        <w:rPr>
          <w:rFonts w:asciiTheme="minorHAnsi" w:hAnsiTheme="minorHAnsi"/>
          <w:b/>
          <w:sz w:val="22"/>
          <w:szCs w:val="22"/>
        </w:rPr>
        <w:t>Odpowiedź 6</w:t>
      </w:r>
    </w:p>
    <w:p w:rsidR="00861591" w:rsidRDefault="00861591" w:rsidP="00861591">
      <w:pPr>
        <w:spacing w:line="280" w:lineRule="exact"/>
        <w:jc w:val="both"/>
        <w:rPr>
          <w:rFonts w:asciiTheme="minorHAnsi" w:hAnsiTheme="minorHAnsi"/>
          <w:sz w:val="22"/>
          <w:szCs w:val="22"/>
        </w:rPr>
      </w:pPr>
      <w:r w:rsidRPr="00861591">
        <w:rPr>
          <w:rFonts w:asciiTheme="minorHAnsi" w:hAnsiTheme="minorHAnsi"/>
          <w:sz w:val="22"/>
          <w:szCs w:val="22"/>
        </w:rPr>
        <w:t>Zamawiający nie wyraża zgody na zmianę terminu składania ofert.</w:t>
      </w:r>
    </w:p>
    <w:p w:rsidR="00D13C5D" w:rsidRDefault="00D13C5D" w:rsidP="00861591">
      <w:pPr>
        <w:spacing w:line="280" w:lineRule="exact"/>
        <w:jc w:val="both"/>
        <w:rPr>
          <w:rFonts w:asciiTheme="minorHAnsi" w:hAnsiTheme="minorHAnsi"/>
          <w:sz w:val="22"/>
          <w:szCs w:val="22"/>
        </w:rPr>
      </w:pPr>
      <w:r>
        <w:rPr>
          <w:rFonts w:asciiTheme="minorHAnsi" w:hAnsiTheme="minorHAnsi"/>
          <w:sz w:val="22"/>
          <w:szCs w:val="22"/>
        </w:rPr>
        <w:t>Pytanie 7</w:t>
      </w:r>
    </w:p>
    <w:p w:rsidR="00D13C5D" w:rsidRDefault="00D13C5D" w:rsidP="00D13C5D">
      <w:pPr>
        <w:overflowPunct/>
        <w:autoSpaceDE/>
        <w:autoSpaceDN/>
        <w:adjustRightInd/>
        <w:spacing w:after="0" w:line="240" w:lineRule="auto"/>
        <w:textAlignment w:val="auto"/>
        <w:rPr>
          <w:rFonts w:ascii="Calibri" w:hAnsi="Calibri" w:cs="Times New Roman"/>
          <w:sz w:val="22"/>
          <w:szCs w:val="22"/>
        </w:rPr>
      </w:pPr>
      <w:r w:rsidRPr="00D13C5D">
        <w:rPr>
          <w:rFonts w:ascii="Calibri" w:hAnsi="Calibri" w:cs="Times New Roman"/>
          <w:sz w:val="22"/>
          <w:szCs w:val="22"/>
        </w:rPr>
        <w:t>Zwracamy się z zapytaniem Czy klient ma swój router? Jeżeli tak, to prosimy o podanie oznaczenia urządzenia. Czy urządzenie posiada funkcjonalność ustawienia nazwy na interfejsie, SNMP, HAU?</w:t>
      </w:r>
    </w:p>
    <w:p w:rsidR="00D13C5D" w:rsidRDefault="00D13C5D" w:rsidP="00D13C5D">
      <w:pPr>
        <w:overflowPunct/>
        <w:autoSpaceDE/>
        <w:autoSpaceDN/>
        <w:adjustRightInd/>
        <w:spacing w:after="0" w:line="240" w:lineRule="auto"/>
        <w:textAlignment w:val="auto"/>
        <w:rPr>
          <w:rFonts w:ascii="Calibri" w:hAnsi="Calibri" w:cs="Times New Roman"/>
          <w:sz w:val="22"/>
          <w:szCs w:val="22"/>
        </w:rPr>
      </w:pPr>
    </w:p>
    <w:p w:rsidR="00D13C5D" w:rsidRPr="00D13C5D" w:rsidRDefault="00D13C5D" w:rsidP="00D13C5D">
      <w:pPr>
        <w:overflowPunct/>
        <w:autoSpaceDE/>
        <w:autoSpaceDN/>
        <w:adjustRightInd/>
        <w:spacing w:after="0" w:line="240" w:lineRule="auto"/>
        <w:textAlignment w:val="auto"/>
        <w:rPr>
          <w:rFonts w:ascii="Calibri" w:hAnsi="Calibri" w:cs="Times New Roman"/>
          <w:sz w:val="22"/>
          <w:szCs w:val="22"/>
        </w:rPr>
      </w:pPr>
      <w:r>
        <w:rPr>
          <w:rFonts w:ascii="Calibri" w:hAnsi="Calibri" w:cs="Times New Roman"/>
          <w:sz w:val="22"/>
          <w:szCs w:val="22"/>
        </w:rPr>
        <w:t>Odpowiedź 7</w:t>
      </w:r>
    </w:p>
    <w:p w:rsidR="00D13C5D" w:rsidRPr="00861591" w:rsidRDefault="00D13C5D" w:rsidP="00861591">
      <w:pPr>
        <w:spacing w:line="280" w:lineRule="exact"/>
        <w:jc w:val="both"/>
        <w:rPr>
          <w:rFonts w:asciiTheme="minorHAnsi" w:hAnsiTheme="minorHAnsi"/>
          <w:sz w:val="22"/>
          <w:szCs w:val="22"/>
        </w:rPr>
      </w:pPr>
      <w:r>
        <w:rPr>
          <w:rFonts w:ascii="Helv" w:eastAsiaTheme="minorHAnsi" w:hAnsi="Helv" w:cs="Helv"/>
          <w:color w:val="000000"/>
          <w:lang w:eastAsia="en-US"/>
        </w:rPr>
        <w:t xml:space="preserve">Łącze powinno być zakończone portem </w:t>
      </w:r>
      <w:proofErr w:type="spellStart"/>
      <w:r>
        <w:rPr>
          <w:rFonts w:ascii="Helv" w:eastAsiaTheme="minorHAnsi" w:hAnsi="Helv" w:cs="Helv"/>
          <w:color w:val="000000"/>
          <w:lang w:eastAsia="en-US"/>
        </w:rPr>
        <w:t>rj</w:t>
      </w:r>
      <w:proofErr w:type="spellEnd"/>
      <w:r>
        <w:rPr>
          <w:rFonts w:ascii="Helv" w:eastAsiaTheme="minorHAnsi" w:hAnsi="Helv" w:cs="Helv"/>
          <w:color w:val="000000"/>
          <w:lang w:eastAsia="en-US"/>
        </w:rPr>
        <w:t xml:space="preserve"> </w:t>
      </w:r>
      <w:bookmarkStart w:id="0" w:name="_GoBack"/>
      <w:bookmarkEnd w:id="0"/>
      <w:r>
        <w:rPr>
          <w:rFonts w:ascii="Helv" w:eastAsiaTheme="minorHAnsi" w:hAnsi="Helv" w:cs="Helv"/>
          <w:color w:val="000000"/>
          <w:lang w:eastAsia="en-US"/>
        </w:rPr>
        <w:t>45</w:t>
      </w:r>
    </w:p>
    <w:sectPr w:rsidR="00D13C5D" w:rsidRPr="00861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91"/>
    <w:rsid w:val="00060A7D"/>
    <w:rsid w:val="00847B10"/>
    <w:rsid w:val="00861591"/>
    <w:rsid w:val="008E3CFB"/>
    <w:rsid w:val="00A81C8F"/>
    <w:rsid w:val="00D13C5D"/>
    <w:rsid w:val="00D75D0B"/>
    <w:rsid w:val="00EE5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yl 1"/>
    <w:qFormat/>
    <w:rsid w:val="00861591"/>
    <w:pPr>
      <w:overflowPunct w:val="0"/>
      <w:autoSpaceDE w:val="0"/>
      <w:autoSpaceDN w:val="0"/>
      <w:adjustRightInd w:val="0"/>
      <w:spacing w:after="120" w:line="281" w:lineRule="auto"/>
      <w:textAlignment w:val="baseline"/>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yl 1"/>
    <w:qFormat/>
    <w:rsid w:val="00861591"/>
    <w:pPr>
      <w:overflowPunct w:val="0"/>
      <w:autoSpaceDE w:val="0"/>
      <w:autoSpaceDN w:val="0"/>
      <w:adjustRightInd w:val="0"/>
      <w:spacing w:after="120" w:line="281" w:lineRule="auto"/>
      <w:textAlignment w:val="baseline"/>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817</Words>
  <Characters>4907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pgajewski</dc:creator>
  <cp:lastModifiedBy>pgajewski</cp:lastModifiedBy>
  <cp:revision>5</cp:revision>
  <cp:lastPrinted>2018-01-24T09:37:00Z</cp:lastPrinted>
  <dcterms:created xsi:type="dcterms:W3CDTF">2018-01-24T08:28:00Z</dcterms:created>
  <dcterms:modified xsi:type="dcterms:W3CDTF">2018-01-24T14:44:00Z</dcterms:modified>
</cp:coreProperties>
</file>