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9D" w:rsidRDefault="00B77978" w:rsidP="00B77978">
      <w:pPr>
        <w:suppressAutoHyphens/>
        <w:spacing w:line="276" w:lineRule="auto"/>
        <w:jc w:val="right"/>
      </w:pPr>
      <w:r>
        <w:t xml:space="preserve">Warszawa, dnia </w:t>
      </w:r>
      <w:r w:rsidR="004B5D84">
        <w:t>20</w:t>
      </w:r>
      <w:r>
        <w:t>.</w:t>
      </w:r>
      <w:r w:rsidR="002F12B5">
        <w:t>0</w:t>
      </w:r>
      <w:r w:rsidR="004B5D84">
        <w:t>2</w:t>
      </w:r>
      <w:r>
        <w:t>.201</w:t>
      </w:r>
      <w:r w:rsidR="002F12B5">
        <w:t>9</w:t>
      </w:r>
      <w:r>
        <w:t xml:space="preserve"> r.</w:t>
      </w:r>
    </w:p>
    <w:p w:rsidR="002D54AF" w:rsidRDefault="002D54AF" w:rsidP="00A67669">
      <w:pPr>
        <w:suppressAutoHyphens/>
        <w:spacing w:line="276" w:lineRule="auto"/>
      </w:pPr>
    </w:p>
    <w:p w:rsidR="002D54AF" w:rsidRPr="00453DFF" w:rsidRDefault="002D54AF" w:rsidP="00A67669">
      <w:pPr>
        <w:suppressAutoHyphens/>
        <w:spacing w:line="276" w:lineRule="auto"/>
        <w:jc w:val="center"/>
        <w:rPr>
          <w:rFonts w:cs="Calibri"/>
          <w:b/>
          <w:sz w:val="24"/>
          <w:szCs w:val="24"/>
        </w:rPr>
      </w:pPr>
      <w:r w:rsidRPr="00453DFF">
        <w:rPr>
          <w:rFonts w:cs="Calibri"/>
          <w:b/>
          <w:sz w:val="24"/>
          <w:szCs w:val="24"/>
        </w:rPr>
        <w:t xml:space="preserve">Zapytanie </w:t>
      </w:r>
      <w:r w:rsidR="002F12B5">
        <w:rPr>
          <w:rFonts w:cs="Calibri"/>
          <w:b/>
          <w:sz w:val="24"/>
          <w:szCs w:val="24"/>
        </w:rPr>
        <w:t>o</w:t>
      </w:r>
      <w:r w:rsidRPr="00453DFF">
        <w:rPr>
          <w:rFonts w:cs="Calibri"/>
          <w:b/>
          <w:sz w:val="24"/>
          <w:szCs w:val="24"/>
        </w:rPr>
        <w:t>fertow</w:t>
      </w:r>
      <w:r w:rsidR="00A30A2B" w:rsidRPr="00453DFF">
        <w:rPr>
          <w:rFonts w:cs="Calibri"/>
          <w:b/>
          <w:sz w:val="24"/>
          <w:szCs w:val="24"/>
        </w:rPr>
        <w:t>e</w:t>
      </w:r>
      <w:r w:rsidRPr="00453DFF">
        <w:rPr>
          <w:rFonts w:cs="Calibri"/>
          <w:b/>
          <w:sz w:val="24"/>
          <w:szCs w:val="24"/>
        </w:rPr>
        <w:t xml:space="preserve"> dotycząc</w:t>
      </w:r>
      <w:r w:rsidR="00A30A2B" w:rsidRPr="00453DFF">
        <w:rPr>
          <w:rFonts w:cs="Calibri"/>
          <w:b/>
          <w:sz w:val="24"/>
          <w:szCs w:val="24"/>
        </w:rPr>
        <w:t>e</w:t>
      </w:r>
      <w:r w:rsidRPr="00453DFF">
        <w:rPr>
          <w:rFonts w:cs="Calibri"/>
          <w:b/>
          <w:sz w:val="24"/>
          <w:szCs w:val="24"/>
        </w:rPr>
        <w:t xml:space="preserve"> najmu powierzchni przystosowanej d</w:t>
      </w:r>
      <w:r w:rsidR="00A30A2B" w:rsidRPr="00453DFF">
        <w:rPr>
          <w:rFonts w:cs="Calibri"/>
          <w:b/>
          <w:sz w:val="24"/>
          <w:szCs w:val="24"/>
        </w:rPr>
        <w:t>la</w:t>
      </w:r>
      <w:r w:rsidRPr="00453DFF">
        <w:rPr>
          <w:rFonts w:cs="Calibri"/>
          <w:b/>
          <w:sz w:val="24"/>
          <w:szCs w:val="24"/>
        </w:rPr>
        <w:t xml:space="preserve"> potrzeb serwerowni teleinformatycznej</w:t>
      </w:r>
      <w:r w:rsidR="00A30A2B" w:rsidRPr="00453DFF">
        <w:rPr>
          <w:rFonts w:cs="Calibri"/>
          <w:b/>
          <w:sz w:val="24"/>
          <w:szCs w:val="24"/>
        </w:rPr>
        <w:t xml:space="preserve"> PFRON</w:t>
      </w:r>
      <w:r w:rsidRPr="00453DFF">
        <w:rPr>
          <w:rFonts w:cs="Calibri"/>
          <w:b/>
          <w:sz w:val="24"/>
          <w:szCs w:val="24"/>
        </w:rPr>
        <w:t>.</w:t>
      </w:r>
    </w:p>
    <w:p w:rsidR="00A30A2B" w:rsidRPr="00453DFF" w:rsidRDefault="00A30A2B" w:rsidP="00A67669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:rsidR="00A30A2B" w:rsidRPr="00453DFF" w:rsidRDefault="00A30A2B" w:rsidP="000A0B28">
      <w:pPr>
        <w:numPr>
          <w:ilvl w:val="0"/>
          <w:numId w:val="30"/>
        </w:numPr>
        <w:suppressAutoHyphens/>
        <w:spacing w:line="360" w:lineRule="auto"/>
        <w:ind w:left="426" w:hanging="426"/>
        <w:jc w:val="left"/>
        <w:rPr>
          <w:rFonts w:cs="Calibri"/>
          <w:sz w:val="24"/>
          <w:szCs w:val="24"/>
        </w:rPr>
      </w:pPr>
      <w:r w:rsidRPr="00453DFF">
        <w:rPr>
          <w:rFonts w:cs="Calibri"/>
          <w:b/>
          <w:bCs/>
          <w:sz w:val="24"/>
          <w:szCs w:val="24"/>
        </w:rPr>
        <w:t>Nazwa i adres zamawiającego:</w:t>
      </w:r>
    </w:p>
    <w:p w:rsidR="00A30A2B" w:rsidRPr="00453DFF" w:rsidRDefault="00A30A2B" w:rsidP="000A0B28">
      <w:pPr>
        <w:suppressAutoHyphens/>
        <w:spacing w:line="360" w:lineRule="auto"/>
        <w:ind w:firstLine="0"/>
        <w:jc w:val="left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Państwowy Fundusz Rehabilitacji Osób Niepełnosprawnych</w:t>
      </w:r>
      <w:r w:rsidRPr="00453DFF">
        <w:rPr>
          <w:rFonts w:cs="Calibri"/>
          <w:sz w:val="24"/>
          <w:szCs w:val="24"/>
        </w:rPr>
        <w:br/>
        <w:t>00-828 Warszawa</w:t>
      </w:r>
      <w:r w:rsidRPr="00453DFF">
        <w:rPr>
          <w:rFonts w:cs="Calibri"/>
          <w:sz w:val="24"/>
          <w:szCs w:val="24"/>
        </w:rPr>
        <w:br/>
        <w:t>Al. Jana Pawła II 13</w:t>
      </w:r>
      <w:r w:rsidRPr="00453DFF">
        <w:rPr>
          <w:rFonts w:cs="Calibri"/>
          <w:sz w:val="24"/>
          <w:szCs w:val="24"/>
        </w:rPr>
        <w:br/>
        <w:t>Tel. (22) 50-55-663</w:t>
      </w:r>
    </w:p>
    <w:p w:rsidR="002D54AF" w:rsidRPr="00453DFF" w:rsidRDefault="002D54AF" w:rsidP="000A0B28">
      <w:pPr>
        <w:suppressAutoHyphens/>
        <w:spacing w:line="360" w:lineRule="auto"/>
        <w:rPr>
          <w:rFonts w:cs="Calibri"/>
          <w:b/>
          <w:bCs/>
          <w:sz w:val="24"/>
          <w:szCs w:val="24"/>
        </w:rPr>
      </w:pPr>
    </w:p>
    <w:p w:rsidR="00A30A2B" w:rsidRPr="00453DFF" w:rsidRDefault="00A30A2B" w:rsidP="000A0B28">
      <w:pPr>
        <w:pStyle w:val="Akapitzlist1"/>
        <w:numPr>
          <w:ilvl w:val="0"/>
          <w:numId w:val="30"/>
        </w:numPr>
        <w:suppressAutoHyphens/>
        <w:spacing w:after="0" w:line="360" w:lineRule="auto"/>
        <w:ind w:left="426" w:hanging="426"/>
        <w:rPr>
          <w:rFonts w:cs="Calibri"/>
          <w:sz w:val="24"/>
          <w:szCs w:val="24"/>
        </w:rPr>
      </w:pPr>
      <w:r w:rsidRPr="00453DFF">
        <w:rPr>
          <w:rStyle w:val="Nagwek2Znak"/>
          <w:rFonts w:eastAsia="Calibri" w:cs="Calibri"/>
          <w:sz w:val="24"/>
          <w:szCs w:val="24"/>
        </w:rPr>
        <w:t>Opis Przedmiotu Zamówienia</w:t>
      </w:r>
    </w:p>
    <w:p w:rsidR="00B77978" w:rsidRDefault="00A30A2B" w:rsidP="000A0B28">
      <w:pPr>
        <w:suppressAutoHyphens/>
        <w:spacing w:line="360" w:lineRule="auto"/>
        <w:ind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Przedmiotem Zamówienia jest najem powierzchni przystosowanej dla potrzeb serwerowni teleinformatycznej</w:t>
      </w:r>
      <w:r w:rsidR="00414159">
        <w:rPr>
          <w:rFonts w:cs="Calibri"/>
          <w:sz w:val="24"/>
          <w:szCs w:val="24"/>
        </w:rPr>
        <w:t xml:space="preserve"> PFRON</w:t>
      </w:r>
      <w:r w:rsidRPr="00453DFF">
        <w:rPr>
          <w:rFonts w:cs="Calibri"/>
          <w:sz w:val="24"/>
          <w:szCs w:val="24"/>
        </w:rPr>
        <w:t xml:space="preserve">. </w:t>
      </w:r>
    </w:p>
    <w:p w:rsidR="00B77978" w:rsidRDefault="00B77978" w:rsidP="000A0B28">
      <w:pPr>
        <w:suppressAutoHyphens/>
        <w:spacing w:line="360" w:lineRule="auto"/>
        <w:ind w:left="284" w:firstLine="0"/>
        <w:rPr>
          <w:rFonts w:cs="Calibri"/>
          <w:sz w:val="24"/>
          <w:szCs w:val="24"/>
        </w:rPr>
      </w:pPr>
    </w:p>
    <w:p w:rsidR="00B77978" w:rsidRPr="00B77978" w:rsidRDefault="00B77978" w:rsidP="004B75D8">
      <w:pPr>
        <w:numPr>
          <w:ilvl w:val="0"/>
          <w:numId w:val="30"/>
        </w:numPr>
        <w:suppressAutoHyphens/>
        <w:spacing w:line="360" w:lineRule="auto"/>
        <w:ind w:left="357" w:hanging="357"/>
        <w:rPr>
          <w:rFonts w:cs="Calibri"/>
          <w:b/>
          <w:sz w:val="24"/>
          <w:szCs w:val="24"/>
        </w:rPr>
      </w:pPr>
      <w:r w:rsidRPr="00B77978">
        <w:rPr>
          <w:rFonts w:cs="Calibri"/>
          <w:b/>
          <w:sz w:val="24"/>
          <w:szCs w:val="24"/>
        </w:rPr>
        <w:t>Szczegółowy opis Przedmiotu Zamówienia</w:t>
      </w:r>
    </w:p>
    <w:p w:rsidR="00A30A2B" w:rsidRDefault="00B77978" w:rsidP="000A0B28">
      <w:pPr>
        <w:suppressAutoHyphens/>
        <w:spacing w:line="360" w:lineRule="auto"/>
        <w:ind w:left="357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 xml:space="preserve">W ramach najmowanej powierzchni </w:t>
      </w:r>
      <w:r w:rsidR="00A30A2B" w:rsidRPr="00453DFF">
        <w:rPr>
          <w:rFonts w:cs="Calibri"/>
          <w:sz w:val="24"/>
          <w:szCs w:val="24"/>
        </w:rPr>
        <w:t>Zamawiający zamierza umieścić część swojej infrastruktury teleinformatycznej, a w szczególności: macierze dyskowe, serwery, przełączniki Ethernet, przełączniki SAN, systemy kopii bezpieczeństwa, urządzenia komunikacyjne oraz zabezpieczające. Dodatkowo Zamawiający będzie wykonywał w pomieszczeniu inwentaryzacji</w:t>
      </w:r>
      <w:r w:rsidR="004B5D84">
        <w:rPr>
          <w:rFonts w:cs="Calibri"/>
          <w:sz w:val="24"/>
          <w:szCs w:val="24"/>
        </w:rPr>
        <w:t xml:space="preserve">, modernizacji </w:t>
      </w:r>
      <w:r w:rsidR="00A30A2B" w:rsidRPr="00453DFF">
        <w:rPr>
          <w:rFonts w:cs="Calibri"/>
          <w:sz w:val="24"/>
          <w:szCs w:val="24"/>
        </w:rPr>
        <w:t>oraz rekonfiguracji posiadanego sprzętu teleinformatycznego. Zamawiający wymaga aby najmowana powierzchnia spełniała co</w:t>
      </w:r>
      <w:r w:rsidR="0093760F">
        <w:rPr>
          <w:rFonts w:cs="Calibri"/>
          <w:sz w:val="24"/>
          <w:szCs w:val="24"/>
        </w:rPr>
        <w:t> </w:t>
      </w:r>
      <w:r w:rsidR="00A30A2B" w:rsidRPr="00453DFF">
        <w:rPr>
          <w:rFonts w:cs="Calibri"/>
          <w:sz w:val="24"/>
          <w:szCs w:val="24"/>
        </w:rPr>
        <w:t>najmniej wymagania w zakresie:</w:t>
      </w:r>
    </w:p>
    <w:p w:rsidR="00CC2943" w:rsidRPr="00453DFF" w:rsidRDefault="00CC2943" w:rsidP="000A0B28">
      <w:pPr>
        <w:suppressAutoHyphens/>
        <w:spacing w:line="360" w:lineRule="auto"/>
        <w:rPr>
          <w:rFonts w:cs="Calibri"/>
          <w:sz w:val="24"/>
          <w:szCs w:val="24"/>
        </w:rPr>
      </w:pPr>
    </w:p>
    <w:p w:rsidR="00A30A2B" w:rsidRPr="00A30A2B" w:rsidRDefault="00A30A2B" w:rsidP="004B75D8">
      <w:pPr>
        <w:suppressAutoHyphens/>
        <w:spacing w:line="360" w:lineRule="auto"/>
        <w:ind w:left="431" w:hanging="74"/>
        <w:rPr>
          <w:rFonts w:eastAsia="Calibri"/>
          <w:sz w:val="24"/>
        </w:rPr>
      </w:pPr>
      <w:r w:rsidRPr="00A30A2B">
        <w:rPr>
          <w:rFonts w:eastAsia="Calibri"/>
          <w:sz w:val="24"/>
        </w:rPr>
        <w:t>DEFINICJE:</w:t>
      </w:r>
    </w:p>
    <w:p w:rsidR="00A30A2B" w:rsidRPr="00A30A2B" w:rsidRDefault="00A30A2B" w:rsidP="00A640E5">
      <w:pPr>
        <w:suppressAutoHyphens/>
        <w:spacing w:line="360" w:lineRule="auto"/>
        <w:ind w:left="357" w:firstLine="0"/>
        <w:rPr>
          <w:rFonts w:eastAsia="Calibri"/>
          <w:sz w:val="24"/>
        </w:rPr>
      </w:pPr>
      <w:r w:rsidRPr="00A30A2B">
        <w:rPr>
          <w:rFonts w:eastAsia="Calibri"/>
          <w:sz w:val="24"/>
        </w:rPr>
        <w:t>Szafa RACK – szafa dedykowana do wyposażenia przez sprzęt teleinformatyczny o</w:t>
      </w:r>
      <w:r w:rsidR="0093760F"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wymiarach 800 mm szerokości, 1200 mm głębokości, 4</w:t>
      </w:r>
      <w:r w:rsidR="004420EC">
        <w:rPr>
          <w:rFonts w:eastAsia="Calibri"/>
          <w:sz w:val="24"/>
        </w:rPr>
        <w:t>2</w:t>
      </w:r>
      <w:r w:rsidRPr="00A30A2B">
        <w:rPr>
          <w:rFonts w:eastAsia="Calibri"/>
          <w:sz w:val="24"/>
        </w:rPr>
        <w:t xml:space="preserve">U wysokości. Tylne dostępne </w:t>
      </w:r>
      <w:r w:rsidRPr="00A30A2B">
        <w:rPr>
          <w:rFonts w:eastAsia="Calibri"/>
          <w:sz w:val="24"/>
        </w:rPr>
        <w:lastRenderedPageBreak/>
        <w:t>z</w:t>
      </w:r>
      <w:r w:rsidR="0093760F"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pomieszczenia drzwi szaf RACK muszą posiadać możliwość zamknięcia, dopuszczalne jest zamknięcie za pomocą zamka elektronicznego lub klucza.</w:t>
      </w:r>
    </w:p>
    <w:p w:rsidR="00A30A2B" w:rsidRPr="00A30A2B" w:rsidRDefault="00A30A2B" w:rsidP="00A640E5">
      <w:pPr>
        <w:suppressAutoHyphens/>
        <w:spacing w:line="360" w:lineRule="auto"/>
        <w:ind w:left="357" w:firstLine="0"/>
        <w:rPr>
          <w:rFonts w:eastAsia="Calibri"/>
          <w:sz w:val="24"/>
        </w:rPr>
      </w:pPr>
      <w:r w:rsidRPr="00A30A2B">
        <w:rPr>
          <w:rFonts w:eastAsia="Calibri"/>
          <w:sz w:val="24"/>
        </w:rPr>
        <w:t>Korytarz – przestrzeń znajdująca się pomiędzy dwoma rzędami szaf RACK ustawionymi frontem w stronę korytarza. Korytarz musi posiadać sufit, oraz zamykane wejście minimum z jednej strony, szerokość korytarza musi umożliwiać montaż sprzętu teleinformatycznego pełnej głębokości tj. nie może być mniejsza niż 1100 mm. Wejście lub wejścia do Korytarza muszą być wyposażone w kontrolę dostępu</w:t>
      </w:r>
    </w:p>
    <w:p w:rsidR="00DC5DAD" w:rsidRPr="00DC5DAD" w:rsidRDefault="00DC5DAD" w:rsidP="00A640E5">
      <w:pPr>
        <w:pStyle w:val="Akapitzlist"/>
        <w:numPr>
          <w:ilvl w:val="1"/>
          <w:numId w:val="37"/>
        </w:numPr>
        <w:suppressAutoHyphens/>
        <w:spacing w:line="360" w:lineRule="auto"/>
        <w:ind w:left="499" w:hanging="215"/>
        <w:rPr>
          <w:rFonts w:eastAsia="Calibri"/>
          <w:b/>
          <w:sz w:val="24"/>
          <w:szCs w:val="24"/>
        </w:rPr>
      </w:pPr>
      <w:r w:rsidRPr="00DC5DAD">
        <w:rPr>
          <w:rFonts w:eastAsia="Calibri"/>
          <w:b/>
          <w:sz w:val="24"/>
          <w:szCs w:val="24"/>
        </w:rPr>
        <w:t>Poziom dostępności lokalizacji:</w:t>
      </w:r>
    </w:p>
    <w:p w:rsidR="00DC5DAD" w:rsidRDefault="00DC5DAD" w:rsidP="00A640E5">
      <w:pPr>
        <w:suppressAutoHyphens/>
        <w:spacing w:line="360" w:lineRule="auto"/>
        <w:ind w:left="709" w:firstLine="0"/>
        <w:contextualSpacing/>
        <w:rPr>
          <w:rFonts w:eastAsia="Calibri"/>
          <w:sz w:val="24"/>
        </w:rPr>
      </w:pPr>
      <w:r>
        <w:rPr>
          <w:rFonts w:eastAsia="Calibri"/>
          <w:sz w:val="24"/>
        </w:rPr>
        <w:t>L</w:t>
      </w:r>
      <w:r w:rsidRPr="00DC5DAD">
        <w:rPr>
          <w:rFonts w:eastAsia="Calibri"/>
          <w:sz w:val="24"/>
        </w:rPr>
        <w:t>okalizacja musi posiadać poziom dostępności i niezawodności TIER 3 lub wyższy zgodnie z</w:t>
      </w:r>
      <w:r w:rsidR="00CB4F26">
        <w:rPr>
          <w:rFonts w:eastAsia="Calibri"/>
          <w:sz w:val="24"/>
        </w:rPr>
        <w:t>e </w:t>
      </w:r>
      <w:r w:rsidRPr="00DC5DAD">
        <w:rPr>
          <w:rFonts w:eastAsia="Calibri"/>
          <w:sz w:val="24"/>
        </w:rPr>
        <w:t>standaryzacją TIA-942.</w:t>
      </w:r>
    </w:p>
    <w:p w:rsidR="00A30A2B" w:rsidRDefault="00A640E5" w:rsidP="000A0B28">
      <w:pPr>
        <w:numPr>
          <w:ilvl w:val="1"/>
          <w:numId w:val="30"/>
        </w:numPr>
        <w:suppressAutoHyphens/>
        <w:spacing w:line="360" w:lineRule="auto"/>
        <w:ind w:left="499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C5DAD" w:rsidRPr="00DC5DAD">
        <w:rPr>
          <w:b/>
          <w:sz w:val="24"/>
          <w:szCs w:val="24"/>
        </w:rPr>
        <w:t>Umiejscowienie lokalizacji:</w:t>
      </w:r>
    </w:p>
    <w:p w:rsidR="00DC5DAD" w:rsidRDefault="00DC5DAD" w:rsidP="00A640E5">
      <w:pPr>
        <w:pStyle w:val="Akapitzlist"/>
        <w:suppressAutoHyphens/>
        <w:spacing w:line="360" w:lineRule="auto"/>
        <w:ind w:left="709" w:firstLine="0"/>
        <w:rPr>
          <w:sz w:val="24"/>
        </w:rPr>
      </w:pPr>
      <w:r>
        <w:rPr>
          <w:sz w:val="24"/>
        </w:rPr>
        <w:t xml:space="preserve">- </w:t>
      </w:r>
      <w:r w:rsidR="007C5568">
        <w:rPr>
          <w:sz w:val="24"/>
        </w:rPr>
        <w:t xml:space="preserve">odległość optyczna </w:t>
      </w:r>
      <w:r w:rsidR="007C3A40">
        <w:rPr>
          <w:sz w:val="24"/>
        </w:rPr>
        <w:t xml:space="preserve">podstawowego </w:t>
      </w:r>
      <w:r w:rsidR="004E00BE">
        <w:rPr>
          <w:sz w:val="24"/>
        </w:rPr>
        <w:t xml:space="preserve">bezpośredniego połączenia światłowodowego (tzw. ciemne włókno) </w:t>
      </w:r>
      <w:r w:rsidR="00D0722A">
        <w:rPr>
          <w:sz w:val="24"/>
        </w:rPr>
        <w:t>pomiędzy l</w:t>
      </w:r>
      <w:r w:rsidRPr="00DC5DAD">
        <w:rPr>
          <w:sz w:val="24"/>
        </w:rPr>
        <w:t>okalizacj</w:t>
      </w:r>
      <w:r w:rsidR="00D0722A">
        <w:rPr>
          <w:sz w:val="24"/>
        </w:rPr>
        <w:t>ą</w:t>
      </w:r>
      <w:r w:rsidRPr="00DC5DAD">
        <w:rPr>
          <w:sz w:val="24"/>
        </w:rPr>
        <w:t>, w której umieszczone jest najmowane pomieszczenie</w:t>
      </w:r>
      <w:r w:rsidR="00D0722A">
        <w:rPr>
          <w:sz w:val="24"/>
        </w:rPr>
        <w:t xml:space="preserve">, a siedzibą </w:t>
      </w:r>
      <w:r w:rsidR="00D0722A" w:rsidRPr="00DC5DAD">
        <w:rPr>
          <w:sz w:val="24"/>
        </w:rPr>
        <w:t>główn</w:t>
      </w:r>
      <w:r w:rsidR="00D0722A">
        <w:rPr>
          <w:sz w:val="24"/>
        </w:rPr>
        <w:t>ą</w:t>
      </w:r>
      <w:r w:rsidR="00D0722A" w:rsidRPr="00DC5DAD">
        <w:rPr>
          <w:sz w:val="24"/>
        </w:rPr>
        <w:t xml:space="preserve"> PFRON tj. al.</w:t>
      </w:r>
      <w:r w:rsidR="00D0722A">
        <w:rPr>
          <w:sz w:val="24"/>
        </w:rPr>
        <w:t> </w:t>
      </w:r>
      <w:r w:rsidR="00D0722A" w:rsidRPr="00DC5DAD">
        <w:rPr>
          <w:sz w:val="24"/>
        </w:rPr>
        <w:t>Jana</w:t>
      </w:r>
      <w:r w:rsidR="00D0722A">
        <w:rPr>
          <w:sz w:val="24"/>
        </w:rPr>
        <w:t> </w:t>
      </w:r>
      <w:r w:rsidR="00D0722A" w:rsidRPr="00DC5DAD">
        <w:rPr>
          <w:sz w:val="24"/>
        </w:rPr>
        <w:t>Pawła</w:t>
      </w:r>
      <w:r w:rsidR="00D0722A">
        <w:rPr>
          <w:sz w:val="24"/>
        </w:rPr>
        <w:t> </w:t>
      </w:r>
      <w:r w:rsidR="00D0722A" w:rsidRPr="00DC5DAD">
        <w:rPr>
          <w:sz w:val="24"/>
        </w:rPr>
        <w:t>II</w:t>
      </w:r>
      <w:r w:rsidR="00D0722A">
        <w:rPr>
          <w:sz w:val="24"/>
        </w:rPr>
        <w:t> </w:t>
      </w:r>
      <w:r w:rsidR="00D0722A" w:rsidRPr="00DC5DAD">
        <w:rPr>
          <w:sz w:val="24"/>
        </w:rPr>
        <w:t>13, 00-828 Warszawa</w:t>
      </w:r>
      <w:r w:rsidRPr="00DC5DAD">
        <w:rPr>
          <w:sz w:val="24"/>
        </w:rPr>
        <w:t xml:space="preserve"> nie może być </w:t>
      </w:r>
      <w:r w:rsidR="004E00BE">
        <w:rPr>
          <w:sz w:val="24"/>
        </w:rPr>
        <w:t xml:space="preserve">większa niż </w:t>
      </w:r>
      <w:r w:rsidR="00C82BED">
        <w:rPr>
          <w:sz w:val="24"/>
        </w:rPr>
        <w:t>9</w:t>
      </w:r>
      <w:r w:rsidR="00EE6FBE">
        <w:rPr>
          <w:sz w:val="24"/>
        </w:rPr>
        <w:t xml:space="preserve"> km (w celu potwierdzenia tego wymagania</w:t>
      </w:r>
      <w:r w:rsidR="008C33F4">
        <w:rPr>
          <w:sz w:val="24"/>
        </w:rPr>
        <w:t xml:space="preserve"> należy </w:t>
      </w:r>
      <w:r w:rsidR="00813E51">
        <w:rPr>
          <w:sz w:val="24"/>
        </w:rPr>
        <w:t>wskazać przebieg trasy, wraz z informacją dot. jej dokładnej długości)</w:t>
      </w:r>
      <w:r w:rsidRPr="00DC5DAD">
        <w:rPr>
          <w:sz w:val="24"/>
        </w:rPr>
        <w:t>,</w:t>
      </w:r>
    </w:p>
    <w:p w:rsidR="007C3A40" w:rsidRDefault="007C3A40" w:rsidP="00A640E5">
      <w:pPr>
        <w:pStyle w:val="Akapitzlist"/>
        <w:suppressAutoHyphens/>
        <w:spacing w:line="360" w:lineRule="auto"/>
        <w:ind w:left="709" w:firstLine="0"/>
        <w:rPr>
          <w:sz w:val="24"/>
        </w:rPr>
      </w:pPr>
      <w:r>
        <w:rPr>
          <w:sz w:val="24"/>
        </w:rPr>
        <w:t>- odległość optyczna zapasowego bezpośredniego połączenia światłowodowego (tzw. ciemne włókno) pomiędzy l</w:t>
      </w:r>
      <w:r w:rsidRPr="00DC5DAD">
        <w:rPr>
          <w:sz w:val="24"/>
        </w:rPr>
        <w:t>okalizacj</w:t>
      </w:r>
      <w:r>
        <w:rPr>
          <w:sz w:val="24"/>
        </w:rPr>
        <w:t>ą</w:t>
      </w:r>
      <w:r w:rsidRPr="00DC5DAD">
        <w:rPr>
          <w:sz w:val="24"/>
        </w:rPr>
        <w:t>, w której umieszczone jest najmowane pomieszczenie</w:t>
      </w:r>
      <w:r>
        <w:rPr>
          <w:sz w:val="24"/>
        </w:rPr>
        <w:t xml:space="preserve">, a siedzibą </w:t>
      </w:r>
      <w:r w:rsidRPr="00DC5DAD">
        <w:rPr>
          <w:sz w:val="24"/>
        </w:rPr>
        <w:t>główn</w:t>
      </w:r>
      <w:r>
        <w:rPr>
          <w:sz w:val="24"/>
        </w:rPr>
        <w:t>ą</w:t>
      </w:r>
      <w:r w:rsidRPr="00DC5DAD">
        <w:rPr>
          <w:sz w:val="24"/>
        </w:rPr>
        <w:t xml:space="preserve"> PFRON tj. al.</w:t>
      </w:r>
      <w:r>
        <w:rPr>
          <w:sz w:val="24"/>
        </w:rPr>
        <w:t> </w:t>
      </w:r>
      <w:r w:rsidRPr="00DC5DAD">
        <w:rPr>
          <w:sz w:val="24"/>
        </w:rPr>
        <w:t>Jana</w:t>
      </w:r>
      <w:r>
        <w:rPr>
          <w:sz w:val="24"/>
        </w:rPr>
        <w:t> </w:t>
      </w:r>
      <w:r w:rsidRPr="00DC5DAD">
        <w:rPr>
          <w:sz w:val="24"/>
        </w:rPr>
        <w:t>Pawła</w:t>
      </w:r>
      <w:r>
        <w:rPr>
          <w:sz w:val="24"/>
        </w:rPr>
        <w:t> </w:t>
      </w:r>
      <w:r w:rsidRPr="00DC5DAD">
        <w:rPr>
          <w:sz w:val="24"/>
        </w:rPr>
        <w:t>II</w:t>
      </w:r>
      <w:r>
        <w:rPr>
          <w:sz w:val="24"/>
        </w:rPr>
        <w:t> </w:t>
      </w:r>
      <w:r w:rsidRPr="00DC5DAD">
        <w:rPr>
          <w:sz w:val="24"/>
        </w:rPr>
        <w:t xml:space="preserve">13, 00-828 Warszawa nie może być </w:t>
      </w:r>
      <w:r>
        <w:rPr>
          <w:sz w:val="24"/>
        </w:rPr>
        <w:t xml:space="preserve">większa niż 9 km </w:t>
      </w:r>
      <w:r w:rsidR="00813E51">
        <w:rPr>
          <w:sz w:val="24"/>
        </w:rPr>
        <w:t>(w celu potwierdzenia tego wymagania należy wskazać przebieg trasy, wraz z informacją dot. jej dokładnej długości)</w:t>
      </w:r>
      <w:r w:rsidRPr="00DC5DAD">
        <w:rPr>
          <w:sz w:val="24"/>
        </w:rPr>
        <w:t>,</w:t>
      </w:r>
    </w:p>
    <w:p w:rsidR="007C3A40" w:rsidRPr="00DC5DAD" w:rsidRDefault="007C3A40" w:rsidP="00A640E5">
      <w:pPr>
        <w:pStyle w:val="Akapitzlist"/>
        <w:suppressAutoHyphens/>
        <w:spacing w:line="360" w:lineRule="auto"/>
        <w:ind w:left="709" w:firstLine="0"/>
        <w:rPr>
          <w:sz w:val="24"/>
        </w:rPr>
      </w:pPr>
      <w:r>
        <w:rPr>
          <w:sz w:val="24"/>
        </w:rPr>
        <w:t xml:space="preserve">- </w:t>
      </w:r>
      <w:r w:rsidR="00A04E3C">
        <w:rPr>
          <w:sz w:val="24"/>
        </w:rPr>
        <w:t xml:space="preserve">podstawowe oraz </w:t>
      </w:r>
      <w:r w:rsidR="003813A2">
        <w:rPr>
          <w:sz w:val="24"/>
        </w:rPr>
        <w:t>zapasowe</w:t>
      </w:r>
      <w:r w:rsidR="00A04E3C">
        <w:rPr>
          <w:sz w:val="24"/>
        </w:rPr>
        <w:t xml:space="preserve"> bezpośrednie połączenie światłowodowe </w:t>
      </w:r>
      <w:r w:rsidR="003813A2">
        <w:rPr>
          <w:sz w:val="24"/>
        </w:rPr>
        <w:t xml:space="preserve">musi realizowane dwoma niezależnymi trasami z wyłączeniem odległości do pierwszego węzła telekomunikacyjnego zarówno po stronie lokalizacji, jak i siedziby PFRON. </w:t>
      </w:r>
    </w:p>
    <w:p w:rsidR="00DC5DAD" w:rsidRPr="00DC5DAD" w:rsidRDefault="00DC5DAD" w:rsidP="00A640E5">
      <w:pPr>
        <w:pStyle w:val="Akapitzlist"/>
        <w:suppressAutoHyphens/>
        <w:spacing w:line="360" w:lineRule="auto"/>
        <w:ind w:left="709" w:firstLine="0"/>
        <w:rPr>
          <w:sz w:val="24"/>
        </w:rPr>
      </w:pPr>
      <w:r>
        <w:rPr>
          <w:sz w:val="24"/>
        </w:rPr>
        <w:t xml:space="preserve">- </w:t>
      </w:r>
      <w:r w:rsidRPr="00DC5DAD">
        <w:rPr>
          <w:sz w:val="24"/>
        </w:rPr>
        <w:t>lokalizacja musi być wyposażona w niezależną windę/windy towarowe umożliwiające transport sprzętu komputerowego na poziom na którym umiejscowione jest najmowane pomieszczenie.</w:t>
      </w:r>
    </w:p>
    <w:p w:rsidR="007C4BD3" w:rsidRDefault="007C4BD3" w:rsidP="00A640E5">
      <w:pPr>
        <w:numPr>
          <w:ilvl w:val="1"/>
          <w:numId w:val="30"/>
        </w:numPr>
        <w:suppressAutoHyphens/>
        <w:spacing w:line="360" w:lineRule="auto"/>
        <w:ind w:left="709" w:hanging="567"/>
        <w:rPr>
          <w:b/>
          <w:sz w:val="24"/>
          <w:szCs w:val="24"/>
        </w:rPr>
      </w:pPr>
      <w:r w:rsidRPr="007C4BD3">
        <w:rPr>
          <w:b/>
          <w:sz w:val="24"/>
          <w:szCs w:val="24"/>
        </w:rPr>
        <w:t>Zasilanie lokalizacji:</w:t>
      </w:r>
    </w:p>
    <w:p w:rsidR="007C4BD3" w:rsidRPr="007C4BD3" w:rsidRDefault="007C4BD3" w:rsidP="00A640E5">
      <w:pPr>
        <w:pStyle w:val="Akapitzlist"/>
        <w:suppressAutoHyphens/>
        <w:spacing w:line="360" w:lineRule="auto"/>
        <w:ind w:left="709" w:firstLine="0"/>
        <w:rPr>
          <w:sz w:val="24"/>
          <w:szCs w:val="24"/>
        </w:rPr>
      </w:pPr>
      <w:r w:rsidRPr="007C4BD3">
        <w:rPr>
          <w:sz w:val="24"/>
          <w:szCs w:val="24"/>
        </w:rPr>
        <w:t>- lokalizacja musi być wyposażona w dwa niezależne przyłącza elektryczne poprowadzone dwoma niezależnymi trasami z dwóch niezależnych źródeł zasilania,</w:t>
      </w:r>
    </w:p>
    <w:p w:rsidR="007C4BD3" w:rsidRPr="007C4BD3" w:rsidRDefault="007C4BD3" w:rsidP="00A640E5">
      <w:pPr>
        <w:pStyle w:val="Akapitzlist"/>
        <w:suppressAutoHyphens/>
        <w:spacing w:line="360" w:lineRule="auto"/>
        <w:ind w:left="709" w:firstLine="0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minimum dwie niezależne rozdzielnie SN (średniego napięcia) po jednej dla każdego z przyłączy elektrycznych,</w:t>
      </w:r>
    </w:p>
    <w:p w:rsidR="007C4BD3" w:rsidRPr="007C4BD3" w:rsidRDefault="007C4BD3" w:rsidP="00A640E5">
      <w:pPr>
        <w:pStyle w:val="Akapitzlist"/>
        <w:suppressAutoHyphens/>
        <w:spacing w:line="360" w:lineRule="auto"/>
        <w:ind w:left="709" w:firstLine="0"/>
        <w:rPr>
          <w:sz w:val="24"/>
          <w:szCs w:val="24"/>
        </w:rPr>
      </w:pPr>
      <w:r w:rsidRPr="007C4BD3">
        <w:rPr>
          <w:sz w:val="24"/>
          <w:szCs w:val="24"/>
        </w:rPr>
        <w:t xml:space="preserve">- lokalizacja musi posiadać </w:t>
      </w:r>
      <w:r w:rsidR="000C1016">
        <w:rPr>
          <w:sz w:val="24"/>
          <w:szCs w:val="24"/>
        </w:rPr>
        <w:t>automatyczn</w:t>
      </w:r>
      <w:r w:rsidR="005D52E9">
        <w:rPr>
          <w:sz w:val="24"/>
          <w:szCs w:val="24"/>
        </w:rPr>
        <w:t xml:space="preserve">ie uruchamiany </w:t>
      </w:r>
      <w:r w:rsidRPr="007C4BD3">
        <w:rPr>
          <w:sz w:val="24"/>
          <w:szCs w:val="24"/>
        </w:rPr>
        <w:t>układ agregatów prądotwórczych,</w:t>
      </w:r>
    </w:p>
    <w:p w:rsidR="007C4BD3" w:rsidRPr="007C4BD3" w:rsidRDefault="007C4BD3" w:rsidP="00A640E5">
      <w:pPr>
        <w:pStyle w:val="Akapitzlist"/>
        <w:suppressAutoHyphens/>
        <w:spacing w:line="360" w:lineRule="auto"/>
        <w:ind w:left="709" w:firstLine="0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dwa niezależne linie elektryczne NN (niskiego napięcia),</w:t>
      </w:r>
    </w:p>
    <w:p w:rsidR="007C4BD3" w:rsidRPr="007C4BD3" w:rsidRDefault="007C4BD3" w:rsidP="00A640E5">
      <w:pPr>
        <w:pStyle w:val="Akapitzlist"/>
        <w:suppressAutoHyphens/>
        <w:spacing w:line="360" w:lineRule="auto"/>
        <w:ind w:left="709" w:firstLine="0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minimum dwie niezależne rozdzielnie NN po jednej dla każdej z</w:t>
      </w:r>
      <w:r w:rsidR="0093760F">
        <w:rPr>
          <w:sz w:val="24"/>
          <w:szCs w:val="24"/>
        </w:rPr>
        <w:t> </w:t>
      </w:r>
      <w:r w:rsidRPr="007C4BD3">
        <w:rPr>
          <w:sz w:val="24"/>
          <w:szCs w:val="24"/>
        </w:rPr>
        <w:t>linii NN</w:t>
      </w:r>
    </w:p>
    <w:p w:rsidR="007C4BD3" w:rsidRDefault="007C4BD3" w:rsidP="00A640E5">
      <w:pPr>
        <w:pStyle w:val="Akapitzlist"/>
        <w:suppressAutoHyphens/>
        <w:spacing w:line="360" w:lineRule="auto"/>
        <w:ind w:left="709" w:firstLine="0"/>
      </w:pPr>
      <w:r w:rsidRPr="007C4BD3">
        <w:rPr>
          <w:sz w:val="24"/>
          <w:szCs w:val="24"/>
        </w:rPr>
        <w:t xml:space="preserve">- każda z linii NN musi posiadać układ podtrzymania zasilania złożony z minimum dwóch niezależnych urządzeń UPS zapewniających minimum 10 min. </w:t>
      </w:r>
      <w:r w:rsidR="00301577">
        <w:rPr>
          <w:sz w:val="24"/>
          <w:szCs w:val="24"/>
        </w:rPr>
        <w:t>p</w:t>
      </w:r>
      <w:r w:rsidRPr="007C4BD3">
        <w:rPr>
          <w:sz w:val="24"/>
          <w:szCs w:val="24"/>
        </w:rPr>
        <w:t>odtrzymania zasilania dla pełnego obciążenia obwo</w:t>
      </w:r>
      <w:r>
        <w:t>dów NN</w:t>
      </w:r>
      <w:r w:rsidR="00742CC5">
        <w:t xml:space="preserve">, </w:t>
      </w:r>
    </w:p>
    <w:p w:rsidR="007C4BD3" w:rsidRDefault="007C4BD3" w:rsidP="000A0B28">
      <w:pPr>
        <w:pStyle w:val="Akapitzlist"/>
        <w:suppressAutoHyphens/>
        <w:spacing w:line="360" w:lineRule="auto"/>
        <w:ind w:left="426"/>
      </w:pPr>
    </w:p>
    <w:p w:rsidR="007C4BD3" w:rsidRPr="007C4BD3" w:rsidRDefault="007C4BD3" w:rsidP="000A0B28">
      <w:pPr>
        <w:suppressAutoHyphens/>
        <w:spacing w:line="360" w:lineRule="auto"/>
        <w:ind w:left="357" w:firstLine="0"/>
        <w:rPr>
          <w:rFonts w:eastAsia="Calibri"/>
          <w:sz w:val="24"/>
        </w:rPr>
      </w:pPr>
      <w:r w:rsidRPr="007C4BD3">
        <w:rPr>
          <w:rFonts w:eastAsia="Calibri"/>
          <w:sz w:val="24"/>
        </w:rPr>
        <w:t>Wszystkie elementy sieci zasilającej muszą posiadać niewrażliwość na awarię pojedynczego elementu infrastruktury zarówno zewnętrznej jak i wewnętrznej oraz cechować się wymaganiami HA dla źródeł zasilania, tj. w szczególności umożliwiać realizację prac serwisowych, niewrażliwość na awarię jednego lub wszystkich zewnętrznych źródeł zasilania zewnętrznego.</w:t>
      </w:r>
    </w:p>
    <w:p w:rsidR="00095BD0" w:rsidRDefault="00095BD0" w:rsidP="000A0B28">
      <w:pPr>
        <w:pStyle w:val="Akapitzlist"/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4"/>
        </w:rPr>
      </w:pPr>
      <w:r w:rsidRPr="00095BD0">
        <w:rPr>
          <w:b/>
          <w:sz w:val="24"/>
        </w:rPr>
        <w:t>System przeciwpożarowy lokalizacji:</w:t>
      </w:r>
    </w:p>
    <w:p w:rsidR="007B69C2" w:rsidRPr="00093559" w:rsidRDefault="007B69C2" w:rsidP="00A640E5">
      <w:pPr>
        <w:pStyle w:val="Akapitzlist"/>
        <w:suppressAutoHyphens/>
        <w:spacing w:line="360" w:lineRule="auto"/>
        <w:ind w:left="879" w:hanging="170"/>
        <w:rPr>
          <w:sz w:val="24"/>
          <w:szCs w:val="24"/>
        </w:rPr>
      </w:pPr>
      <w:r w:rsidRPr="00093559">
        <w:rPr>
          <w:sz w:val="24"/>
          <w:szCs w:val="24"/>
        </w:rPr>
        <w:t>- lokalizacja musi być wyposażona w niezależny system gaszenia gazem, w ramach którego użyte środki gaśnicze są obojętne dla prawidłowego funkcjonowania urządzeń teleinformatycznych,</w:t>
      </w:r>
    </w:p>
    <w:p w:rsidR="007B69C2" w:rsidRPr="00093559" w:rsidRDefault="007B69C2" w:rsidP="00A640E5">
      <w:pPr>
        <w:pStyle w:val="Akapitzlist"/>
        <w:suppressAutoHyphens/>
        <w:spacing w:line="360" w:lineRule="auto"/>
        <w:ind w:left="879" w:hanging="170"/>
        <w:rPr>
          <w:sz w:val="24"/>
          <w:szCs w:val="24"/>
        </w:rPr>
      </w:pPr>
      <w:r w:rsidRPr="00093559">
        <w:rPr>
          <w:sz w:val="24"/>
          <w:szCs w:val="24"/>
        </w:rPr>
        <w:t>- lokalizacja musi być wyposażona w system wczesnej detekcji dymu,</w:t>
      </w:r>
    </w:p>
    <w:p w:rsidR="007B69C2" w:rsidRPr="00093559" w:rsidRDefault="007B69C2" w:rsidP="00A640E5">
      <w:pPr>
        <w:pStyle w:val="Akapitzlist"/>
        <w:suppressAutoHyphens/>
        <w:spacing w:line="360" w:lineRule="auto"/>
        <w:ind w:left="879" w:hanging="170"/>
        <w:rPr>
          <w:sz w:val="24"/>
          <w:szCs w:val="24"/>
        </w:rPr>
      </w:pPr>
      <w:r w:rsidRPr="00093559">
        <w:rPr>
          <w:sz w:val="24"/>
          <w:szCs w:val="24"/>
        </w:rPr>
        <w:t>- system przeciwpożarowy musi być podłączony do lokalnego systemu BMS,</w:t>
      </w:r>
    </w:p>
    <w:p w:rsidR="007B69C2" w:rsidRDefault="007B69C2" w:rsidP="00A640E5">
      <w:pPr>
        <w:pStyle w:val="Akapitzlist"/>
        <w:suppressAutoHyphens/>
        <w:spacing w:line="360" w:lineRule="auto"/>
        <w:ind w:left="879" w:hanging="170"/>
        <w:rPr>
          <w:sz w:val="24"/>
          <w:szCs w:val="24"/>
        </w:rPr>
      </w:pPr>
      <w:r>
        <w:rPr>
          <w:sz w:val="24"/>
          <w:szCs w:val="24"/>
        </w:rPr>
        <w:t>-</w:t>
      </w:r>
      <w:r w:rsidRPr="00093559">
        <w:rPr>
          <w:sz w:val="24"/>
          <w:szCs w:val="24"/>
        </w:rPr>
        <w:t xml:space="preserve"> system przeciwpożarowy w zakresie monitoringu incydentów pożarowych musi być podłączony do najbliższej jednostki straży pożarnej.</w:t>
      </w:r>
    </w:p>
    <w:p w:rsidR="007B69C2" w:rsidRPr="00594A41" w:rsidRDefault="007B69C2" w:rsidP="000A0B28">
      <w:pPr>
        <w:pStyle w:val="Akapitzlist"/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4"/>
          <w:szCs w:val="24"/>
        </w:rPr>
      </w:pPr>
      <w:r w:rsidRPr="00594A41">
        <w:rPr>
          <w:b/>
          <w:sz w:val="24"/>
          <w:szCs w:val="24"/>
        </w:rPr>
        <w:t>System klimatyzacji lokalizacji:</w:t>
      </w:r>
    </w:p>
    <w:p w:rsidR="00594A41" w:rsidRPr="00594A41" w:rsidRDefault="00594A41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 w:rsidRPr="00594A41">
        <w:rPr>
          <w:sz w:val="24"/>
          <w:szCs w:val="24"/>
        </w:rPr>
        <w:t xml:space="preserve">- lokalizacja musi posiadać niezależny system chłodzenia działający w układzie minimum </w:t>
      </w:r>
      <w:r w:rsidR="000A0B28">
        <w:rPr>
          <w:sz w:val="24"/>
          <w:szCs w:val="24"/>
        </w:rPr>
        <w:t xml:space="preserve">  </w:t>
      </w:r>
      <w:r w:rsidRPr="00594A41">
        <w:rPr>
          <w:sz w:val="24"/>
          <w:szCs w:val="24"/>
        </w:rPr>
        <w:t xml:space="preserve">N+1 </w:t>
      </w:r>
    </w:p>
    <w:p w:rsidR="00594A41" w:rsidRPr="00594A41" w:rsidRDefault="00594A41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 w:rsidRPr="00594A41">
        <w:rPr>
          <w:sz w:val="24"/>
          <w:szCs w:val="24"/>
        </w:rPr>
        <w:t>- moc systemów chłodzenia musi być odpowiednia do zapotrzebowania na moc chłodniczą całej lokalizacji.</w:t>
      </w:r>
    </w:p>
    <w:p w:rsidR="007B69C2" w:rsidRPr="00CB4F26" w:rsidRDefault="00CB4F26" w:rsidP="000A0B28">
      <w:pPr>
        <w:pStyle w:val="Akapitzlist"/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4"/>
          <w:szCs w:val="24"/>
        </w:rPr>
      </w:pPr>
      <w:r w:rsidRPr="00CB4F26">
        <w:rPr>
          <w:b/>
          <w:sz w:val="24"/>
          <w:szCs w:val="24"/>
        </w:rPr>
        <w:t>Poziom zabezpieczeń fizycznych lokalizacji: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być wyposażona w niezależny system bezpieczeństwa,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być wyposażona w system CCTV posiadający zautomatyzowane systemy wyzwalania oraz nagrywania zdarzeń zarówno na zewnątrz jak i wewnątrz lokalizacji ze</w:t>
      </w:r>
      <w:r w:rsidR="0093760F">
        <w:rPr>
          <w:sz w:val="24"/>
        </w:rPr>
        <w:t> </w:t>
      </w:r>
      <w:r w:rsidRPr="00CB4F26">
        <w:rPr>
          <w:sz w:val="24"/>
        </w:rPr>
        <w:t>szczególnym uwzględnieniem miejsc krytycznych dla jej funkcjonowania,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niezależny system kontroli dostępu i włamania wspierający dostęp w</w:t>
      </w:r>
      <w:r>
        <w:rPr>
          <w:sz w:val="24"/>
        </w:rPr>
        <w:t> </w:t>
      </w:r>
      <w:r w:rsidRPr="00CB4F26">
        <w:rPr>
          <w:sz w:val="24"/>
        </w:rPr>
        <w:t>oparciu o kar</w:t>
      </w:r>
      <w:r w:rsidR="00301577">
        <w:rPr>
          <w:sz w:val="24"/>
        </w:rPr>
        <w:t>t</w:t>
      </w:r>
      <w:r w:rsidRPr="00CB4F26">
        <w:rPr>
          <w:sz w:val="24"/>
        </w:rPr>
        <w:t>y MW, karty magnetyczne oraz terminale numeryczne,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niezależne pomieszczenie monitoringu oraz kontroli dostępu,</w:t>
      </w:r>
    </w:p>
    <w:p w:rsid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w rygorze 24/7/365 dedykowanego minimum jednego pracownika realizującego zadana związane z monitoringiem systemów bytowych oraz identyfikacją osób korzystających z lokalizacji.</w:t>
      </w:r>
    </w:p>
    <w:p w:rsidR="007B69C2" w:rsidRPr="00CC2943" w:rsidRDefault="00CB4F26" w:rsidP="000A0B28">
      <w:pPr>
        <w:pStyle w:val="Akapitzlist"/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8"/>
        </w:rPr>
      </w:pPr>
      <w:r w:rsidRPr="00CC2943">
        <w:rPr>
          <w:b/>
          <w:sz w:val="24"/>
        </w:rPr>
        <w:t>Informacje ogólne dotyczące lokalizacji: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dostęp do lokalizacji nie może być limitowany zarówno w zakresie ilości wejść, godzin wejść oraz ilości osób mających dostęp do lokalizacji,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dostęp do lokalizacji oraz do najmowanego pomieszczenia może być udzielony jedynie zgłoszonym pisemnie przez Zamawiającego osobom lub pracownikom ze szczególnym uwzględnieniem, iż pracownicy firm zewnętrznych nie mogą uzyskać dostępu do</w:t>
      </w:r>
      <w:r w:rsidR="0093760F">
        <w:rPr>
          <w:sz w:val="24"/>
        </w:rPr>
        <w:t> </w:t>
      </w:r>
      <w:r w:rsidRPr="00CB4F26">
        <w:rPr>
          <w:sz w:val="24"/>
        </w:rPr>
        <w:t>lokalizacji oraz najmowanego pomieszczenia samodzielnie (bez asysty pracownika Zamawiającego),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hanging="14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każda z osób mających dostęp do lokalizacji musi być każdorazowo identyfikowana i</w:t>
      </w:r>
      <w:r w:rsidR="0093760F">
        <w:rPr>
          <w:sz w:val="24"/>
        </w:rPr>
        <w:t> </w:t>
      </w:r>
      <w:r w:rsidRPr="00CB4F26">
        <w:rPr>
          <w:sz w:val="24"/>
        </w:rPr>
        <w:t>na</w:t>
      </w:r>
      <w:r w:rsidR="0093760F">
        <w:rPr>
          <w:sz w:val="24"/>
        </w:rPr>
        <w:t> </w:t>
      </w:r>
      <w:r w:rsidRPr="00CB4F26">
        <w:rPr>
          <w:sz w:val="24"/>
        </w:rPr>
        <w:t>tej podstawie może być jej udzielany dostęp do lokalizacji oraz do najmowanego pomieszczenia,</w:t>
      </w:r>
    </w:p>
    <w:p w:rsidR="00CB4F26" w:rsidRPr="00CB4F26" w:rsidRDefault="00CB4F26" w:rsidP="00A640E5">
      <w:pPr>
        <w:pStyle w:val="Akapitzlist"/>
        <w:suppressAutoHyphens/>
        <w:spacing w:line="360" w:lineRule="auto"/>
        <w:ind w:left="850" w:hanging="14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oferować działający w rygorze 24/7/365 kanał obsługi klienta za</w:t>
      </w:r>
      <w:r w:rsidR="00D24A32">
        <w:rPr>
          <w:sz w:val="24"/>
        </w:rPr>
        <w:t> </w:t>
      </w:r>
      <w:r w:rsidRPr="00CB4F26">
        <w:rPr>
          <w:sz w:val="24"/>
        </w:rPr>
        <w:t>pośrednictwem, którego mogą być zgłaszane awarie oraz zgłoszenia serwisowe,</w:t>
      </w:r>
    </w:p>
    <w:p w:rsidR="00CB4F26" w:rsidRDefault="00CB4F26" w:rsidP="00A640E5">
      <w:pPr>
        <w:pStyle w:val="Akapitzlist"/>
        <w:suppressAutoHyphens/>
        <w:spacing w:line="360" w:lineRule="auto"/>
        <w:ind w:left="850" w:hanging="141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personel teletechniczny świadczący na żądanie klienta proste prace serwisowe, czas reakcji obsługi technicznej nie może być dłuższy niż dwie godziny</w:t>
      </w:r>
      <w:r w:rsidR="00D24A32">
        <w:rPr>
          <w:sz w:val="24"/>
        </w:rPr>
        <w:t>.</w:t>
      </w:r>
    </w:p>
    <w:p w:rsidR="00CB4F26" w:rsidRPr="00CC2943" w:rsidRDefault="00F51B7E" w:rsidP="000A0B28">
      <w:pPr>
        <w:pStyle w:val="Akapitzlist"/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8"/>
        </w:rPr>
      </w:pPr>
      <w:r w:rsidRPr="00CC2943">
        <w:rPr>
          <w:b/>
          <w:sz w:val="24"/>
        </w:rPr>
        <w:t>Opis pomieszczenia: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minimalna powierzchnia pomieszczenia – 40 m</w:t>
      </w:r>
      <w:r w:rsidR="00A640E5">
        <w:rPr>
          <w:rFonts w:cs="Calibri"/>
          <w:sz w:val="24"/>
        </w:rPr>
        <w:t>²</w:t>
      </w:r>
      <w:r w:rsidRPr="00CC2943">
        <w:rPr>
          <w:sz w:val="24"/>
        </w:rPr>
        <w:t>,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typ pomieszczenia – pomieszczenie niezależne oraz wydzielone fizycznie od pozostałych pomieszczeń, posiadające niezależne dozorowane wizyjnie oraz zamykane wejście (z</w:t>
      </w:r>
      <w:r>
        <w:rPr>
          <w:sz w:val="24"/>
        </w:rPr>
        <w:t> </w:t>
      </w:r>
      <w:r w:rsidRPr="00CC2943">
        <w:rPr>
          <w:sz w:val="24"/>
        </w:rPr>
        <w:t xml:space="preserve">wykorzystaniem kontroli dostępu opartej o karty zbliżeniowe), 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żadna ze ścian pomieszczenia nie może być przezierna na poziomie umożliwiającym identyfikację prowadzonych prac z zewnątrz pomieszczenia,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z</w:t>
      </w:r>
      <w:r w:rsidRPr="00CC2943">
        <w:rPr>
          <w:sz w:val="24"/>
        </w:rPr>
        <w:t>asilanie elektryczne pomieszczenia – pomieszczenie musi posiadać niezależne, dedykowane i</w:t>
      </w:r>
      <w:r>
        <w:rPr>
          <w:sz w:val="24"/>
        </w:rPr>
        <w:t> </w:t>
      </w:r>
      <w:r w:rsidRPr="00CC2943">
        <w:rPr>
          <w:sz w:val="24"/>
        </w:rPr>
        <w:t>niewspółdzielone podpięcie do źródeł zasilania oferujące dostęp do</w:t>
      </w:r>
      <w:r w:rsidR="0093760F">
        <w:rPr>
          <w:sz w:val="24"/>
        </w:rPr>
        <w:t> </w:t>
      </w:r>
      <w:r w:rsidRPr="00CC2943">
        <w:rPr>
          <w:sz w:val="24"/>
        </w:rPr>
        <w:t>dwóch niezależnych obwodów zasilających lokalizację,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c</w:t>
      </w:r>
      <w:r w:rsidRPr="00CC2943">
        <w:rPr>
          <w:sz w:val="24"/>
        </w:rPr>
        <w:t>hłodzenie pomieszczenia – pomieszczenie musi posiadać niezależne, dedykowane i</w:t>
      </w:r>
      <w:r>
        <w:rPr>
          <w:sz w:val="24"/>
        </w:rPr>
        <w:t> </w:t>
      </w:r>
      <w:r w:rsidRPr="00CC2943">
        <w:rPr>
          <w:sz w:val="24"/>
        </w:rPr>
        <w:t>niewspółdzielone podpięcie do systemu chłodzenia. Układ chłodzenia musi spełniać wymogi min. N+1 i być zrealizowany w oparciu o jednostki klimatyzacji precyzyjnej oraz posiadać niezależny system sterowania. Chłodzenie urządzeń teleinformatycznych umieszczonych w</w:t>
      </w:r>
      <w:r>
        <w:rPr>
          <w:sz w:val="24"/>
        </w:rPr>
        <w:t> </w:t>
      </w:r>
      <w:r w:rsidRPr="00CC2943">
        <w:rPr>
          <w:sz w:val="24"/>
        </w:rPr>
        <w:t>szafach RACK musi być realizowane w oparciu o chłodzenie zimnego Korytarza z</w:t>
      </w:r>
      <w:r>
        <w:rPr>
          <w:sz w:val="24"/>
        </w:rPr>
        <w:t> </w:t>
      </w:r>
      <w:r w:rsidRPr="00CC2943">
        <w:rPr>
          <w:sz w:val="24"/>
        </w:rPr>
        <w:t>wykorzystaniem nawiewu podłogowego,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o</w:t>
      </w:r>
      <w:r w:rsidRPr="00CC2943">
        <w:rPr>
          <w:sz w:val="24"/>
        </w:rPr>
        <w:t xml:space="preserve">chrona przeciwpożarowa – pomieszczenie musi być wyposażone w </w:t>
      </w:r>
      <w:r w:rsidR="006F59DC">
        <w:rPr>
          <w:sz w:val="24"/>
        </w:rPr>
        <w:t xml:space="preserve">automatyczny </w:t>
      </w:r>
      <w:r w:rsidRPr="00CC2943">
        <w:rPr>
          <w:sz w:val="24"/>
        </w:rPr>
        <w:t>system gaszenia gazem,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s</w:t>
      </w:r>
      <w:r w:rsidRPr="00CC2943">
        <w:rPr>
          <w:sz w:val="24"/>
        </w:rPr>
        <w:t>ystem wykrywania zagrożeń pożarowych – pomieszczenie musi posiadać niezależne, dedykowane i niewspółdzielone system wykrywania zagrożeń pożarowych.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d</w:t>
      </w:r>
      <w:r w:rsidRPr="00CC2943">
        <w:rPr>
          <w:sz w:val="24"/>
        </w:rPr>
        <w:t>ostęp do pomieszczenia – realizowany jest w oparciu o czytniki kart zbliżeniowych, karty każdorazowo deponowane są u pracownika ochrony i przechowywany w</w:t>
      </w:r>
      <w:r w:rsidR="0093760F">
        <w:rPr>
          <w:sz w:val="24"/>
        </w:rPr>
        <w:t> </w:t>
      </w:r>
      <w:r w:rsidRPr="00CC2943">
        <w:rPr>
          <w:sz w:val="24"/>
        </w:rPr>
        <w:t>bezpieczny sposób na terenie lokalizacji.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m</w:t>
      </w:r>
      <w:r w:rsidRPr="00CC2943">
        <w:rPr>
          <w:sz w:val="24"/>
        </w:rPr>
        <w:t>onitoring pomieszczenia – pomieszczenie musi być wyposażone w system CCTV umożliwiający identyfikację osób mających dostęp do pomieszczenia oraz przebywających w pomieszczeniu.</w:t>
      </w:r>
    </w:p>
    <w:p w:rsidR="00CC2943" w:rsidRPr="00CC2943" w:rsidRDefault="00CC2943" w:rsidP="00A640E5">
      <w:pPr>
        <w:pStyle w:val="Akapitzlist"/>
        <w:suppressAutoHyphens/>
        <w:spacing w:line="360" w:lineRule="auto"/>
        <w:ind w:left="850" w:firstLine="1"/>
        <w:rPr>
          <w:sz w:val="24"/>
        </w:rPr>
      </w:pPr>
      <w:r>
        <w:rPr>
          <w:sz w:val="24"/>
        </w:rPr>
        <w:t>- r</w:t>
      </w:r>
      <w:r w:rsidRPr="00CC2943">
        <w:rPr>
          <w:sz w:val="24"/>
        </w:rPr>
        <w:t>ozliczanie energii elektrycznej – pomieszczenie musi posiadać liczniki energii na</w:t>
      </w:r>
      <w:r w:rsidR="0093760F">
        <w:rPr>
          <w:sz w:val="24"/>
        </w:rPr>
        <w:t> </w:t>
      </w:r>
      <w:r w:rsidRPr="00CC2943">
        <w:rPr>
          <w:sz w:val="24"/>
        </w:rPr>
        <w:t>wszystkich obwodach wykorzystywanych przez Zamawiającego.</w:t>
      </w:r>
    </w:p>
    <w:p w:rsidR="00CB4F26" w:rsidRDefault="00CC2943" w:rsidP="000A0B28">
      <w:pPr>
        <w:pStyle w:val="Akapitzlist"/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4"/>
          <w:szCs w:val="24"/>
        </w:rPr>
      </w:pPr>
      <w:r w:rsidRPr="00CC2943">
        <w:rPr>
          <w:b/>
          <w:sz w:val="24"/>
          <w:szCs w:val="24"/>
        </w:rPr>
        <w:t>Wyposażenie pomieszczenia: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>pomieszczenie musi być wyposażone w minimum 8 szaf RACK,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>- p</w:t>
      </w:r>
      <w:r w:rsidRPr="003B1299">
        <w:rPr>
          <w:sz w:val="24"/>
          <w:szCs w:val="24"/>
        </w:rPr>
        <w:t>omieszczenie musi umożliwiać montaż minimum 4 dodatkowych szaf RACK,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>- s</w:t>
      </w:r>
      <w:r w:rsidRPr="003B1299">
        <w:rPr>
          <w:sz w:val="24"/>
          <w:szCs w:val="24"/>
        </w:rPr>
        <w:t>zafy muszą być rozmieszczone na środku pomieszczenia w dwóch rzędach, dopuszcza się zetknięcie jednej ze stron Korytarza znajdującego się między szafami do ściany pomieszczenia,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szafy muszą być ze sobą połączone, a przestrzeń pomiędzy szafami musi być wydzielona od reszty pomieszczenia, </w:t>
      </w:r>
      <w:proofErr w:type="spellStart"/>
      <w:r w:rsidRPr="003B1299">
        <w:rPr>
          <w:sz w:val="24"/>
          <w:szCs w:val="24"/>
        </w:rPr>
        <w:t>tj</w:t>
      </w:r>
      <w:proofErr w:type="spellEnd"/>
      <w:r w:rsidRPr="003B1299">
        <w:rPr>
          <w:sz w:val="24"/>
          <w:szCs w:val="24"/>
        </w:rPr>
        <w:t xml:space="preserve"> posiadać sufit oraz zamykane wejście minimum z jednej strony korytarza,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>wejście do korytarza musi odbywać się w oparciu o identyfikację na podstawie karty zbliżeniowej.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do pomieszczenia na koszt Wykonawcy zostaną doprowadzone 2 symetryczne łącza internetowe o prędkości nie mniejszej niż 500/500 </w:t>
      </w:r>
      <w:proofErr w:type="spellStart"/>
      <w:r w:rsidRPr="003B1299">
        <w:rPr>
          <w:sz w:val="24"/>
          <w:szCs w:val="24"/>
        </w:rPr>
        <w:t>Mb</w:t>
      </w:r>
      <w:proofErr w:type="spellEnd"/>
      <w:r w:rsidRPr="003B1299">
        <w:rPr>
          <w:sz w:val="24"/>
          <w:szCs w:val="24"/>
        </w:rPr>
        <w:t>. Łącza muszą być dostarczone przez niezależnych operatorów gwarantujących dostępność usług internetowych na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poziomie nie mniejszym niż 99,5 % w skali rocznej. Łącza muszą być poprowadzone w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oparciu o niezależną od siebie infrastrukturę fizyczną oraz logiczną oraz zakończone zgodnie z wymaganiami Zamawiającego,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hanging="141"/>
        <w:rPr>
          <w:sz w:val="24"/>
          <w:szCs w:val="24"/>
        </w:rPr>
      </w:pPr>
      <w:r>
        <w:rPr>
          <w:sz w:val="24"/>
          <w:szCs w:val="24"/>
        </w:rPr>
        <w:t>- p</w:t>
      </w:r>
      <w:r w:rsidRPr="003B1299">
        <w:rPr>
          <w:sz w:val="24"/>
          <w:szCs w:val="24"/>
        </w:rPr>
        <w:t>omieszczenie musi być wyposażone w podłogę techniczną spełniająca wymagania w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zakresie przenoszenia ładunków elektrostatycznych właściwych dla pomieszczeń serwerowni, nośność podłogi technicznej musi być zgodna z danymi maksymalnego obciążenia dostarczanych szaf RACK oraz nie mniejsza niż 1000 kg /m2</w:t>
      </w:r>
    </w:p>
    <w:p w:rsidR="003B1299" w:rsidRPr="003B1299" w:rsidRDefault="003B1299" w:rsidP="00A640E5">
      <w:pPr>
        <w:pStyle w:val="Akapitzlist"/>
        <w:suppressAutoHyphens/>
        <w:spacing w:line="360" w:lineRule="auto"/>
        <w:ind w:left="850" w:hanging="14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moc elektryczna doprowadzona do szaf RACK musi być zgodna z maksymalnym obciążeniem zamontowanych urządzeń w szafach RACK </w:t>
      </w:r>
    </w:p>
    <w:p w:rsidR="003B1299" w:rsidRDefault="003B1299" w:rsidP="00A640E5">
      <w:pPr>
        <w:pStyle w:val="Akapitzlist"/>
        <w:suppressAutoHyphens/>
        <w:spacing w:line="360" w:lineRule="auto"/>
        <w:ind w:left="850" w:hanging="14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do pomieszczenia na koszt Wykonawcy zostaną doprowadzone ciemne włókna światłowodowe łączące pomieszczenie z lokalizacjami Zamawiającego z wykorzystaniem włókien typu </w:t>
      </w:r>
      <w:proofErr w:type="spellStart"/>
      <w:r w:rsidRPr="003B1299">
        <w:rPr>
          <w:sz w:val="24"/>
          <w:szCs w:val="24"/>
        </w:rPr>
        <w:t>jednomodowego</w:t>
      </w:r>
      <w:proofErr w:type="spellEnd"/>
      <w:r w:rsidRPr="003B1299">
        <w:rPr>
          <w:sz w:val="24"/>
          <w:szCs w:val="24"/>
        </w:rPr>
        <w:t>:</w:t>
      </w:r>
    </w:p>
    <w:p w:rsidR="003B1299" w:rsidRPr="003B1299" w:rsidRDefault="003B1299" w:rsidP="00A640E5">
      <w:pPr>
        <w:pStyle w:val="Akapitzlist"/>
        <w:numPr>
          <w:ilvl w:val="0"/>
          <w:numId w:val="35"/>
        </w:numPr>
        <w:suppressAutoHyphens/>
        <w:spacing w:line="360" w:lineRule="auto"/>
        <w:ind w:left="1066" w:hanging="357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 al.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Jana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Pawła II 13 – 3 kanały komunikacyjne (6 włókien światłowodowych) – dopuszczalna długość połącznia ≤ 9 km,</w:t>
      </w:r>
    </w:p>
    <w:p w:rsidR="003B1299" w:rsidRPr="003B1299" w:rsidRDefault="003B1299" w:rsidP="00A640E5">
      <w:pPr>
        <w:pStyle w:val="Akapitzlist"/>
        <w:numPr>
          <w:ilvl w:val="0"/>
          <w:numId w:val="35"/>
        </w:numPr>
        <w:suppressAutoHyphens/>
        <w:spacing w:line="360" w:lineRule="auto"/>
        <w:ind w:left="1066" w:hanging="357"/>
        <w:rPr>
          <w:sz w:val="24"/>
          <w:szCs w:val="24"/>
        </w:rPr>
      </w:pPr>
      <w:r w:rsidRPr="003B1299">
        <w:rPr>
          <w:sz w:val="24"/>
          <w:szCs w:val="24"/>
        </w:rPr>
        <w:t>zapasowe 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al. Jana Pawła II 13 – 3 kanały komunikacyjne (6 włókien światłowodowych), dopuszczalna długość połącznia ≤ 9 km</w:t>
      </w:r>
    </w:p>
    <w:p w:rsidR="003B1299" w:rsidRPr="003B1299" w:rsidRDefault="003B1299" w:rsidP="00A640E5">
      <w:pPr>
        <w:pStyle w:val="Akapitzlist"/>
        <w:numPr>
          <w:ilvl w:val="0"/>
          <w:numId w:val="35"/>
        </w:numPr>
        <w:suppressAutoHyphens/>
        <w:spacing w:line="360" w:lineRule="auto"/>
        <w:ind w:left="1066" w:hanging="357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Kolejowej 19 – 2 kanały komunikacyjne (4 włókna światłowodowe), dopuszczalna długość połącznia ≤ 9 km,</w:t>
      </w:r>
    </w:p>
    <w:p w:rsidR="00E5543A" w:rsidRPr="003B1299" w:rsidRDefault="003B1299" w:rsidP="00A640E5">
      <w:pPr>
        <w:pStyle w:val="Akapitzlist"/>
        <w:numPr>
          <w:ilvl w:val="0"/>
          <w:numId w:val="35"/>
        </w:numPr>
        <w:suppressAutoHyphens/>
        <w:spacing w:line="360" w:lineRule="auto"/>
        <w:ind w:left="1066" w:hanging="357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63 – 2 kanały komunikacyjne (4 włókna światłowodowe), dopuszczalna długość połącznia ≤ 9 km.</w:t>
      </w:r>
    </w:p>
    <w:p w:rsidR="00FE13B4" w:rsidRDefault="00FE13B4" w:rsidP="000A0B28">
      <w:pPr>
        <w:numPr>
          <w:ilvl w:val="1"/>
          <w:numId w:val="30"/>
        </w:numPr>
        <w:spacing w:line="360" w:lineRule="auto"/>
        <w:ind w:left="851" w:hanging="709"/>
        <w:rPr>
          <w:b/>
          <w:sz w:val="24"/>
        </w:rPr>
      </w:pPr>
      <w:r w:rsidRPr="00FE13B4">
        <w:rPr>
          <w:b/>
          <w:sz w:val="24"/>
        </w:rPr>
        <w:t>Wyposażenie szaf RACK:</w:t>
      </w:r>
    </w:p>
    <w:p w:rsidR="00FE13B4" w:rsidRPr="00FE13B4" w:rsidRDefault="00FE13B4" w:rsidP="00A640E5">
      <w:pPr>
        <w:suppressAutoHyphens/>
        <w:spacing w:line="360" w:lineRule="auto"/>
        <w:ind w:left="850" w:hanging="425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 xml:space="preserve">w ramach aranżacji szaf RACK Wykonawca zapewni elementy organizacji okablowania (poziome i pionowe), listwy zasilające, okablowanie światłowodowe oraz miedziane, </w:t>
      </w:r>
    </w:p>
    <w:p w:rsidR="00FE13B4" w:rsidRDefault="00FE13B4" w:rsidP="00A640E5">
      <w:pPr>
        <w:suppressAutoHyphens/>
        <w:spacing w:line="360" w:lineRule="auto"/>
        <w:ind w:left="850" w:hanging="141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w ramach aranżacji wykonawca zapewni (wykona, Zamawiający dopuszcza realizację łączy pod podłogą techniczną lub nad szafami RACK) łącza komunikacyjne między szafami zgodnie ze wskazaniami Zamawiającego w ilościach:</w:t>
      </w:r>
    </w:p>
    <w:p w:rsidR="00FE13B4" w:rsidRPr="00FE13B4" w:rsidRDefault="00FE13B4" w:rsidP="00A640E5">
      <w:pPr>
        <w:numPr>
          <w:ilvl w:val="0"/>
          <w:numId w:val="36"/>
        </w:numPr>
        <w:suppressAutoHyphens/>
        <w:spacing w:line="360" w:lineRule="auto"/>
        <w:ind w:left="1071" w:hanging="357"/>
        <w:rPr>
          <w:sz w:val="24"/>
        </w:rPr>
      </w:pPr>
      <w:r w:rsidRPr="00FE13B4">
        <w:rPr>
          <w:sz w:val="24"/>
        </w:rPr>
        <w:t>180 kanałów transmisji (medium – włókna światłowodowe) wykorzystujących łącznie 360 włókien światłowodowych SC/APC, włókna typu wielomodowe,</w:t>
      </w:r>
    </w:p>
    <w:p w:rsidR="00FE13B4" w:rsidRPr="00FE13B4" w:rsidRDefault="00FE13B4" w:rsidP="00A640E5">
      <w:pPr>
        <w:numPr>
          <w:ilvl w:val="0"/>
          <w:numId w:val="36"/>
        </w:numPr>
        <w:suppressAutoHyphens/>
        <w:spacing w:line="360" w:lineRule="auto"/>
        <w:ind w:left="1071" w:hanging="357"/>
        <w:rPr>
          <w:sz w:val="24"/>
        </w:rPr>
      </w:pPr>
      <w:r w:rsidRPr="00FE13B4">
        <w:rPr>
          <w:sz w:val="24"/>
        </w:rPr>
        <w:t>88 kanałów transmisji (medium – kable miedziane) Ethernet 10Gb RJ 45,</w:t>
      </w:r>
    </w:p>
    <w:p w:rsidR="00FE13B4" w:rsidRPr="00FE13B4" w:rsidRDefault="00FE13B4" w:rsidP="00A640E5">
      <w:pPr>
        <w:numPr>
          <w:ilvl w:val="0"/>
          <w:numId w:val="36"/>
        </w:numPr>
        <w:suppressAutoHyphens/>
        <w:spacing w:line="360" w:lineRule="auto"/>
        <w:ind w:left="1071" w:hanging="357"/>
        <w:rPr>
          <w:sz w:val="24"/>
        </w:rPr>
      </w:pPr>
      <w:r w:rsidRPr="00FE13B4">
        <w:rPr>
          <w:sz w:val="24"/>
        </w:rPr>
        <w:t>Zakończenie instalacji na łącznie 29 sztukach przełącznic (</w:t>
      </w:r>
      <w:proofErr w:type="spellStart"/>
      <w:r w:rsidRPr="00FE13B4">
        <w:rPr>
          <w:sz w:val="24"/>
        </w:rPr>
        <w:t>patch</w:t>
      </w:r>
      <w:proofErr w:type="spellEnd"/>
      <w:r w:rsidRPr="00FE13B4">
        <w:rPr>
          <w:sz w:val="24"/>
        </w:rPr>
        <w:t xml:space="preserve"> paneli).</w:t>
      </w:r>
    </w:p>
    <w:p w:rsidR="00FE13B4" w:rsidRDefault="00FE13B4" w:rsidP="00A640E5">
      <w:pPr>
        <w:suppressAutoHyphens/>
        <w:spacing w:line="360" w:lineRule="auto"/>
        <w:ind w:left="782" w:hanging="73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w ramach aranżacji wykonawca zapewni montaż listew zasilających wraz z wpięciem ich do sieci elektrycznej pomieszczenia, każda z szaf RACK musi pozasiadać podłączenie do</w:t>
      </w:r>
      <w:r w:rsidR="0093760F">
        <w:rPr>
          <w:sz w:val="24"/>
        </w:rPr>
        <w:t> </w:t>
      </w:r>
      <w:r w:rsidRPr="00FE13B4">
        <w:rPr>
          <w:sz w:val="24"/>
        </w:rPr>
        <w:t>dwóch niezależnych obwodów zasilających. W ramach każdego z obwodów musi być dostępna ilość gniazd min. 4 gniazda C19, min. 16 gniazd C13. Wszystkie gniazda łącznie dla każdego z obwodów muszą oferować 32A możliwego obciążenia tj. 2x32A maksymalnego obciążenia dla każdej z szaf RACK.</w:t>
      </w:r>
    </w:p>
    <w:p w:rsidR="00FE13B4" w:rsidRDefault="00FE13B4" w:rsidP="000A0B28">
      <w:pPr>
        <w:numPr>
          <w:ilvl w:val="1"/>
          <w:numId w:val="30"/>
        </w:numPr>
        <w:suppressAutoHyphens/>
        <w:spacing w:line="360" w:lineRule="auto"/>
        <w:ind w:left="851" w:hanging="709"/>
        <w:rPr>
          <w:b/>
          <w:sz w:val="24"/>
        </w:rPr>
      </w:pPr>
      <w:r w:rsidRPr="00FE13B4">
        <w:rPr>
          <w:b/>
          <w:sz w:val="24"/>
        </w:rPr>
        <w:t>Warunki rozliczania oraz dostępności:</w:t>
      </w:r>
    </w:p>
    <w:p w:rsidR="00FE13B4" w:rsidRPr="00FE13B4" w:rsidRDefault="00FE13B4" w:rsidP="00A640E5">
      <w:pPr>
        <w:suppressAutoHyphens/>
        <w:spacing w:line="360" w:lineRule="auto"/>
        <w:ind w:left="1135" w:hanging="284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pomieszczenie musi być dostępne dla Zamawiającego w terminie nie przekraczającym 3mc od dnia zawarcia umowy najmu,</w:t>
      </w:r>
    </w:p>
    <w:p w:rsidR="00FE13B4" w:rsidRPr="00FE13B4" w:rsidRDefault="00FE13B4" w:rsidP="00A640E5">
      <w:pPr>
        <w:suppressAutoHyphens/>
        <w:spacing w:line="360" w:lineRule="auto"/>
        <w:ind w:left="1135" w:hanging="284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najem realizowany jest na 24 mc</w:t>
      </w:r>
      <w:r w:rsidR="009D4F4C">
        <w:rPr>
          <w:sz w:val="24"/>
        </w:rPr>
        <w:t xml:space="preserve"> liczone od </w:t>
      </w:r>
      <w:r w:rsidR="008C0B30">
        <w:rPr>
          <w:sz w:val="24"/>
        </w:rPr>
        <w:t>dnia przekazania gotowej powierzchni pomieszczenia</w:t>
      </w:r>
      <w:r w:rsidRPr="00FE13B4">
        <w:rPr>
          <w:sz w:val="24"/>
        </w:rPr>
        <w:t>.</w:t>
      </w:r>
    </w:p>
    <w:p w:rsidR="00FE13B4" w:rsidRPr="00FE13B4" w:rsidRDefault="00FE13B4" w:rsidP="00A640E5">
      <w:pPr>
        <w:suppressAutoHyphens/>
        <w:spacing w:line="360" w:lineRule="auto"/>
        <w:ind w:left="1135" w:hanging="284"/>
        <w:rPr>
          <w:sz w:val="24"/>
        </w:rPr>
      </w:pPr>
      <w:r>
        <w:rPr>
          <w:sz w:val="24"/>
        </w:rPr>
        <w:t xml:space="preserve">- </w:t>
      </w:r>
      <w:r w:rsidR="00DD7283">
        <w:rPr>
          <w:sz w:val="24"/>
        </w:rPr>
        <w:t xml:space="preserve">  </w:t>
      </w:r>
      <w:r w:rsidRPr="00FE13B4">
        <w:rPr>
          <w:sz w:val="24"/>
        </w:rPr>
        <w:t>płatności za najem pomieszczenia realizowane będą kwartalnie na podstawie FV posiadającej 21 dniowy termin płatności liczony od momentu dostarczenia do</w:t>
      </w:r>
      <w:r w:rsidR="0093760F">
        <w:rPr>
          <w:sz w:val="24"/>
        </w:rPr>
        <w:t> </w:t>
      </w:r>
      <w:r w:rsidRPr="00FE13B4">
        <w:rPr>
          <w:sz w:val="24"/>
        </w:rPr>
        <w:t>Zamawiającego FV.</w:t>
      </w:r>
    </w:p>
    <w:p w:rsidR="00FE13B4" w:rsidRDefault="00FE13B4" w:rsidP="00A640E5">
      <w:pPr>
        <w:suppressAutoHyphens/>
        <w:spacing w:line="360" w:lineRule="auto"/>
        <w:ind w:left="1135" w:hanging="284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płatność za najem pomieszczenia musi uwzględniać wszystkie składniki z wyłączeniem energii elektrycznej</w:t>
      </w:r>
      <w:r w:rsidR="00093229">
        <w:rPr>
          <w:sz w:val="24"/>
        </w:rPr>
        <w:t>,</w:t>
      </w:r>
    </w:p>
    <w:p w:rsidR="00093229" w:rsidRPr="00FE13B4" w:rsidRDefault="00093229" w:rsidP="00A640E5">
      <w:pPr>
        <w:suppressAutoHyphens/>
        <w:spacing w:line="360" w:lineRule="auto"/>
        <w:ind w:left="1135" w:hanging="284"/>
        <w:rPr>
          <w:sz w:val="24"/>
        </w:rPr>
      </w:pPr>
      <w:r>
        <w:rPr>
          <w:sz w:val="24"/>
        </w:rPr>
        <w:t xml:space="preserve">- </w:t>
      </w:r>
      <w:r w:rsidRPr="00093229">
        <w:rPr>
          <w:sz w:val="24"/>
        </w:rPr>
        <w:t xml:space="preserve">płatność za elektryczność rozliczana </w:t>
      </w:r>
      <w:r w:rsidR="00646C07">
        <w:rPr>
          <w:sz w:val="24"/>
        </w:rPr>
        <w:t>będzie</w:t>
      </w:r>
      <w:r w:rsidRPr="00093229">
        <w:rPr>
          <w:sz w:val="24"/>
        </w:rPr>
        <w:t xml:space="preserve"> wg. wskazań liczników w</w:t>
      </w:r>
      <w:r>
        <w:rPr>
          <w:sz w:val="24"/>
        </w:rPr>
        <w:t xml:space="preserve"> jednomiesięcznych </w:t>
      </w:r>
      <w:r w:rsidRPr="00093229">
        <w:rPr>
          <w:sz w:val="24"/>
        </w:rPr>
        <w:t>okresach</w:t>
      </w:r>
      <w:r>
        <w:rPr>
          <w:sz w:val="24"/>
        </w:rPr>
        <w:t>.</w:t>
      </w:r>
    </w:p>
    <w:p w:rsidR="002054E4" w:rsidRDefault="002054E4" w:rsidP="000A0B28">
      <w:pPr>
        <w:numPr>
          <w:ilvl w:val="0"/>
          <w:numId w:val="30"/>
        </w:numPr>
        <w:suppressAutoHyphens/>
        <w:spacing w:line="360" w:lineRule="auto"/>
        <w:ind w:left="426" w:hanging="426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Warunki udziału w postępowaniu.</w:t>
      </w:r>
    </w:p>
    <w:p w:rsidR="002054E4" w:rsidRPr="002054E4" w:rsidRDefault="002054E4" w:rsidP="000A0B28">
      <w:pPr>
        <w:suppressAutoHyphens/>
        <w:spacing w:line="360" w:lineRule="auto"/>
        <w:ind w:left="284" w:firstLine="142"/>
        <w:rPr>
          <w:sz w:val="24"/>
          <w:szCs w:val="24"/>
        </w:rPr>
      </w:pPr>
      <w:r w:rsidRPr="002054E4">
        <w:rPr>
          <w:sz w:val="24"/>
          <w:szCs w:val="24"/>
        </w:rPr>
        <w:t>O udzielenie zamówienia mogą ubiegać się Wykonawcy, którzy wykażą, że:</w:t>
      </w:r>
    </w:p>
    <w:p w:rsidR="002054E4" w:rsidRPr="002054E4" w:rsidRDefault="002054E4" w:rsidP="000A0B28">
      <w:pPr>
        <w:numPr>
          <w:ilvl w:val="1"/>
          <w:numId w:val="38"/>
        </w:numPr>
        <w:suppressAutoHyphens/>
        <w:spacing w:line="360" w:lineRule="auto"/>
        <w:ind w:left="851" w:hanging="425"/>
        <w:rPr>
          <w:sz w:val="24"/>
          <w:szCs w:val="24"/>
        </w:rPr>
      </w:pPr>
      <w:r w:rsidRPr="002054E4">
        <w:rPr>
          <w:sz w:val="24"/>
          <w:szCs w:val="24"/>
        </w:rPr>
        <w:t xml:space="preserve">posiadają aktualną polisę OC z tytułu posiadania mienia oraz prowadzenia działalności na sumę ubezpieczenia co najmniej </w:t>
      </w:r>
      <w:r w:rsidR="00D91F19">
        <w:rPr>
          <w:sz w:val="24"/>
          <w:szCs w:val="24"/>
        </w:rPr>
        <w:t>7</w:t>
      </w:r>
      <w:r w:rsidRPr="002054E4">
        <w:rPr>
          <w:sz w:val="24"/>
          <w:szCs w:val="24"/>
        </w:rPr>
        <w:t xml:space="preserve"> 000 000,00 zł,</w:t>
      </w:r>
    </w:p>
    <w:p w:rsidR="002054E4" w:rsidRPr="002054E4" w:rsidRDefault="002054E4" w:rsidP="000A0B28">
      <w:pPr>
        <w:numPr>
          <w:ilvl w:val="1"/>
          <w:numId w:val="38"/>
        </w:numPr>
        <w:suppressAutoHyphens/>
        <w:spacing w:line="360" w:lineRule="auto"/>
        <w:ind w:left="851" w:hanging="425"/>
        <w:rPr>
          <w:sz w:val="24"/>
          <w:szCs w:val="24"/>
        </w:rPr>
      </w:pPr>
      <w:r w:rsidRPr="002054E4">
        <w:rPr>
          <w:sz w:val="24"/>
          <w:szCs w:val="24"/>
        </w:rPr>
        <w:t>posiadają potencjał techniczny i organizacyjny do wykonania przedmiotu zamówienia.</w:t>
      </w:r>
    </w:p>
    <w:p w:rsidR="002054E4" w:rsidRDefault="002054E4" w:rsidP="000A0B28">
      <w:pPr>
        <w:numPr>
          <w:ilvl w:val="0"/>
          <w:numId w:val="43"/>
        </w:numPr>
        <w:suppressAutoHyphens/>
        <w:spacing w:line="360" w:lineRule="auto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Wykaz wymaganych oświadczeń i dokumentów w celu potwierdzenia spełnienia warunków udziału w postępowaniu oraz braku podstaw do wykluczenia z</w:t>
      </w:r>
      <w:r w:rsidR="0093760F">
        <w:rPr>
          <w:b/>
          <w:sz w:val="24"/>
          <w:szCs w:val="24"/>
        </w:rPr>
        <w:t> </w:t>
      </w:r>
      <w:r w:rsidRPr="002054E4">
        <w:rPr>
          <w:b/>
          <w:sz w:val="24"/>
          <w:szCs w:val="24"/>
        </w:rPr>
        <w:t>postępowania.</w:t>
      </w:r>
    </w:p>
    <w:p w:rsidR="002054E4" w:rsidRPr="00CF1F0A" w:rsidRDefault="00CF1F0A" w:rsidP="00DD7283">
      <w:pPr>
        <w:numPr>
          <w:ilvl w:val="1"/>
          <w:numId w:val="43"/>
        </w:numPr>
        <w:suppressAutoHyphens/>
        <w:spacing w:line="360" w:lineRule="auto"/>
        <w:ind w:left="709" w:hanging="357"/>
        <w:rPr>
          <w:b/>
          <w:sz w:val="24"/>
          <w:szCs w:val="24"/>
        </w:rPr>
      </w:pPr>
      <w:r w:rsidRPr="00CF1F0A">
        <w:rPr>
          <w:rFonts w:cs="Calibri"/>
          <w:sz w:val="24"/>
          <w:szCs w:val="24"/>
        </w:rPr>
        <w:t>aktualny odpis z właściwego rejestru, jeżeli odrębne przepisy wymagają wpisu do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>rejestru, wystawionego nie wcześniej niż 6 miesięcy przed upływem terminu składania ofert, a w stosunku do osób fizycznych oświadczenie w zakresie art. 24 ust. 1 pkt 2 ustawy,</w:t>
      </w:r>
    </w:p>
    <w:p w:rsidR="002054E4" w:rsidRPr="00CF1F0A" w:rsidRDefault="00CF1F0A" w:rsidP="00DD7283">
      <w:pPr>
        <w:numPr>
          <w:ilvl w:val="1"/>
          <w:numId w:val="43"/>
        </w:numPr>
        <w:suppressAutoHyphens/>
        <w:spacing w:line="360" w:lineRule="auto"/>
        <w:ind w:hanging="357"/>
        <w:rPr>
          <w:b/>
          <w:sz w:val="24"/>
          <w:szCs w:val="24"/>
        </w:rPr>
      </w:pPr>
      <w:r w:rsidRPr="00CF1F0A">
        <w:rPr>
          <w:rFonts w:cs="Calibri"/>
          <w:sz w:val="24"/>
          <w:szCs w:val="24"/>
        </w:rPr>
        <w:t>przedstawienie polisy ubezpieczeniowej potwierdzającej, ubezpieczenie od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>odpowiedzialności cywilnej w zakresie prowadzonej działalności gospodarczej na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 xml:space="preserve">kwotę nie mniejszą niż </w:t>
      </w:r>
      <w:r w:rsidR="009C7883">
        <w:rPr>
          <w:rFonts w:cs="Calibri"/>
          <w:sz w:val="24"/>
          <w:szCs w:val="24"/>
        </w:rPr>
        <w:t>7</w:t>
      </w:r>
      <w:r w:rsidRPr="00CF1F0A">
        <w:rPr>
          <w:rFonts w:cs="Calibri"/>
          <w:sz w:val="24"/>
          <w:szCs w:val="24"/>
        </w:rPr>
        <w:t xml:space="preserve"> 000 000,00 zł</w:t>
      </w:r>
    </w:p>
    <w:p w:rsidR="00CF1F0A" w:rsidRPr="00CF1F0A" w:rsidRDefault="00CF1F0A" w:rsidP="00DD7283">
      <w:pPr>
        <w:numPr>
          <w:ilvl w:val="1"/>
          <w:numId w:val="43"/>
        </w:numPr>
        <w:suppressAutoHyphens/>
        <w:spacing w:line="360" w:lineRule="auto"/>
        <w:ind w:hanging="357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:rsidR="00CF1F0A" w:rsidRPr="00CF1F0A" w:rsidRDefault="00CF1F0A" w:rsidP="00DD7283">
      <w:pPr>
        <w:numPr>
          <w:ilvl w:val="0"/>
          <w:numId w:val="41"/>
        </w:numPr>
        <w:tabs>
          <w:tab w:val="left" w:pos="993"/>
        </w:tabs>
        <w:suppressAutoHyphens/>
        <w:spacing w:line="360" w:lineRule="auto"/>
        <w:ind w:left="993" w:hanging="284"/>
        <w:contextualSpacing/>
        <w:jc w:val="left"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uczestniczeniu w spółce jako wspólnik spółki cywilnej lub spółki osobowej,</w:t>
      </w:r>
    </w:p>
    <w:p w:rsidR="00CF1F0A" w:rsidRPr="00CF1F0A" w:rsidRDefault="00CF1F0A" w:rsidP="00DD7283">
      <w:pPr>
        <w:numPr>
          <w:ilvl w:val="0"/>
          <w:numId w:val="41"/>
        </w:numPr>
        <w:tabs>
          <w:tab w:val="left" w:pos="993"/>
        </w:tabs>
        <w:suppressAutoHyphens/>
        <w:spacing w:line="360" w:lineRule="auto"/>
        <w:ind w:left="993" w:hanging="284"/>
        <w:contextualSpacing/>
        <w:jc w:val="left"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posiadaniu co najmniej 10 % udziałów lub akcji,</w:t>
      </w:r>
    </w:p>
    <w:p w:rsidR="00CF1F0A" w:rsidRPr="00CF1F0A" w:rsidRDefault="00CF1F0A" w:rsidP="00DD7283">
      <w:pPr>
        <w:numPr>
          <w:ilvl w:val="0"/>
          <w:numId w:val="41"/>
        </w:numPr>
        <w:tabs>
          <w:tab w:val="left" w:pos="993"/>
        </w:tabs>
        <w:suppressAutoHyphens/>
        <w:spacing w:line="360" w:lineRule="auto"/>
        <w:ind w:left="993" w:hanging="284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pełnieniu funkcji członka organu nadzorczego lub zarządzającego, prokurenta, pełnomocnika,</w:t>
      </w:r>
    </w:p>
    <w:p w:rsidR="00CF1F0A" w:rsidRDefault="00CF1F0A" w:rsidP="00DD7283">
      <w:pPr>
        <w:numPr>
          <w:ilvl w:val="0"/>
          <w:numId w:val="41"/>
        </w:numPr>
        <w:tabs>
          <w:tab w:val="left" w:pos="993"/>
        </w:tabs>
        <w:suppressAutoHyphens/>
        <w:spacing w:line="360" w:lineRule="auto"/>
        <w:ind w:left="993" w:hanging="284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:rsidR="00F158AF" w:rsidRPr="00CF1F0A" w:rsidRDefault="00A5600F" w:rsidP="00DD7283">
      <w:pPr>
        <w:numPr>
          <w:ilvl w:val="1"/>
          <w:numId w:val="43"/>
        </w:numPr>
        <w:suppressAutoHyphens/>
        <w:spacing w:line="360" w:lineRule="auto"/>
        <w:ind w:hanging="357"/>
        <w:contextualSpacing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opis przebiegu tras bezpośrednich połączeń światłowodowych wskazanych w pkt. 3.2</w:t>
      </w:r>
      <w:r w:rsidR="008E65B3">
        <w:rPr>
          <w:rFonts w:cs="Calibri"/>
          <w:sz w:val="24"/>
          <w:szCs w:val="24"/>
          <w:lang w:eastAsia="pl-PL"/>
        </w:rPr>
        <w:t>.</w:t>
      </w:r>
    </w:p>
    <w:p w:rsidR="00CF1F0A" w:rsidRPr="00CF1F0A" w:rsidRDefault="00CF1F0A" w:rsidP="000A0B28">
      <w:pPr>
        <w:numPr>
          <w:ilvl w:val="0"/>
          <w:numId w:val="43"/>
        </w:numPr>
        <w:suppressAutoHyphens/>
        <w:spacing w:line="360" w:lineRule="auto"/>
        <w:ind w:left="426" w:hanging="426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Osoby uprawnione do kontaktów z Wykonawcami.</w:t>
      </w:r>
    </w:p>
    <w:p w:rsidR="00CF1F0A" w:rsidRPr="00CF1F0A" w:rsidRDefault="00CF1F0A" w:rsidP="00DD7283">
      <w:pPr>
        <w:suppressAutoHyphens/>
        <w:spacing w:line="360" w:lineRule="auto"/>
        <w:ind w:left="357" w:firstLine="0"/>
        <w:rPr>
          <w:sz w:val="24"/>
          <w:szCs w:val="24"/>
        </w:rPr>
      </w:pPr>
      <w:r w:rsidRPr="00CF1F0A">
        <w:rPr>
          <w:sz w:val="24"/>
          <w:szCs w:val="24"/>
        </w:rPr>
        <w:t>Informacji na temat przedmiotu zamówienia udziela w godzinach  9</w:t>
      </w:r>
      <w:r>
        <w:rPr>
          <w:sz w:val="24"/>
          <w:szCs w:val="24"/>
        </w:rPr>
        <w:t>:0</w:t>
      </w:r>
      <w:r w:rsidRPr="00CF1F0A">
        <w:rPr>
          <w:sz w:val="24"/>
          <w:szCs w:val="24"/>
        </w:rPr>
        <w:t>0 – 15</w:t>
      </w:r>
      <w:r>
        <w:rPr>
          <w:sz w:val="24"/>
          <w:szCs w:val="24"/>
        </w:rPr>
        <w:t>:</w:t>
      </w:r>
      <w:r w:rsidRPr="00CF1F0A">
        <w:rPr>
          <w:sz w:val="24"/>
          <w:szCs w:val="24"/>
        </w:rPr>
        <w:t xml:space="preserve">00, pon. – pt.: Pan </w:t>
      </w:r>
      <w:r>
        <w:rPr>
          <w:sz w:val="24"/>
          <w:szCs w:val="24"/>
        </w:rPr>
        <w:t>Robert Walczak,</w:t>
      </w:r>
      <w:r w:rsidRPr="00CF1F0A">
        <w:rPr>
          <w:sz w:val="24"/>
          <w:szCs w:val="24"/>
        </w:rPr>
        <w:t xml:space="preserve"> tel.  22 50 55</w:t>
      </w:r>
      <w:r>
        <w:rPr>
          <w:sz w:val="24"/>
          <w:szCs w:val="24"/>
        </w:rPr>
        <w:t> 341 lub Pan Tomasz Łata, tel. 22 50 55 618.</w:t>
      </w:r>
    </w:p>
    <w:p w:rsidR="00CF1F0A" w:rsidRPr="00CF1F0A" w:rsidRDefault="00CF1F0A" w:rsidP="000A0B28">
      <w:pPr>
        <w:numPr>
          <w:ilvl w:val="0"/>
          <w:numId w:val="43"/>
        </w:numPr>
        <w:suppressAutoHyphens/>
        <w:spacing w:line="360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Sposób udzielania wyjaśnień.</w:t>
      </w:r>
    </w:p>
    <w:p w:rsidR="00314A79" w:rsidRDefault="00CF1F0A" w:rsidP="00DD7283">
      <w:pPr>
        <w:suppressAutoHyphens/>
        <w:spacing w:line="360" w:lineRule="auto"/>
        <w:ind w:left="357" w:firstLine="0"/>
        <w:rPr>
          <w:rFonts w:cs="Calibri"/>
          <w:color w:val="0000FF"/>
          <w:sz w:val="24"/>
          <w:szCs w:val="24"/>
          <w:lang w:eastAsia="pl-PL"/>
        </w:rPr>
      </w:pPr>
      <w:r w:rsidRPr="00CF1F0A">
        <w:rPr>
          <w:sz w:val="24"/>
          <w:szCs w:val="24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wpłynie do Zamawiającego nie później niż do końca dnia, w</w:t>
      </w:r>
      <w:r w:rsidR="0093760F">
        <w:rPr>
          <w:sz w:val="24"/>
          <w:szCs w:val="24"/>
        </w:rPr>
        <w:t> </w:t>
      </w:r>
      <w:r w:rsidRPr="00CF1F0A">
        <w:rPr>
          <w:sz w:val="24"/>
          <w:szCs w:val="24"/>
        </w:rPr>
        <w:t>którym upływa połowa wyznaczonego terminu składania ofert. Jeżeli wniosek o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 xml:space="preserve">wyjaśnienie treści przedmiotu zamówienia wpłynie po upływie terminu składania wniosku, lub dotyczy udzielonych wyjaśnień, Zamawiający może udzielić wyjaśnień albo pozostawić wniosek bez rozpoznania. Zapytanie należy kierować na adres: </w:t>
      </w:r>
      <w:bookmarkStart w:id="0" w:name="_Hlk532918621"/>
      <w:r w:rsidR="002E692F"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bookmarkEnd w:id="0"/>
      <w:r w:rsidR="002E692F"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r w:rsidRPr="00605792">
        <w:rPr>
          <w:rFonts w:cs="Calibri"/>
          <w:sz w:val="24"/>
          <w:szCs w:val="24"/>
        </w:rPr>
        <w:t>lub</w:t>
      </w:r>
      <w:r w:rsidR="002E692F"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bookmarkStart w:id="1" w:name="_Hlk532918592"/>
      <w:r w:rsidR="00BE3AEF">
        <w:rPr>
          <w:rFonts w:cs="Calibri"/>
          <w:color w:val="0000FF"/>
          <w:sz w:val="24"/>
          <w:szCs w:val="24"/>
          <w:lang w:eastAsia="pl-PL"/>
        </w:rPr>
        <w:fldChar w:fldCharType="begin"/>
      </w:r>
      <w:r w:rsidR="00BE3AEF">
        <w:rPr>
          <w:rFonts w:cs="Calibri"/>
          <w:color w:val="0000FF"/>
          <w:sz w:val="24"/>
          <w:szCs w:val="24"/>
          <w:lang w:eastAsia="pl-PL"/>
        </w:rPr>
        <w:instrText xml:space="preserve"> HYPERLINK "mailto:</w:instrText>
      </w:r>
      <w:r w:rsidR="00BE3AEF" w:rsidRPr="00605792">
        <w:rPr>
          <w:rFonts w:cs="Calibri"/>
          <w:color w:val="0000FF"/>
          <w:sz w:val="24"/>
          <w:szCs w:val="24"/>
          <w:lang w:eastAsia="pl-PL"/>
        </w:rPr>
        <w:instrText>tlata@pfron.org.pl</w:instrText>
      </w:r>
      <w:r w:rsidR="00BE3AEF">
        <w:rPr>
          <w:rFonts w:cs="Calibri"/>
          <w:color w:val="0000FF"/>
          <w:sz w:val="24"/>
          <w:szCs w:val="24"/>
          <w:lang w:eastAsia="pl-PL"/>
        </w:rPr>
        <w:instrText xml:space="preserve">" </w:instrText>
      </w:r>
      <w:r w:rsidR="00BE3AEF">
        <w:rPr>
          <w:rFonts w:cs="Calibri"/>
          <w:color w:val="0000FF"/>
          <w:sz w:val="24"/>
          <w:szCs w:val="24"/>
          <w:lang w:eastAsia="pl-PL"/>
        </w:rPr>
        <w:fldChar w:fldCharType="separate"/>
      </w:r>
      <w:r w:rsidR="00BE3AEF" w:rsidRPr="00016A70">
        <w:rPr>
          <w:rStyle w:val="Hipercze"/>
          <w:rFonts w:cs="Calibri"/>
          <w:sz w:val="24"/>
          <w:szCs w:val="24"/>
          <w:lang w:eastAsia="pl-PL"/>
        </w:rPr>
        <w:t>tlata@pfron.org.pl</w:t>
      </w:r>
      <w:bookmarkEnd w:id="1"/>
      <w:r w:rsidR="00BE3AEF">
        <w:rPr>
          <w:rFonts w:cs="Calibri"/>
          <w:color w:val="0000FF"/>
          <w:sz w:val="24"/>
          <w:szCs w:val="24"/>
          <w:lang w:eastAsia="pl-PL"/>
        </w:rPr>
        <w:fldChar w:fldCharType="end"/>
      </w:r>
      <w:r w:rsidR="00BE3AEF">
        <w:rPr>
          <w:rFonts w:cs="Calibri"/>
          <w:color w:val="0000FF"/>
          <w:sz w:val="24"/>
          <w:szCs w:val="24"/>
          <w:lang w:eastAsia="pl-PL"/>
        </w:rPr>
        <w:t xml:space="preserve"> lub </w:t>
      </w:r>
      <w:hyperlink r:id="rId8" w:history="1">
        <w:r w:rsidR="00BE3AEF" w:rsidRPr="00016A70">
          <w:rPr>
            <w:rStyle w:val="Hipercze"/>
            <w:rFonts w:cs="Calibri"/>
            <w:sz w:val="24"/>
            <w:szCs w:val="24"/>
            <w:lang w:eastAsia="pl-PL"/>
          </w:rPr>
          <w:t>miwanek@pfron.org.pl</w:t>
        </w:r>
      </w:hyperlink>
      <w:r w:rsidR="00BE3AEF">
        <w:rPr>
          <w:rFonts w:cs="Calibri"/>
          <w:color w:val="0000FF"/>
          <w:sz w:val="24"/>
          <w:szCs w:val="24"/>
          <w:lang w:eastAsia="pl-PL"/>
        </w:rPr>
        <w:t xml:space="preserve"> </w:t>
      </w:r>
    </w:p>
    <w:p w:rsidR="00DC5DAD" w:rsidRDefault="002E692F" w:rsidP="000A0B28">
      <w:pPr>
        <w:numPr>
          <w:ilvl w:val="0"/>
          <w:numId w:val="43"/>
        </w:numPr>
        <w:suppressAutoHyphens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Umowy.</w:t>
      </w:r>
    </w:p>
    <w:p w:rsidR="002E692F" w:rsidRPr="002E692F" w:rsidRDefault="009C7883" w:rsidP="00DD7283">
      <w:pPr>
        <w:suppressAutoHyphens/>
        <w:spacing w:line="360" w:lineRule="auto"/>
        <w:ind w:left="714" w:hanging="357"/>
        <w:rPr>
          <w:sz w:val="24"/>
          <w:szCs w:val="24"/>
        </w:rPr>
      </w:pPr>
      <w:r w:rsidRPr="009C7883">
        <w:rPr>
          <w:sz w:val="24"/>
          <w:szCs w:val="24"/>
        </w:rPr>
        <w:t>24 miesiące od dnia przekazania gotowej powierzchni.</w:t>
      </w:r>
    </w:p>
    <w:p w:rsidR="002E692F" w:rsidRPr="002E692F" w:rsidRDefault="002E692F" w:rsidP="000A0B28">
      <w:pPr>
        <w:numPr>
          <w:ilvl w:val="0"/>
          <w:numId w:val="43"/>
        </w:numPr>
        <w:suppressAutoHyphens/>
        <w:spacing w:line="360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 xml:space="preserve">Miejsce i termin składania odpowiedzi na zapytanie </w:t>
      </w:r>
      <w:r w:rsidR="002F12B5">
        <w:rPr>
          <w:b/>
          <w:sz w:val="24"/>
          <w:szCs w:val="24"/>
        </w:rPr>
        <w:t>ofertowe</w:t>
      </w:r>
      <w:r w:rsidRPr="002E692F">
        <w:rPr>
          <w:b/>
          <w:sz w:val="24"/>
          <w:szCs w:val="24"/>
        </w:rPr>
        <w:t>.</w:t>
      </w:r>
    </w:p>
    <w:p w:rsidR="00DC5DAD" w:rsidRPr="00605792" w:rsidRDefault="002E692F" w:rsidP="00DD7283">
      <w:pPr>
        <w:suppressAutoHyphens/>
        <w:spacing w:line="360" w:lineRule="auto"/>
        <w:ind w:left="357" w:firstLine="0"/>
        <w:rPr>
          <w:rFonts w:cs="Calibri"/>
          <w:sz w:val="24"/>
          <w:szCs w:val="24"/>
        </w:rPr>
      </w:pPr>
      <w:r w:rsidRPr="002E692F">
        <w:rPr>
          <w:sz w:val="24"/>
          <w:szCs w:val="24"/>
        </w:rPr>
        <w:t xml:space="preserve">Odpowiedzi na zapytanie ofertowe należy dostarczyć pocztą elektroniczną na adres email: </w:t>
      </w:r>
      <w:r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r w:rsidRPr="00605792">
        <w:rPr>
          <w:rFonts w:cs="Calibri"/>
          <w:sz w:val="24"/>
          <w:szCs w:val="24"/>
        </w:rPr>
        <w:t xml:space="preserve"> </w:t>
      </w:r>
      <w:r w:rsidR="003A35DD">
        <w:rPr>
          <w:rFonts w:cs="Calibri"/>
          <w:sz w:val="24"/>
          <w:szCs w:val="24"/>
        </w:rPr>
        <w:t>oraz</w:t>
      </w:r>
      <w:r w:rsidRPr="00605792">
        <w:rPr>
          <w:rFonts w:cs="Calibri"/>
          <w:sz w:val="24"/>
          <w:szCs w:val="24"/>
        </w:rPr>
        <w:t xml:space="preserve"> </w:t>
      </w:r>
      <w:r w:rsidRPr="00605792">
        <w:rPr>
          <w:rFonts w:cs="Calibri"/>
          <w:color w:val="0000FF"/>
          <w:sz w:val="24"/>
          <w:szCs w:val="24"/>
          <w:lang w:eastAsia="pl-PL"/>
        </w:rPr>
        <w:t>tlata@pfron.org.pl</w:t>
      </w:r>
      <w:r w:rsidRPr="00605792">
        <w:rPr>
          <w:rFonts w:cs="Calibri"/>
          <w:sz w:val="24"/>
          <w:szCs w:val="24"/>
        </w:rPr>
        <w:t xml:space="preserve"> do dnia </w:t>
      </w:r>
      <w:r w:rsidR="0074110B">
        <w:rPr>
          <w:rFonts w:cs="Calibri"/>
          <w:sz w:val="24"/>
          <w:szCs w:val="24"/>
        </w:rPr>
        <w:t>06</w:t>
      </w:r>
      <w:r w:rsidRPr="00605792">
        <w:rPr>
          <w:rFonts w:cs="Calibri"/>
          <w:sz w:val="24"/>
          <w:szCs w:val="24"/>
        </w:rPr>
        <w:t>.</w:t>
      </w:r>
      <w:r w:rsidR="0093760F" w:rsidRPr="00605792">
        <w:rPr>
          <w:rFonts w:cs="Calibri"/>
          <w:sz w:val="24"/>
          <w:szCs w:val="24"/>
        </w:rPr>
        <w:t>0</w:t>
      </w:r>
      <w:r w:rsidR="0074110B">
        <w:rPr>
          <w:rFonts w:cs="Calibri"/>
          <w:sz w:val="24"/>
          <w:szCs w:val="24"/>
        </w:rPr>
        <w:t>3</w:t>
      </w:r>
      <w:r w:rsidRPr="00605792">
        <w:rPr>
          <w:rFonts w:cs="Calibri"/>
          <w:sz w:val="24"/>
          <w:szCs w:val="24"/>
        </w:rPr>
        <w:t>.2019 r.</w:t>
      </w:r>
    </w:p>
    <w:p w:rsidR="002E692F" w:rsidRDefault="002E692F" w:rsidP="000A0B28">
      <w:pPr>
        <w:numPr>
          <w:ilvl w:val="0"/>
          <w:numId w:val="43"/>
        </w:numPr>
        <w:suppressAutoHyphens/>
        <w:spacing w:line="360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Kryteria wyboru oferty</w:t>
      </w:r>
      <w:r>
        <w:rPr>
          <w:b/>
          <w:sz w:val="24"/>
          <w:szCs w:val="24"/>
        </w:rPr>
        <w:t>.</w:t>
      </w:r>
    </w:p>
    <w:p w:rsidR="002E692F" w:rsidRPr="002E692F" w:rsidRDefault="002E692F" w:rsidP="00DD7283">
      <w:pPr>
        <w:numPr>
          <w:ilvl w:val="1"/>
          <w:numId w:val="43"/>
        </w:numPr>
        <w:suppressAutoHyphens/>
        <w:spacing w:line="360" w:lineRule="auto"/>
        <w:ind w:left="1139" w:hanging="714"/>
        <w:rPr>
          <w:sz w:val="24"/>
          <w:szCs w:val="24"/>
        </w:rPr>
      </w:pPr>
      <w:r w:rsidRPr="002E692F">
        <w:rPr>
          <w:sz w:val="24"/>
          <w:szCs w:val="24"/>
        </w:rPr>
        <w:t xml:space="preserve">kryterium wyboru przedmiotowego zamówienia jest </w:t>
      </w:r>
      <w:r>
        <w:rPr>
          <w:sz w:val="24"/>
          <w:szCs w:val="24"/>
        </w:rPr>
        <w:t xml:space="preserve">miesięczna </w:t>
      </w:r>
      <w:r w:rsidRPr="002E692F">
        <w:rPr>
          <w:sz w:val="24"/>
          <w:szCs w:val="24"/>
        </w:rPr>
        <w:t xml:space="preserve">cena brutto </w:t>
      </w:r>
      <w:r w:rsidR="00DD7283">
        <w:rPr>
          <w:sz w:val="24"/>
          <w:szCs w:val="24"/>
        </w:rPr>
        <w:t xml:space="preserve">    </w:t>
      </w:r>
      <w:r w:rsidRPr="002E692F">
        <w:rPr>
          <w:sz w:val="24"/>
          <w:szCs w:val="24"/>
        </w:rPr>
        <w:t>oferowanej usługi.</w:t>
      </w:r>
    </w:p>
    <w:p w:rsidR="002E692F" w:rsidRDefault="002E692F" w:rsidP="00DD7283">
      <w:pPr>
        <w:numPr>
          <w:ilvl w:val="1"/>
          <w:numId w:val="43"/>
        </w:numPr>
        <w:suppressAutoHyphens/>
        <w:spacing w:line="360" w:lineRule="auto"/>
        <w:ind w:left="1139" w:hanging="714"/>
        <w:rPr>
          <w:sz w:val="24"/>
          <w:szCs w:val="24"/>
        </w:rPr>
      </w:pPr>
      <w:r w:rsidRPr="002E692F">
        <w:rPr>
          <w:sz w:val="24"/>
          <w:szCs w:val="24"/>
        </w:rPr>
        <w:t>w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:rsidR="00C41D34" w:rsidRPr="00C41D34" w:rsidRDefault="00C41D34" w:rsidP="00DD7283">
      <w:pPr>
        <w:numPr>
          <w:ilvl w:val="0"/>
          <w:numId w:val="43"/>
        </w:numPr>
        <w:suppressAutoHyphens/>
        <w:spacing w:line="360" w:lineRule="auto"/>
        <w:ind w:left="357" w:hanging="357"/>
        <w:rPr>
          <w:b/>
          <w:sz w:val="24"/>
          <w:szCs w:val="24"/>
        </w:rPr>
      </w:pPr>
      <w:r w:rsidRPr="00C41D34">
        <w:rPr>
          <w:rFonts w:cs="Calibri"/>
          <w:b/>
        </w:rPr>
        <w:t>Waluta, w jakiej będą prowadzone rozliczenia związane z realizacją niniejszego zamówienia.</w:t>
      </w:r>
    </w:p>
    <w:p w:rsidR="00C41D34" w:rsidRDefault="00DD7283" w:rsidP="00DD7283">
      <w:pPr>
        <w:suppressAutoHyphens/>
        <w:spacing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41D34" w:rsidRPr="00C41D34">
        <w:rPr>
          <w:sz w:val="24"/>
          <w:szCs w:val="24"/>
        </w:rPr>
        <w:t xml:space="preserve">Wykonawca określi cenę dla przedmiotu zamówienia, podając ją w </w:t>
      </w:r>
      <w:r w:rsidR="0093760F">
        <w:rPr>
          <w:sz w:val="24"/>
          <w:szCs w:val="24"/>
        </w:rPr>
        <w:t xml:space="preserve">miesięcznej </w:t>
      </w:r>
      <w:r w:rsidR="00C41D34" w:rsidRPr="00C41D34">
        <w:rPr>
          <w:sz w:val="24"/>
          <w:szCs w:val="24"/>
        </w:rPr>
        <w:t>kwocie brutto (z podatkiem VAT) oraz netto (bez podatku VAT). Walutą ceny oferowanej jest złoty polski.</w:t>
      </w:r>
    </w:p>
    <w:p w:rsidR="002E692F" w:rsidRPr="002E692F" w:rsidRDefault="002E692F" w:rsidP="000A0B28">
      <w:pPr>
        <w:numPr>
          <w:ilvl w:val="0"/>
          <w:numId w:val="43"/>
        </w:numPr>
        <w:suppressAutoHyphens/>
        <w:spacing w:line="360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Sposób oceny ofert</w:t>
      </w:r>
      <w:r>
        <w:rPr>
          <w:b/>
          <w:sz w:val="24"/>
          <w:szCs w:val="24"/>
        </w:rPr>
        <w:t>.</w:t>
      </w:r>
      <w:r w:rsidRPr="002E692F">
        <w:rPr>
          <w:b/>
          <w:sz w:val="24"/>
          <w:szCs w:val="24"/>
        </w:rPr>
        <w:t xml:space="preserve"> </w:t>
      </w:r>
    </w:p>
    <w:p w:rsidR="002E692F" w:rsidRPr="00C41D34" w:rsidRDefault="002E692F" w:rsidP="00DD7283">
      <w:pPr>
        <w:numPr>
          <w:ilvl w:val="1"/>
          <w:numId w:val="43"/>
        </w:numPr>
        <w:suppressAutoHyphens/>
        <w:spacing w:line="360" w:lineRule="auto"/>
        <w:ind w:left="1139" w:hanging="714"/>
        <w:rPr>
          <w:sz w:val="24"/>
          <w:szCs w:val="24"/>
        </w:rPr>
      </w:pPr>
      <w:r w:rsidRPr="00C41D34">
        <w:rPr>
          <w:sz w:val="24"/>
          <w:szCs w:val="24"/>
        </w:rPr>
        <w:t>oferta powinna składać się z wypełnionego i podpisanego Formularza ofertowego.</w:t>
      </w:r>
    </w:p>
    <w:p w:rsidR="002E692F" w:rsidRPr="00C41D34" w:rsidRDefault="002E692F" w:rsidP="00DD7283">
      <w:pPr>
        <w:numPr>
          <w:ilvl w:val="1"/>
          <w:numId w:val="43"/>
        </w:numPr>
        <w:suppressAutoHyphens/>
        <w:spacing w:line="360" w:lineRule="auto"/>
        <w:ind w:left="1139" w:hanging="714"/>
        <w:rPr>
          <w:sz w:val="24"/>
          <w:szCs w:val="24"/>
        </w:rPr>
      </w:pPr>
      <w:r w:rsidRPr="00C41D34">
        <w:rPr>
          <w:sz w:val="24"/>
          <w:szCs w:val="24"/>
        </w:rPr>
        <w:t>oferta niepełna zostanie odrzucona.</w:t>
      </w:r>
    </w:p>
    <w:p w:rsidR="002E692F" w:rsidRPr="00C41D34" w:rsidRDefault="002E692F" w:rsidP="00DD7283">
      <w:pPr>
        <w:numPr>
          <w:ilvl w:val="1"/>
          <w:numId w:val="43"/>
        </w:numPr>
        <w:suppressAutoHyphens/>
        <w:spacing w:line="360" w:lineRule="auto"/>
        <w:ind w:left="1139" w:hanging="714"/>
        <w:rPr>
          <w:sz w:val="24"/>
          <w:szCs w:val="24"/>
        </w:rPr>
      </w:pPr>
      <w:r w:rsidRPr="00C41D34">
        <w:rPr>
          <w:sz w:val="24"/>
          <w:szCs w:val="24"/>
        </w:rPr>
        <w:t>Zamawiający oceni i porówna te oferty, które nie zostaną odrzucone.</w:t>
      </w:r>
    </w:p>
    <w:p w:rsidR="002E692F" w:rsidRPr="00C41D34" w:rsidRDefault="002E692F" w:rsidP="00DD7283">
      <w:pPr>
        <w:numPr>
          <w:ilvl w:val="1"/>
          <w:numId w:val="43"/>
        </w:numPr>
        <w:suppressAutoHyphens/>
        <w:spacing w:line="360" w:lineRule="auto"/>
        <w:ind w:left="1139" w:hanging="714"/>
        <w:rPr>
          <w:sz w:val="24"/>
          <w:szCs w:val="24"/>
        </w:rPr>
      </w:pPr>
      <w:r w:rsidRPr="00C41D34">
        <w:rPr>
          <w:sz w:val="24"/>
          <w:szCs w:val="24"/>
        </w:rPr>
        <w:t>oferta spełniająca wszystkie wymagania Zamawiającego zostanie oceniona na</w:t>
      </w:r>
      <w:r w:rsidR="0093760F">
        <w:rPr>
          <w:sz w:val="24"/>
          <w:szCs w:val="24"/>
        </w:rPr>
        <w:t> </w:t>
      </w:r>
      <w:r w:rsidRPr="00C41D34">
        <w:rPr>
          <w:sz w:val="24"/>
          <w:szCs w:val="24"/>
        </w:rPr>
        <w:t xml:space="preserve">podstawie wypełnionego i podpisanego przez Wykonawcę Formularza, stanowiącego </w:t>
      </w:r>
      <w:r w:rsidRPr="0093760F">
        <w:rPr>
          <w:b/>
          <w:sz w:val="24"/>
          <w:szCs w:val="24"/>
        </w:rPr>
        <w:t xml:space="preserve">Załącznik nr </w:t>
      </w:r>
      <w:r w:rsidR="00C41D34" w:rsidRPr="0093760F">
        <w:rPr>
          <w:b/>
          <w:sz w:val="24"/>
          <w:szCs w:val="24"/>
        </w:rPr>
        <w:t>1</w:t>
      </w:r>
      <w:r w:rsidRPr="00C41D34">
        <w:rPr>
          <w:sz w:val="24"/>
          <w:szCs w:val="24"/>
        </w:rPr>
        <w:t>.</w:t>
      </w:r>
    </w:p>
    <w:p w:rsidR="002E692F" w:rsidRPr="00C41D34" w:rsidRDefault="00C41D34" w:rsidP="000A0B28">
      <w:pPr>
        <w:numPr>
          <w:ilvl w:val="0"/>
          <w:numId w:val="43"/>
        </w:numPr>
        <w:suppressAutoHyphens/>
        <w:spacing w:line="360" w:lineRule="auto"/>
        <w:ind w:left="426" w:hanging="426"/>
        <w:rPr>
          <w:b/>
          <w:sz w:val="28"/>
          <w:szCs w:val="24"/>
        </w:rPr>
      </w:pPr>
      <w:r w:rsidRPr="00C41D34">
        <w:rPr>
          <w:rFonts w:cs="Calibri"/>
          <w:b/>
          <w:bCs/>
          <w:color w:val="000000"/>
          <w:sz w:val="24"/>
        </w:rPr>
        <w:t>Termin związania złożoną ofertą.</w:t>
      </w:r>
    </w:p>
    <w:p w:rsidR="00C41D34" w:rsidRPr="00C41D34" w:rsidRDefault="00C41D34" w:rsidP="00DD7283">
      <w:pPr>
        <w:suppressAutoHyphens/>
        <w:spacing w:line="360" w:lineRule="auto"/>
        <w:ind w:left="425" w:firstLine="0"/>
        <w:rPr>
          <w:sz w:val="24"/>
          <w:szCs w:val="24"/>
        </w:rPr>
      </w:pPr>
      <w:r w:rsidRPr="00C41D34">
        <w:rPr>
          <w:sz w:val="24"/>
          <w:szCs w:val="24"/>
        </w:rPr>
        <w:t>Termin związania ofertą wynosi 30 dni. Bieg terminu związania ofertą rozpoczyna się wraz z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>upływem terminu składania ofert.</w:t>
      </w:r>
    </w:p>
    <w:p w:rsidR="00C41D34" w:rsidRPr="00C41D34" w:rsidRDefault="00C41D34" w:rsidP="000A0B28">
      <w:pPr>
        <w:numPr>
          <w:ilvl w:val="0"/>
          <w:numId w:val="43"/>
        </w:numPr>
        <w:suppressAutoHyphens/>
        <w:spacing w:line="360" w:lineRule="auto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 xml:space="preserve">Informacje dodatkowe: </w:t>
      </w:r>
    </w:p>
    <w:p w:rsidR="00C41D34" w:rsidRPr="00C41D34" w:rsidRDefault="00C41D34" w:rsidP="00DD7283">
      <w:pPr>
        <w:numPr>
          <w:ilvl w:val="1"/>
          <w:numId w:val="43"/>
        </w:numPr>
        <w:suppressAutoHyphens/>
        <w:spacing w:line="360" w:lineRule="auto"/>
        <w:ind w:left="1134" w:hanging="709"/>
        <w:rPr>
          <w:sz w:val="24"/>
          <w:szCs w:val="24"/>
        </w:rPr>
      </w:pPr>
      <w:r w:rsidRPr="00C41D34">
        <w:rPr>
          <w:sz w:val="24"/>
          <w:szCs w:val="24"/>
        </w:rPr>
        <w:t>Zamawiający zastrzega sobie możliwość unieważnienia postępowania bez podania przyczyny</w:t>
      </w:r>
      <w:r>
        <w:rPr>
          <w:sz w:val="24"/>
          <w:szCs w:val="24"/>
        </w:rPr>
        <w:t>,</w:t>
      </w:r>
    </w:p>
    <w:p w:rsidR="00C41D34" w:rsidRPr="00C41D34" w:rsidRDefault="006B3905" w:rsidP="00DD7283">
      <w:pPr>
        <w:numPr>
          <w:ilvl w:val="1"/>
          <w:numId w:val="43"/>
        </w:numPr>
        <w:suppressAutoHyphens/>
        <w:spacing w:line="360" w:lineRule="auto"/>
        <w:ind w:left="1134" w:hanging="709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C41D34" w:rsidRPr="00C41D34">
        <w:rPr>
          <w:sz w:val="24"/>
          <w:szCs w:val="24"/>
        </w:rPr>
        <w:t>przypadku unieważnienia postępowania, Zamawiający nie ponosi kosztów postępowania</w:t>
      </w:r>
      <w:r w:rsidR="00C41D34">
        <w:rPr>
          <w:sz w:val="24"/>
          <w:szCs w:val="24"/>
        </w:rPr>
        <w:t>,</w:t>
      </w:r>
    </w:p>
    <w:p w:rsidR="00C41D34" w:rsidRPr="00C41D34" w:rsidRDefault="00C41D34" w:rsidP="00DD7283">
      <w:pPr>
        <w:numPr>
          <w:ilvl w:val="1"/>
          <w:numId w:val="43"/>
        </w:numPr>
        <w:suppressAutoHyphens/>
        <w:spacing w:line="360" w:lineRule="auto"/>
        <w:ind w:left="1134" w:hanging="709"/>
        <w:rPr>
          <w:sz w:val="24"/>
          <w:szCs w:val="24"/>
        </w:rPr>
      </w:pPr>
      <w:r w:rsidRPr="00C41D34">
        <w:rPr>
          <w:sz w:val="24"/>
          <w:szCs w:val="24"/>
        </w:rPr>
        <w:t>Zapytanie ofertowe nie stanowi podstaw do roszczeń dotyczących zawarcia umowy/realizacji zamówienia</w:t>
      </w:r>
      <w:r w:rsidR="00DD7283">
        <w:rPr>
          <w:sz w:val="24"/>
          <w:szCs w:val="24"/>
        </w:rPr>
        <w:t>.</w:t>
      </w:r>
      <w:bookmarkStart w:id="2" w:name="_GoBack"/>
      <w:bookmarkEnd w:id="2"/>
    </w:p>
    <w:p w:rsidR="00C41D34" w:rsidRDefault="00C41D34" w:rsidP="000A0B28">
      <w:pPr>
        <w:suppressAutoHyphens/>
        <w:spacing w:line="360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6E6ECC" w:rsidRDefault="006E6ECC">
      <w:pPr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41D34" w:rsidRPr="00C41D34" w:rsidRDefault="00C41D34" w:rsidP="009F0584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>Klauzula informacyjna z art. 13 RODO związana z zamówieniami publicznymi</w:t>
      </w:r>
    </w:p>
    <w:p w:rsidR="00C41D34" w:rsidRPr="00C41D34" w:rsidRDefault="00C41D34" w:rsidP="009F0584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>o wartości poniżej 30.000 euro netto.</w:t>
      </w:r>
    </w:p>
    <w:p w:rsidR="00C41D34" w:rsidRP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1.</w:t>
      </w:r>
      <w:r w:rsidRPr="009F0584">
        <w:rPr>
          <w:sz w:val="24"/>
          <w:szCs w:val="24"/>
        </w:rPr>
        <w:tab/>
        <w:t>W związku z prowadzoną procedurą udzielenia zamówienia publicznego na pełnienie funkcji Inspektora Nadzoru podczas prac modernizacyjnych pomieszczeń i instalacji w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budynkach Biura Funduszu w Warszawie, Zamawiający informuje Wykonawcę, że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zgodnie z art. 13 ust. 1 i ust. 2 rozporządzenia Parlamentu Europejskiego i Rady (UE) 2016/679 z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dnia 27 kwietnia 2016 r. w sprawie ochrony osób fizycznych w związku z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 xml:space="preserve">04.05.2016, str. 1), dalej „RODO”: 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2.</w:t>
      </w:r>
      <w:r w:rsidRPr="009F0584">
        <w:rPr>
          <w:sz w:val="24"/>
          <w:szCs w:val="24"/>
        </w:rPr>
        <w:tab/>
        <w:t>Administratorem Pani/Pana danych osobowych jest Państwowy Fundusz Rehabilitacji Osób Niepełnosprawnych, z siedzibą w Warszawie (00-828), al. Jana Pawła II 13;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3.</w:t>
      </w:r>
      <w:r w:rsidRPr="009F0584">
        <w:rPr>
          <w:sz w:val="24"/>
          <w:szCs w:val="24"/>
        </w:rPr>
        <w:tab/>
        <w:t>Inspektorem ochrony danych osobowych w Państwowym Funduszu Rehabilitacji Osób Niepełnosprawnych jest Pani Izabela Maciejewska, adres e-mail: iod@pfron.org.pl;</w:t>
      </w:r>
    </w:p>
    <w:p w:rsidR="00C41D34" w:rsidRPr="00314A79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4.</w:t>
      </w:r>
      <w:r w:rsidRPr="009F0584">
        <w:rPr>
          <w:sz w:val="24"/>
          <w:szCs w:val="24"/>
        </w:rPr>
        <w:tab/>
        <w:t xml:space="preserve">Pani/Pana dane osobowe przetwarzane będą na podstawie art. 6 ust. 1 lit. c RODO w celu </w:t>
      </w:r>
      <w:r w:rsidRPr="00314A79">
        <w:rPr>
          <w:sz w:val="24"/>
          <w:szCs w:val="24"/>
        </w:rPr>
        <w:t>związanym z  procedurą udzielenia zamówienia na</w:t>
      </w:r>
      <w:r w:rsidR="00314A79" w:rsidRPr="00314A79">
        <w:rPr>
          <w:sz w:val="24"/>
          <w:szCs w:val="24"/>
        </w:rPr>
        <w:t xml:space="preserve"> najem </w:t>
      </w:r>
      <w:r w:rsidR="00314A79" w:rsidRPr="00314A79">
        <w:rPr>
          <w:rFonts w:cs="Calibri"/>
          <w:sz w:val="24"/>
          <w:szCs w:val="24"/>
        </w:rPr>
        <w:t>powierzchni przystosowanej dla potrzeb serwerowni teleinformatycznej PFRON</w:t>
      </w:r>
      <w:r w:rsidR="00314A79">
        <w:rPr>
          <w:rFonts w:cs="Calibri"/>
          <w:sz w:val="24"/>
          <w:szCs w:val="24"/>
        </w:rPr>
        <w:t>.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5.</w:t>
      </w:r>
      <w:r w:rsidRPr="009F0584">
        <w:rPr>
          <w:sz w:val="24"/>
          <w:szCs w:val="24"/>
        </w:rPr>
        <w:tab/>
        <w:t>Odbiorcami Pani/Pana danych osobowych będą pracownicy PFRON z siedzibą w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Warszawie 00-828, przy al. Jana Pawła II 13, którzy odpowiadają za prowadzenie</w:t>
      </w:r>
      <w:r w:rsidR="00414159">
        <w:rPr>
          <w:sz w:val="24"/>
          <w:szCs w:val="24"/>
        </w:rPr>
        <w:t xml:space="preserve"> </w:t>
      </w:r>
      <w:r w:rsidRPr="009F0584">
        <w:rPr>
          <w:sz w:val="24"/>
          <w:szCs w:val="24"/>
        </w:rPr>
        <w:t>przedmiotowej procedury.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6.</w:t>
      </w:r>
      <w:r w:rsidRPr="009F0584">
        <w:rPr>
          <w:sz w:val="24"/>
          <w:szCs w:val="24"/>
        </w:rPr>
        <w:tab/>
        <w:t>Pani/Pana dane osobowe będą przechowywane przez okres: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do 6 miesięcy w przypadku zapytania </w:t>
      </w:r>
      <w:r w:rsidR="00BE3AEF">
        <w:rPr>
          <w:sz w:val="24"/>
          <w:szCs w:val="24"/>
        </w:rPr>
        <w:t>ofertowego</w:t>
      </w:r>
      <w:r w:rsidRPr="009F0584">
        <w:rPr>
          <w:sz w:val="24"/>
          <w:szCs w:val="24"/>
        </w:rPr>
        <w:t>,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do 2 lat – w przypadku zamówienia publicznego,  a jeżeli do jego realizacji została zawarta umowa, której czas trwania umowy 2 lata, okres przechowywania obejmuje cały czas trwania umowy;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7.</w:t>
      </w:r>
      <w:r w:rsidRPr="009F0584">
        <w:rPr>
          <w:sz w:val="24"/>
          <w:szCs w:val="24"/>
        </w:rPr>
        <w:tab/>
        <w:t>W odniesieniu do Pani/Pana danych osobowych decyzje nie będą podejmowane w sposób zautomatyzowany, stosowanie do art. 22 RODO;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8.</w:t>
      </w:r>
      <w:r w:rsidRPr="009F0584">
        <w:rPr>
          <w:sz w:val="24"/>
          <w:szCs w:val="24"/>
        </w:rPr>
        <w:tab/>
        <w:t>Posiada Pani/Pan: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15 RODO prawo dostępu do danych osobowych Pani/Pana dotyczących;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16 RODO prawo do sprostowania Pani/Pana danych osobowych (skorzystanie z prawa do sprostowania nie może skutkować zmianą wyniku postępowania);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18 RODO prawo żądania od administratora ograniczenia przetwarzania danych osobowych z zastrzeżeniem przypadków, o których mowa w art. 18 ust. 2 RODO (prawo do ograniczenia przetwarzania nie ma zastosowania w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odniesieniu do przechowywania, w celu zapewnienia korzystania ze środków ochrony prawnej lub w celu ochrony praw innej osoby fizycznej lub prawnej, lub z uwagi na</w:t>
      </w:r>
      <w:r w:rsidR="0093760F">
        <w:rPr>
          <w:sz w:val="24"/>
          <w:szCs w:val="24"/>
        </w:rPr>
        <w:t> </w:t>
      </w:r>
      <w:r w:rsidRPr="009F0584">
        <w:rPr>
          <w:sz w:val="24"/>
          <w:szCs w:val="24"/>
        </w:rPr>
        <w:t>ważne względy interesu publicznego Unii Europejskiej lub państwa członkowskiego);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9.</w:t>
      </w:r>
      <w:r w:rsidRPr="009F0584">
        <w:rPr>
          <w:sz w:val="24"/>
          <w:szCs w:val="24"/>
        </w:rPr>
        <w:tab/>
        <w:t>Nie przysługuje Pani/Panu: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w związku z art. 17 ust. 3 lit. b, d lub e RODO prawo do usunięcia danych osobowych;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przenoszenia danych osobowych, o którym mowa w art. 20 RODO;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21 RODO prawo sprzeciwu, wobec przetwarzania danych osobowych, gdyż podstawą prawną przetwarzania Pani/Pana danych osobowych jest art. 6 ust. 1 lit.</w:t>
      </w:r>
      <w:r w:rsidR="00430D37">
        <w:rPr>
          <w:sz w:val="24"/>
          <w:szCs w:val="24"/>
        </w:rPr>
        <w:t> </w:t>
      </w:r>
      <w:r w:rsidRPr="009F0584">
        <w:rPr>
          <w:sz w:val="24"/>
          <w:szCs w:val="24"/>
        </w:rPr>
        <w:t>c RODO.</w:t>
      </w:r>
    </w:p>
    <w:sectPr w:rsidR="00C41D34" w:rsidRPr="009F0584" w:rsidSect="00743D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559" w:footer="24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9B" w:rsidRDefault="001C759B">
      <w:r>
        <w:separator/>
      </w:r>
    </w:p>
  </w:endnote>
  <w:endnote w:type="continuationSeparator" w:id="0">
    <w:p w:rsidR="001C759B" w:rsidRDefault="001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921061"/>
      <w:docPartObj>
        <w:docPartGallery w:val="Page Numbers (Bottom of Page)"/>
        <w:docPartUnique/>
      </w:docPartObj>
    </w:sdtPr>
    <w:sdtContent>
      <w:p w:rsidR="00743DD9" w:rsidRDefault="00743DD9" w:rsidP="00743D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3DD9" w:rsidRDefault="00743D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6898"/>
      <w:docPartObj>
        <w:docPartGallery w:val="Page Numbers (Bottom of Page)"/>
        <w:docPartUnique/>
      </w:docPartObj>
    </w:sdtPr>
    <w:sdtContent>
      <w:p w:rsidR="00743DD9" w:rsidRDefault="00743DD9" w:rsidP="00743D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581E" w:rsidRDefault="0079581E" w:rsidP="00743D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9B" w:rsidRDefault="001C759B">
      <w:r>
        <w:rPr>
          <w:color w:val="000000"/>
        </w:rPr>
        <w:separator/>
      </w:r>
    </w:p>
  </w:footnote>
  <w:footnote w:type="continuationSeparator" w:id="0">
    <w:p w:rsidR="001C759B" w:rsidRDefault="001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Pr="008F09E6" w:rsidRDefault="004F448B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81E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79581E" w:rsidRDefault="0079581E">
    <w:pPr>
      <w:pStyle w:val="Nagwek"/>
    </w:pPr>
  </w:p>
  <w:p w:rsidR="0079581E" w:rsidRDefault="0079581E">
    <w:pPr>
      <w:pStyle w:val="Nagwek"/>
    </w:pPr>
  </w:p>
  <w:p w:rsidR="0079581E" w:rsidRDefault="00795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131"/>
    <w:multiLevelType w:val="multilevel"/>
    <w:tmpl w:val="9014B6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E4D38"/>
    <w:multiLevelType w:val="hybridMultilevel"/>
    <w:tmpl w:val="31444A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4A3695"/>
    <w:multiLevelType w:val="multilevel"/>
    <w:tmpl w:val="6A54B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5" w15:restartNumberingAfterBreak="0">
    <w:nsid w:val="1033271F"/>
    <w:multiLevelType w:val="hybridMultilevel"/>
    <w:tmpl w:val="B2D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177F5"/>
    <w:multiLevelType w:val="multilevel"/>
    <w:tmpl w:val="0300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30" w:hanging="63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3065DE"/>
    <w:multiLevelType w:val="hybridMultilevel"/>
    <w:tmpl w:val="A0963028"/>
    <w:lvl w:ilvl="0" w:tplc="7E1EC54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7692AA9"/>
    <w:multiLevelType w:val="multilevel"/>
    <w:tmpl w:val="27692A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C17"/>
    <w:multiLevelType w:val="multilevel"/>
    <w:tmpl w:val="27E5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A1B1A"/>
    <w:multiLevelType w:val="hybridMultilevel"/>
    <w:tmpl w:val="4990736C"/>
    <w:lvl w:ilvl="0" w:tplc="8600276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97B93"/>
    <w:multiLevelType w:val="hybridMultilevel"/>
    <w:tmpl w:val="1B62E6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8C38B9"/>
    <w:multiLevelType w:val="hybridMultilevel"/>
    <w:tmpl w:val="9A3ED7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8E7AD8"/>
    <w:multiLevelType w:val="multilevel"/>
    <w:tmpl w:val="428E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06DB7"/>
    <w:multiLevelType w:val="multilevel"/>
    <w:tmpl w:val="88C2E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0923E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4418D"/>
    <w:multiLevelType w:val="singleLevel"/>
    <w:tmpl w:val="5914418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45915"/>
    <w:multiLevelType w:val="multilevel"/>
    <w:tmpl w:val="6E702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30" w15:restartNumberingAfterBreak="0">
    <w:nsid w:val="5F9179E2"/>
    <w:multiLevelType w:val="hybridMultilevel"/>
    <w:tmpl w:val="4C6C552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705C2F"/>
    <w:multiLevelType w:val="multilevel"/>
    <w:tmpl w:val="64705C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7378C"/>
    <w:multiLevelType w:val="hybridMultilevel"/>
    <w:tmpl w:val="E4E0FD4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5" w15:restartNumberingAfterBreak="0">
    <w:nsid w:val="6DC614D6"/>
    <w:multiLevelType w:val="hybridMultilevel"/>
    <w:tmpl w:val="38A2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B9163E"/>
    <w:multiLevelType w:val="hybridMultilevel"/>
    <w:tmpl w:val="DBEEDA38"/>
    <w:lvl w:ilvl="0" w:tplc="295C0818">
      <w:start w:val="5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1"/>
  </w:num>
  <w:num w:numId="4">
    <w:abstractNumId w:val="25"/>
  </w:num>
  <w:num w:numId="5">
    <w:abstractNumId w:val="2"/>
  </w:num>
  <w:num w:numId="6">
    <w:abstractNumId w:val="33"/>
  </w:num>
  <w:num w:numId="7">
    <w:abstractNumId w:val="15"/>
  </w:num>
  <w:num w:numId="8">
    <w:abstractNumId w:val="1"/>
  </w:num>
  <w:num w:numId="9">
    <w:abstractNumId w:val="13"/>
  </w:num>
  <w:num w:numId="10">
    <w:abstractNumId w:val="19"/>
  </w:num>
  <w:num w:numId="11">
    <w:abstractNumId w:val="38"/>
  </w:num>
  <w:num w:numId="12">
    <w:abstractNumId w:val="37"/>
  </w:num>
  <w:num w:numId="13">
    <w:abstractNumId w:val="26"/>
  </w:num>
  <w:num w:numId="14">
    <w:abstractNumId w:val="20"/>
  </w:num>
  <w:num w:numId="15">
    <w:abstractNumId w:val="24"/>
  </w:num>
  <w:num w:numId="16">
    <w:abstractNumId w:val="36"/>
  </w:num>
  <w:num w:numId="17">
    <w:abstractNumId w:val="39"/>
  </w:num>
  <w:num w:numId="18">
    <w:abstractNumId w:val="23"/>
  </w:num>
  <w:num w:numId="19">
    <w:abstractNumId w:val="18"/>
  </w:num>
  <w:num w:numId="20">
    <w:abstractNumId w:val="11"/>
  </w:num>
  <w:num w:numId="21">
    <w:abstractNumId w:val="10"/>
  </w:num>
  <w:num w:numId="22">
    <w:abstractNumId w:val="27"/>
  </w:num>
  <w:num w:numId="23">
    <w:abstractNumId w:val="32"/>
  </w:num>
  <w:num w:numId="24">
    <w:abstractNumId w:val="8"/>
  </w:num>
  <w:num w:numId="25">
    <w:abstractNumId w:val="35"/>
  </w:num>
  <w:num w:numId="26">
    <w:abstractNumId w:val="35"/>
  </w:num>
  <w:num w:numId="27">
    <w:abstractNumId w:val="16"/>
  </w:num>
  <w:num w:numId="28">
    <w:abstractNumId w:val="16"/>
  </w:num>
  <w:num w:numId="29">
    <w:abstractNumId w:val="5"/>
  </w:num>
  <w:num w:numId="30">
    <w:abstractNumId w:val="7"/>
  </w:num>
  <w:num w:numId="31">
    <w:abstractNumId w:val="22"/>
  </w:num>
  <w:num w:numId="32">
    <w:abstractNumId w:val="17"/>
  </w:num>
  <w:num w:numId="33">
    <w:abstractNumId w:val="30"/>
  </w:num>
  <w:num w:numId="34">
    <w:abstractNumId w:val="29"/>
  </w:num>
  <w:num w:numId="35">
    <w:abstractNumId w:val="34"/>
  </w:num>
  <w:num w:numId="36">
    <w:abstractNumId w:val="3"/>
  </w:num>
  <w:num w:numId="37">
    <w:abstractNumId w:val="4"/>
  </w:num>
  <w:num w:numId="38">
    <w:abstractNumId w:val="21"/>
  </w:num>
  <w:num w:numId="39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36CF2"/>
    <w:rsid w:val="00053CA8"/>
    <w:rsid w:val="00093229"/>
    <w:rsid w:val="00093559"/>
    <w:rsid w:val="00095BD0"/>
    <w:rsid w:val="000A0B28"/>
    <w:rsid w:val="000C1016"/>
    <w:rsid w:val="00103230"/>
    <w:rsid w:val="0014029D"/>
    <w:rsid w:val="00147E41"/>
    <w:rsid w:val="00163201"/>
    <w:rsid w:val="0017019D"/>
    <w:rsid w:val="00192937"/>
    <w:rsid w:val="001C6D2F"/>
    <w:rsid w:val="001C759B"/>
    <w:rsid w:val="002054E4"/>
    <w:rsid w:val="00242EDD"/>
    <w:rsid w:val="002461E7"/>
    <w:rsid w:val="002A3319"/>
    <w:rsid w:val="002C4052"/>
    <w:rsid w:val="002D54AF"/>
    <w:rsid w:val="002E692F"/>
    <w:rsid w:val="002F12B5"/>
    <w:rsid w:val="00301577"/>
    <w:rsid w:val="00314A79"/>
    <w:rsid w:val="00316C97"/>
    <w:rsid w:val="00342BCC"/>
    <w:rsid w:val="003813A2"/>
    <w:rsid w:val="00383541"/>
    <w:rsid w:val="003A35DD"/>
    <w:rsid w:val="003B1299"/>
    <w:rsid w:val="003C5935"/>
    <w:rsid w:val="003D12D5"/>
    <w:rsid w:val="003F573E"/>
    <w:rsid w:val="003F60A9"/>
    <w:rsid w:val="00414159"/>
    <w:rsid w:val="0042418E"/>
    <w:rsid w:val="00430D37"/>
    <w:rsid w:val="00440383"/>
    <w:rsid w:val="004420EC"/>
    <w:rsid w:val="00446F08"/>
    <w:rsid w:val="00453DFF"/>
    <w:rsid w:val="00454EFE"/>
    <w:rsid w:val="004755A5"/>
    <w:rsid w:val="004839DC"/>
    <w:rsid w:val="004A2A72"/>
    <w:rsid w:val="004B2B7C"/>
    <w:rsid w:val="004B5D84"/>
    <w:rsid w:val="004B75D8"/>
    <w:rsid w:val="004C0ADF"/>
    <w:rsid w:val="004D7961"/>
    <w:rsid w:val="004E00BE"/>
    <w:rsid w:val="004F448B"/>
    <w:rsid w:val="00502415"/>
    <w:rsid w:val="005504CA"/>
    <w:rsid w:val="00585087"/>
    <w:rsid w:val="00594A41"/>
    <w:rsid w:val="005C2D75"/>
    <w:rsid w:val="005D52E9"/>
    <w:rsid w:val="00605792"/>
    <w:rsid w:val="00633FB3"/>
    <w:rsid w:val="00644574"/>
    <w:rsid w:val="00646C07"/>
    <w:rsid w:val="006515F6"/>
    <w:rsid w:val="0069797E"/>
    <w:rsid w:val="006B3880"/>
    <w:rsid w:val="006B3905"/>
    <w:rsid w:val="006C4C0F"/>
    <w:rsid w:val="006E6ECC"/>
    <w:rsid w:val="006F094A"/>
    <w:rsid w:val="006F59DC"/>
    <w:rsid w:val="007317AC"/>
    <w:rsid w:val="00737A33"/>
    <w:rsid w:val="0074110B"/>
    <w:rsid w:val="00742CC5"/>
    <w:rsid w:val="00743DD9"/>
    <w:rsid w:val="00760F04"/>
    <w:rsid w:val="0079581E"/>
    <w:rsid w:val="007B69C2"/>
    <w:rsid w:val="007C3A40"/>
    <w:rsid w:val="007C4BD3"/>
    <w:rsid w:val="007C5568"/>
    <w:rsid w:val="007D1C8E"/>
    <w:rsid w:val="0080034E"/>
    <w:rsid w:val="0080060F"/>
    <w:rsid w:val="00813E51"/>
    <w:rsid w:val="008202B0"/>
    <w:rsid w:val="00825AE5"/>
    <w:rsid w:val="00860079"/>
    <w:rsid w:val="008C0B30"/>
    <w:rsid w:val="008C33F4"/>
    <w:rsid w:val="008E0B0F"/>
    <w:rsid w:val="008E65B3"/>
    <w:rsid w:val="008F09E6"/>
    <w:rsid w:val="008F2639"/>
    <w:rsid w:val="0093760F"/>
    <w:rsid w:val="00946765"/>
    <w:rsid w:val="00970567"/>
    <w:rsid w:val="009C7883"/>
    <w:rsid w:val="009D4F4C"/>
    <w:rsid w:val="009F0584"/>
    <w:rsid w:val="00A04E3C"/>
    <w:rsid w:val="00A30A2B"/>
    <w:rsid w:val="00A54FAC"/>
    <w:rsid w:val="00A5600F"/>
    <w:rsid w:val="00A640E5"/>
    <w:rsid w:val="00A67669"/>
    <w:rsid w:val="00A67D21"/>
    <w:rsid w:val="00AA1C80"/>
    <w:rsid w:val="00AC0610"/>
    <w:rsid w:val="00AE76F5"/>
    <w:rsid w:val="00B04DF2"/>
    <w:rsid w:val="00B322D8"/>
    <w:rsid w:val="00B33620"/>
    <w:rsid w:val="00B736BF"/>
    <w:rsid w:val="00B77978"/>
    <w:rsid w:val="00B84CB2"/>
    <w:rsid w:val="00BC027E"/>
    <w:rsid w:val="00BE2E0E"/>
    <w:rsid w:val="00BE3AEF"/>
    <w:rsid w:val="00C41D34"/>
    <w:rsid w:val="00C6289E"/>
    <w:rsid w:val="00C82BED"/>
    <w:rsid w:val="00C84DA9"/>
    <w:rsid w:val="00CB2728"/>
    <w:rsid w:val="00CB4F26"/>
    <w:rsid w:val="00CC2943"/>
    <w:rsid w:val="00CD5605"/>
    <w:rsid w:val="00CE58BD"/>
    <w:rsid w:val="00CF1F0A"/>
    <w:rsid w:val="00D0722A"/>
    <w:rsid w:val="00D07E35"/>
    <w:rsid w:val="00D24A32"/>
    <w:rsid w:val="00D44CF7"/>
    <w:rsid w:val="00D74B8E"/>
    <w:rsid w:val="00D91F19"/>
    <w:rsid w:val="00DC5DAD"/>
    <w:rsid w:val="00DD6BCE"/>
    <w:rsid w:val="00DD7283"/>
    <w:rsid w:val="00DE4984"/>
    <w:rsid w:val="00DE5A67"/>
    <w:rsid w:val="00DF0878"/>
    <w:rsid w:val="00DF3F48"/>
    <w:rsid w:val="00E5543A"/>
    <w:rsid w:val="00EE0BE8"/>
    <w:rsid w:val="00EE2184"/>
    <w:rsid w:val="00EE6FBE"/>
    <w:rsid w:val="00F1399B"/>
    <w:rsid w:val="00F158AF"/>
    <w:rsid w:val="00F21BFA"/>
    <w:rsid w:val="00F234DC"/>
    <w:rsid w:val="00F316BB"/>
    <w:rsid w:val="00F5198F"/>
    <w:rsid w:val="00F51B7E"/>
    <w:rsid w:val="00F61589"/>
    <w:rsid w:val="00FA2DCC"/>
    <w:rsid w:val="00FA564E"/>
    <w:rsid w:val="00FB735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9F97C3"/>
  <w15:chartTrackingRefBased/>
  <w15:docId w15:val="{77AA03B0-7552-4436-986C-577CEB74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ind w:left="426" w:hanging="142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3F573E"/>
    <w:pPr>
      <w:spacing w:after="160" w:line="259" w:lineRule="auto"/>
      <w:ind w:left="720"/>
      <w:contextualSpacing/>
    </w:pPr>
    <w:rPr>
      <w:rFonts w:eastAsia="Calibri"/>
    </w:rPr>
  </w:style>
  <w:style w:type="character" w:styleId="Nierozpoznanawzmianka">
    <w:name w:val="Unresolved Mention"/>
    <w:uiPriority w:val="99"/>
    <w:semiHidden/>
    <w:unhideWhenUsed/>
    <w:rsid w:val="00585087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7C4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BD3"/>
    <w:pPr>
      <w:spacing w:after="16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4BD3"/>
    <w:rPr>
      <w:rFonts w:eastAsia="Calibri"/>
      <w:lang w:eastAsia="en-US"/>
    </w:rPr>
  </w:style>
  <w:style w:type="paragraph" w:customStyle="1" w:styleId="Tekstpodstawowywcity31">
    <w:name w:val="Tekst podstawowy wcięty 31"/>
    <w:basedOn w:val="Normalny"/>
    <w:uiPriority w:val="99"/>
    <w:rsid w:val="00414159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rsid w:val="00414159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wanek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548D-57DD-48A3-9759-FBADA8F9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2959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Links>
    <vt:vector size="12" baseType="variant"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mailto:miwanek@pfron.org.pl</vt:lpwstr>
      </vt:variant>
      <vt:variant>
        <vt:lpwstr/>
      </vt:variant>
      <vt:variant>
        <vt:i4>131177</vt:i4>
      </vt:variant>
      <vt:variant>
        <vt:i4>0</vt:i4>
      </vt:variant>
      <vt:variant>
        <vt:i4>0</vt:i4>
      </vt:variant>
      <vt:variant>
        <vt:i4>5</vt:i4>
      </vt:variant>
      <vt:variant>
        <vt:lpwstr>mailto:tlata@pfron.org.pl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Krzysztof Ornatowski</cp:lastModifiedBy>
  <cp:revision>9</cp:revision>
  <cp:lastPrinted>2019-02-21T12:56:00Z</cp:lastPrinted>
  <dcterms:created xsi:type="dcterms:W3CDTF">2019-02-21T12:03:00Z</dcterms:created>
  <dcterms:modified xsi:type="dcterms:W3CDTF">2019-02-21T13:22:00Z</dcterms:modified>
</cp:coreProperties>
</file>