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8DD9" w14:textId="3B0007C1" w:rsidR="003535E9" w:rsidRDefault="002736E3" w:rsidP="00154D84">
      <w:r>
        <w:t>Szanowni Państwo,</w:t>
      </w:r>
    </w:p>
    <w:p w14:paraId="3E36CD87" w14:textId="77777777" w:rsidR="002736E3" w:rsidRDefault="002736E3" w:rsidP="00154D84"/>
    <w:p w14:paraId="209F07DF" w14:textId="4A987FB5" w:rsidR="002736E3" w:rsidRDefault="002736E3" w:rsidP="00154D84">
      <w:r>
        <w:t>prosilibyśmy o wycenę połączeń światłowodowych punkt-punkt (tzw. ciemnych włókien) w relacji wskazanej w poniższej tabeli:</w:t>
      </w:r>
    </w:p>
    <w:p w14:paraId="60E22AE4" w14:textId="77777777" w:rsidR="002736E3" w:rsidRDefault="002736E3" w:rsidP="00154D84"/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960"/>
        <w:gridCol w:w="1180"/>
        <w:gridCol w:w="960"/>
        <w:gridCol w:w="1660"/>
        <w:gridCol w:w="1340"/>
        <w:gridCol w:w="1340"/>
        <w:gridCol w:w="1340"/>
      </w:tblGrid>
      <w:tr w:rsidR="002736E3" w:rsidRPr="002736E3" w14:paraId="5EB19266" w14:textId="77777777" w:rsidTr="00273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8C152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D4353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9CAD82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Piętro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B90C59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1B8E0C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Piętro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5226D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Długość odcinka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66EB0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 mc (netto)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F12D88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 mc (netto)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6C7AD8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 mc (netto)</w:t>
            </w:r>
          </w:p>
        </w:tc>
      </w:tr>
      <w:tr w:rsidR="002736E3" w:rsidRPr="002736E3" w14:paraId="1E760E53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C67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419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Jana Pawła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D0A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E0D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E1E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A83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20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B77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6C3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B3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36E3" w:rsidRPr="002736E3" w14:paraId="79AF52E3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98C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011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Jana Pawła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EB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A21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55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piwnica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133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10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AC4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7DA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08E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36E3" w:rsidRPr="002736E3" w14:paraId="4DDB445A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D5C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5AB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Jana Pawła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36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E1A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Grójecka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F10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DED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10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344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D33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AAC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36E3" w:rsidRPr="002736E3" w14:paraId="39566C3D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F8D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2C7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Jana Pawła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E32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5BB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Equator</w:t>
            </w:r>
            <w:proofErr w:type="spellEnd"/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F29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XII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4C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20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158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678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110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36E3" w:rsidRPr="002736E3" w14:paraId="18E2219D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971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041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Equator</w:t>
            </w:r>
            <w:proofErr w:type="spellEnd"/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D09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XII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0CA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C27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4AF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20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D01C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767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D1B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736E3" w:rsidRPr="002736E3" w14:paraId="71830029" w14:textId="77777777" w:rsidTr="00273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E7B" w14:textId="77777777" w:rsidR="002736E3" w:rsidRPr="002736E3" w:rsidRDefault="002736E3" w:rsidP="002736E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23B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191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piwnica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C2B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2B5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F5D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&lt; 20 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2D0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8BD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6D2" w14:textId="77777777" w:rsidR="002736E3" w:rsidRPr="002736E3" w:rsidRDefault="002736E3" w:rsidP="002736E3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736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AA38F09" w14:textId="77777777" w:rsidR="002736E3" w:rsidRDefault="002736E3" w:rsidP="00154D84"/>
    <w:p w14:paraId="054F6F57" w14:textId="14FFE44F" w:rsidR="002736E3" w:rsidRDefault="002736E3" w:rsidP="00154D84">
      <w:r>
        <w:t>Wszystkie połączenia muszą spełniać poniższe wymagania:</w:t>
      </w:r>
    </w:p>
    <w:p w14:paraId="7ADBA118" w14:textId="77777777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ind w:left="1077" w:hanging="357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9520A3">
        <w:rPr>
          <w:rFonts w:eastAsia="Calibri" w:cstheme="minorHAnsi"/>
        </w:rPr>
        <w:t>ołączenia muszą być bezpośrednie, tzn. punkt-punkt, na trasie nie może być na nich żadnych urządzeń aktywnych nie należących do PFRON;</w:t>
      </w:r>
    </w:p>
    <w:p w14:paraId="56C018EB" w14:textId="27F1C05A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9520A3">
        <w:rPr>
          <w:rFonts w:eastAsia="Calibri" w:cstheme="minorHAnsi"/>
        </w:rPr>
        <w:t>ołączenie musi zapewniać stabilną transmisję na poziomie min. 10</w:t>
      </w:r>
      <w:r>
        <w:rPr>
          <w:rFonts w:eastAsia="Calibri" w:cstheme="minorHAnsi"/>
        </w:rPr>
        <w:t xml:space="preserve"> </w:t>
      </w:r>
      <w:proofErr w:type="spellStart"/>
      <w:r w:rsidRPr="009520A3">
        <w:rPr>
          <w:rFonts w:eastAsia="Calibri" w:cstheme="minorHAnsi"/>
        </w:rPr>
        <w:t>Gb</w:t>
      </w:r>
      <w:proofErr w:type="spellEnd"/>
      <w:r w:rsidRPr="009520A3">
        <w:rPr>
          <w:rFonts w:eastAsia="Calibri" w:cstheme="minorHAnsi"/>
        </w:rPr>
        <w:t>/s;</w:t>
      </w:r>
    </w:p>
    <w:p w14:paraId="2288CB4F" w14:textId="489B5DDB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9520A3">
        <w:rPr>
          <w:rFonts w:eastAsia="Calibri" w:cstheme="minorHAnsi"/>
        </w:rPr>
        <w:t xml:space="preserve">ołączenia </w:t>
      </w:r>
      <w:r>
        <w:rPr>
          <w:rFonts w:eastAsia="Calibri" w:cstheme="minorHAnsi"/>
        </w:rPr>
        <w:t>muszą być z</w:t>
      </w:r>
      <w:r w:rsidRPr="009520A3">
        <w:rPr>
          <w:rFonts w:eastAsia="Calibri" w:cstheme="minorHAnsi"/>
        </w:rPr>
        <w:t xml:space="preserve">realizowane między </w:t>
      </w:r>
      <w:r>
        <w:rPr>
          <w:rFonts w:eastAsia="Calibri" w:cstheme="minorHAnsi"/>
        </w:rPr>
        <w:t>pomieszczeni</w:t>
      </w:r>
      <w:r>
        <w:rPr>
          <w:rFonts w:eastAsia="Calibri" w:cstheme="minorHAnsi"/>
        </w:rPr>
        <w:t xml:space="preserve">ami w lokalizacjach wymienionych w tabeli powyżej (jeśli w lokalizacji wymagane jest utworzenie łącznika, to należy </w:t>
      </w:r>
      <w:r w:rsidR="00AD6D5B">
        <w:rPr>
          <w:rFonts w:eastAsia="Calibri" w:cstheme="minorHAnsi"/>
        </w:rPr>
        <w:t>jego wykonanie i ewentualne miesięczne opłaty wliczyć w kwotę umowy)</w:t>
      </w:r>
      <w:r w:rsidRPr="009520A3">
        <w:rPr>
          <w:rFonts w:eastAsia="Calibri" w:cstheme="minorHAnsi"/>
        </w:rPr>
        <w:t>;</w:t>
      </w:r>
    </w:p>
    <w:p w14:paraId="1BE61F69" w14:textId="2639975A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k</w:t>
      </w:r>
      <w:r w:rsidRPr="009520A3">
        <w:rPr>
          <w:rFonts w:eastAsia="Calibri" w:cstheme="minorHAnsi"/>
        </w:rPr>
        <w:t>ażd</w:t>
      </w:r>
      <w:r>
        <w:rPr>
          <w:rFonts w:eastAsia="Calibri" w:cstheme="minorHAnsi"/>
        </w:rPr>
        <w:t>e</w:t>
      </w:r>
      <w:r w:rsidRPr="009520A3">
        <w:rPr>
          <w:rFonts w:eastAsia="Calibri" w:cstheme="minorHAnsi"/>
        </w:rPr>
        <w:t xml:space="preserve"> z połączeń musi się składać z </w:t>
      </w:r>
      <w:r>
        <w:rPr>
          <w:rFonts w:eastAsia="Calibri" w:cstheme="minorHAnsi"/>
        </w:rPr>
        <w:t>dwóch niezależnych włókien światłowodowych (2J</w:t>
      </w:r>
      <w:r w:rsidRPr="009520A3">
        <w:rPr>
          <w:rFonts w:eastAsia="Calibri" w:cstheme="minorHAnsi"/>
        </w:rPr>
        <w:t>);</w:t>
      </w:r>
    </w:p>
    <w:p w14:paraId="664FBBFC" w14:textId="06C187EB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9520A3">
        <w:rPr>
          <w:rFonts w:eastAsia="Calibri" w:cstheme="minorHAnsi"/>
        </w:rPr>
        <w:t>ługość optyczna połącze</w:t>
      </w:r>
      <w:r>
        <w:rPr>
          <w:rFonts w:eastAsia="Calibri" w:cstheme="minorHAnsi"/>
        </w:rPr>
        <w:t>ń</w:t>
      </w:r>
      <w:r w:rsidRPr="009520A3">
        <w:rPr>
          <w:rFonts w:eastAsia="Calibri" w:cstheme="minorHAnsi"/>
        </w:rPr>
        <w:t xml:space="preserve"> nie może przekraczać </w:t>
      </w:r>
      <w:r>
        <w:rPr>
          <w:rFonts w:eastAsia="Calibri" w:cstheme="minorHAnsi"/>
        </w:rPr>
        <w:t>wartości wymienionych w powyższej tabeli</w:t>
      </w:r>
      <w:r>
        <w:rPr>
          <w:rFonts w:eastAsia="Calibri" w:cstheme="minorHAnsi"/>
        </w:rPr>
        <w:t>;</w:t>
      </w:r>
    </w:p>
    <w:p w14:paraId="1BEB9F45" w14:textId="77777777" w:rsidR="002736E3" w:rsidRPr="009520A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k</w:t>
      </w:r>
      <w:r w:rsidRPr="009520A3">
        <w:rPr>
          <w:rFonts w:eastAsia="Calibri" w:cstheme="minorHAnsi"/>
        </w:rPr>
        <w:t xml:space="preserve">ażdy link komunikacyjny musi zostać obustronnie zakończony na </w:t>
      </w:r>
      <w:proofErr w:type="spellStart"/>
      <w:r w:rsidRPr="009520A3">
        <w:rPr>
          <w:rFonts w:eastAsia="Calibri" w:cstheme="minorHAnsi"/>
        </w:rPr>
        <w:t>patchpanelu</w:t>
      </w:r>
      <w:proofErr w:type="spellEnd"/>
      <w:r w:rsidRPr="009520A3">
        <w:rPr>
          <w:rFonts w:eastAsia="Calibri" w:cstheme="minorHAnsi"/>
        </w:rPr>
        <w:t xml:space="preserve"> 1U wyposażonym w złącza SC;</w:t>
      </w:r>
    </w:p>
    <w:p w14:paraId="3949E30C" w14:textId="77777777" w:rsidR="002736E3" w:rsidRDefault="002736E3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Pr="009520A3">
        <w:rPr>
          <w:rFonts w:eastAsia="Calibri" w:cstheme="minorHAnsi"/>
        </w:rPr>
        <w:t>ykonawca dostarczy pomiary całkowitego tłumienia toru optycznego światłowodu dla wszystkich długości fal;</w:t>
      </w:r>
    </w:p>
    <w:p w14:paraId="5345808D" w14:textId="16674179" w:rsidR="00A862D8" w:rsidRDefault="00A862D8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SLA dla usługi musi wynosić 99,5%;</w:t>
      </w:r>
    </w:p>
    <w:p w14:paraId="594BA603" w14:textId="28DF1A45" w:rsidR="00A862D8" w:rsidRDefault="00A862D8" w:rsidP="002736E3">
      <w:pPr>
        <w:pStyle w:val="Akapitzlist"/>
        <w:numPr>
          <w:ilvl w:val="0"/>
          <w:numId w:val="11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lastRenderedPageBreak/>
        <w:t>w</w:t>
      </w:r>
      <w:r w:rsidRPr="00A862D8">
        <w:rPr>
          <w:rFonts w:eastAsia="Calibri" w:cstheme="minorHAnsi"/>
        </w:rPr>
        <w:t xml:space="preserve"> ramach realizacji </w:t>
      </w:r>
      <w:r>
        <w:rPr>
          <w:rFonts w:eastAsia="Calibri" w:cstheme="minorHAnsi"/>
        </w:rPr>
        <w:t>usługi</w:t>
      </w:r>
      <w:r w:rsidRPr="00A862D8">
        <w:rPr>
          <w:rFonts w:eastAsia="Calibri" w:cstheme="minorHAnsi"/>
        </w:rPr>
        <w:t xml:space="preserve"> Wykonawca jest zobowiązany do przyjmowania i reagowania na </w:t>
      </w:r>
      <w:r>
        <w:rPr>
          <w:rFonts w:eastAsia="Calibri" w:cstheme="minorHAnsi"/>
        </w:rPr>
        <w:t>z</w:t>
      </w:r>
      <w:r w:rsidRPr="00A862D8">
        <w:rPr>
          <w:rFonts w:eastAsia="Calibri" w:cstheme="minorHAnsi"/>
        </w:rPr>
        <w:t xml:space="preserve">głoszenia </w:t>
      </w:r>
      <w:r w:rsidR="00CB3F93">
        <w:rPr>
          <w:rFonts w:eastAsia="Calibri" w:cstheme="minorHAnsi"/>
        </w:rPr>
        <w:t>a</w:t>
      </w:r>
      <w:r w:rsidRPr="00A862D8">
        <w:rPr>
          <w:rFonts w:eastAsia="Calibri" w:cstheme="minorHAnsi"/>
        </w:rPr>
        <w:t>warii w trybie 24/7 tj. 24 godziny na dobę i 7 dni w tygodniu, również w dni ustawowo wolne od pracy, 365/366 dni w roku</w:t>
      </w:r>
      <w:r w:rsidR="00CB3F93">
        <w:rPr>
          <w:rFonts w:eastAsia="Calibri" w:cstheme="minorHAnsi"/>
        </w:rPr>
        <w:t>.</w:t>
      </w:r>
    </w:p>
    <w:p w14:paraId="5CAB885A" w14:textId="77777777" w:rsidR="00AD6D5B" w:rsidRDefault="00AD6D5B" w:rsidP="00AD6D5B">
      <w:p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</w:p>
    <w:p w14:paraId="521F1940" w14:textId="77777777" w:rsidR="00AD6D5B" w:rsidRDefault="00AD6D5B" w:rsidP="00AD6D5B">
      <w:p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r>
        <w:rPr>
          <w:rFonts w:eastAsia="Calibri"/>
        </w:rPr>
        <w:t>Szczegóły dotyczące lokalizacji:</w:t>
      </w:r>
    </w:p>
    <w:p w14:paraId="72887E25" w14:textId="46A75F62" w:rsidR="00AD6D5B" w:rsidRDefault="00AD6D5B" w:rsidP="00AD6D5B">
      <w:pPr>
        <w:pStyle w:val="Akapitzlist"/>
        <w:numPr>
          <w:ilvl w:val="0"/>
          <w:numId w:val="14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r w:rsidRPr="00AD6D5B">
        <w:rPr>
          <w:rFonts w:eastAsia="Calibri"/>
        </w:rPr>
        <w:t>Jana Pawła II 13 – budynek w posiadaniu PFRON</w:t>
      </w:r>
      <w:r>
        <w:rPr>
          <w:rFonts w:eastAsia="Calibri"/>
        </w:rPr>
        <w:t>. Pomieszczenie, do którego należy doprowadzić i wykonać przyłącze znajduje się na V piętrze. Pod budynkiem jest studzienka telekomunikacyjna, a wszystkie dotychczasowe światłowody wprowadzano przez piwnicę, a następnie prowadzono pionem technicznym, do którego dostęp jest na każdym z pięter.</w:t>
      </w:r>
    </w:p>
    <w:p w14:paraId="3657E320" w14:textId="6DC6BA21" w:rsidR="00AD6D5B" w:rsidRDefault="00AD6D5B" w:rsidP="00AD6D5B">
      <w:pPr>
        <w:pStyle w:val="Akapitzlist"/>
        <w:numPr>
          <w:ilvl w:val="0"/>
          <w:numId w:val="14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proofErr w:type="spellStart"/>
      <w:r>
        <w:rPr>
          <w:rFonts w:eastAsia="Calibri"/>
        </w:rPr>
        <w:t>Equator</w:t>
      </w:r>
      <w:proofErr w:type="spellEnd"/>
      <w:r>
        <w:rPr>
          <w:rFonts w:eastAsia="Calibri"/>
        </w:rPr>
        <w:t xml:space="preserve"> II, Al. Jerozolimskie 96 - powierzchnia wynajmowana przez PFRON. Pomieszczenie, do którego należy doprowadzić i wykonać przyłącze znajduje się na XII piętrze.</w:t>
      </w:r>
    </w:p>
    <w:p w14:paraId="25F263DC" w14:textId="2D2A4FF7" w:rsidR="00AD6D5B" w:rsidRDefault="00AD6D5B" w:rsidP="00AD6D5B">
      <w:pPr>
        <w:pStyle w:val="Akapitzlist"/>
        <w:numPr>
          <w:ilvl w:val="0"/>
          <w:numId w:val="14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r>
        <w:rPr>
          <w:rFonts w:eastAsia="Calibri"/>
        </w:rPr>
        <w:t>Sienna 63 – powierzchnia wynajmowana przez PFRON. Pomieszczenie, do którego należy doprowadzić i wykonać przyłącze znajduje się w piwnicy.</w:t>
      </w:r>
    </w:p>
    <w:p w14:paraId="06DDFF9C" w14:textId="61DEE45D" w:rsidR="00AD6D5B" w:rsidRDefault="00AD6D5B" w:rsidP="00AD6D5B">
      <w:pPr>
        <w:pStyle w:val="Akapitzlist"/>
        <w:numPr>
          <w:ilvl w:val="0"/>
          <w:numId w:val="14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r>
        <w:rPr>
          <w:rFonts w:eastAsia="Calibri"/>
        </w:rPr>
        <w:t>Grójecka 19/25 – powierzchnia wynajmowana przez PFRON. Pomieszczenie, do którego należy doprowadzić i wykonać przyłącze znajduje się na I piętrze.</w:t>
      </w:r>
    </w:p>
    <w:p w14:paraId="7E9E6014" w14:textId="04105AC2" w:rsidR="00020389" w:rsidRPr="00AD6D5B" w:rsidRDefault="00020389" w:rsidP="00AD6D5B">
      <w:pPr>
        <w:pStyle w:val="Akapitzlist"/>
        <w:numPr>
          <w:ilvl w:val="0"/>
          <w:numId w:val="14"/>
        </w:numPr>
        <w:tabs>
          <w:tab w:val="left" w:pos="1600"/>
        </w:tabs>
        <w:suppressAutoHyphens/>
        <w:autoSpaceDN w:val="0"/>
        <w:spacing w:line="254" w:lineRule="auto"/>
        <w:contextualSpacing w:val="0"/>
        <w:textAlignment w:val="baseline"/>
        <w:rPr>
          <w:rFonts w:eastAsia="Calibri"/>
        </w:rPr>
      </w:pPr>
      <w:r>
        <w:rPr>
          <w:rFonts w:eastAsia="Calibri"/>
        </w:rPr>
        <w:t>NASK, 11 listopada 23 – powierzchnia w centrum przetwarzania danych wynajmowana przez PFRON. Kiosk, do którego należy doprowadzić i wykonać przyłącze znajduje się na I piętrze.</w:t>
      </w:r>
    </w:p>
    <w:p w14:paraId="68E5140E" w14:textId="77777777" w:rsidR="002736E3" w:rsidRDefault="002736E3" w:rsidP="00154D84"/>
    <w:p w14:paraId="124B274F" w14:textId="262B83A7" w:rsidR="00CB3F93" w:rsidRPr="00154D84" w:rsidRDefault="00CB3F93" w:rsidP="00154D84">
      <w:r>
        <w:t>Szacunkowe wyceny prosilibyśmy złożyć do dnia 2024-03-15 na adresy: miwanek@pfron.org.pl oraz pgajewski@pfron.org.pl.</w:t>
      </w:r>
    </w:p>
    <w:sectPr w:rsidR="00CB3F93" w:rsidRPr="00154D84" w:rsidSect="0027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12AFB"/>
    <w:multiLevelType w:val="hybridMultilevel"/>
    <w:tmpl w:val="A63AA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960"/>
    <w:multiLevelType w:val="hybridMultilevel"/>
    <w:tmpl w:val="6248D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064FA0"/>
    <w:multiLevelType w:val="hybridMultilevel"/>
    <w:tmpl w:val="A036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4A0D"/>
    <w:multiLevelType w:val="hybridMultilevel"/>
    <w:tmpl w:val="8056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41716">
    <w:abstractNumId w:val="7"/>
  </w:num>
  <w:num w:numId="2" w16cid:durableId="611978835">
    <w:abstractNumId w:val="0"/>
  </w:num>
  <w:num w:numId="3" w16cid:durableId="1790317043">
    <w:abstractNumId w:val="4"/>
  </w:num>
  <w:num w:numId="4" w16cid:durableId="1039470909">
    <w:abstractNumId w:val="4"/>
  </w:num>
  <w:num w:numId="5" w16cid:durableId="428432949">
    <w:abstractNumId w:val="0"/>
  </w:num>
  <w:num w:numId="6" w16cid:durableId="1139764484">
    <w:abstractNumId w:val="0"/>
  </w:num>
  <w:num w:numId="7" w16cid:durableId="593712312">
    <w:abstractNumId w:val="3"/>
  </w:num>
  <w:num w:numId="8" w16cid:durableId="1886791774">
    <w:abstractNumId w:val="3"/>
  </w:num>
  <w:num w:numId="9" w16cid:durableId="143473222">
    <w:abstractNumId w:val="2"/>
  </w:num>
  <w:num w:numId="10" w16cid:durableId="1018314556">
    <w:abstractNumId w:val="5"/>
  </w:num>
  <w:num w:numId="11" w16cid:durableId="671026555">
    <w:abstractNumId w:val="1"/>
  </w:num>
  <w:num w:numId="12" w16cid:durableId="2034305445">
    <w:abstractNumId w:val="9"/>
  </w:num>
  <w:num w:numId="13" w16cid:durableId="1411997306">
    <w:abstractNumId w:val="6"/>
  </w:num>
  <w:num w:numId="14" w16cid:durableId="969746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9"/>
    <w:rsid w:val="00020389"/>
    <w:rsid w:val="00093E79"/>
    <w:rsid w:val="00154D84"/>
    <w:rsid w:val="002736E3"/>
    <w:rsid w:val="00311E95"/>
    <w:rsid w:val="003535E9"/>
    <w:rsid w:val="004D7479"/>
    <w:rsid w:val="004F7541"/>
    <w:rsid w:val="00530605"/>
    <w:rsid w:val="00556FAB"/>
    <w:rsid w:val="006939CB"/>
    <w:rsid w:val="008711AC"/>
    <w:rsid w:val="009E5F40"/>
    <w:rsid w:val="00A862D8"/>
    <w:rsid w:val="00A910FA"/>
    <w:rsid w:val="00AD6D5B"/>
    <w:rsid w:val="00B25134"/>
    <w:rsid w:val="00CB3F93"/>
    <w:rsid w:val="00CD590B"/>
    <w:rsid w:val="00D1698D"/>
    <w:rsid w:val="00DE66B2"/>
    <w:rsid w:val="00E20A14"/>
    <w:rsid w:val="00E83106"/>
    <w:rsid w:val="00ED15F6"/>
    <w:rsid w:val="00ED2F0B"/>
    <w:rsid w:val="00F029DC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E898"/>
  <w15:chartTrackingRefBased/>
  <w15:docId w15:val="{BC993457-8CE4-41EE-BF34-7DF3818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380F-7CA3-4543-99A7-5AD9337E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 Marcin</dc:creator>
  <cp:keywords/>
  <dc:description/>
  <cp:lastModifiedBy>Iwanek Marcin</cp:lastModifiedBy>
  <cp:revision>4</cp:revision>
  <dcterms:created xsi:type="dcterms:W3CDTF">2024-02-22T08:40:00Z</dcterms:created>
  <dcterms:modified xsi:type="dcterms:W3CDTF">2024-02-22T09:07:00Z</dcterms:modified>
</cp:coreProperties>
</file>