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F76FE" w14:textId="090A039A" w:rsidR="00C44289" w:rsidRDefault="000E368B" w:rsidP="000E368B">
      <w:pPr>
        <w:pStyle w:val="Tytu"/>
        <w:jc w:val="center"/>
      </w:pPr>
      <w:r>
        <w:t>Opis Przedmiotu Zamówienia</w:t>
      </w:r>
    </w:p>
    <w:p w14:paraId="2BF50F84" w14:textId="77777777" w:rsidR="004F1DD7" w:rsidRPr="004F1DD7" w:rsidRDefault="004F1DD7" w:rsidP="004F1DD7"/>
    <w:p w14:paraId="725F34FA" w14:textId="77777777" w:rsidR="004F1DD7" w:rsidRPr="004F1DD7" w:rsidRDefault="004F1DD7" w:rsidP="004F1DD7">
      <w:pPr>
        <w:pStyle w:val="Akapitzlist"/>
        <w:numPr>
          <w:ilvl w:val="0"/>
          <w:numId w:val="1"/>
        </w:numPr>
      </w:pPr>
      <w:r w:rsidRPr="004F1DD7">
        <w:t>Przedmiotem zamówienia jest zakup subskrypcji na okres 12 miesięcy  na dostęp do eksperckich analiz w zagadnieniach strategicznego wykorzystania technologii informatycznych, w tym konsultacji eksperckich oraz dostępu do gotowej bazy danych zawierającej publikacje dotyczące IT w szczególności w zakresie zarządzania, architektury, analizy rynku, badań porównawczych, organizacji, wykorzystania i zarządzania technologią w sektorze publicznym.</w:t>
      </w:r>
    </w:p>
    <w:p w14:paraId="307DC7D7" w14:textId="77777777" w:rsidR="00FD4914" w:rsidRDefault="00FD4914" w:rsidP="00FD4914">
      <w:pPr>
        <w:pStyle w:val="Akapitzlist"/>
        <w:numPr>
          <w:ilvl w:val="0"/>
          <w:numId w:val="1"/>
        </w:numPr>
      </w:pPr>
      <w:r>
        <w:t>Dostęp do eksperckich analiz w zagadnieniach strategicznego wykorzystania technologii informatycznych, w tym konsultacji eksperckich oraz dostępu do gotowej bazy danych zawierającej publikacje dotyczące IT w szczególności w zakresie zarządzania, architektury, analizy rynku, badań porównawczych, organizacji, wykorzystania i zarządzania technologią w sektorze publicznym powinien być możliwy dla użytkowników Zamawiającego w poniższych ilościach:</w:t>
      </w:r>
    </w:p>
    <w:p w14:paraId="646854DA" w14:textId="4ADA82CC" w:rsidR="00FD4914" w:rsidRDefault="00FD4914" w:rsidP="00FD4914">
      <w:pPr>
        <w:pStyle w:val="Akapitzlist"/>
        <w:numPr>
          <w:ilvl w:val="1"/>
          <w:numId w:val="1"/>
        </w:numPr>
      </w:pPr>
      <w:r>
        <w:t>uprawnienia dla Użytkownika - poziom I</w:t>
      </w:r>
      <w:r w:rsidR="003A32D9">
        <w:t>I</w:t>
      </w:r>
      <w:r>
        <w:t xml:space="preserve"> – 1 szt.;</w:t>
      </w:r>
    </w:p>
    <w:p w14:paraId="118C0F8E" w14:textId="75B0AD69" w:rsidR="00FD4914" w:rsidRDefault="00FD4914" w:rsidP="00FD4914">
      <w:pPr>
        <w:pStyle w:val="Akapitzlist"/>
        <w:numPr>
          <w:ilvl w:val="1"/>
          <w:numId w:val="1"/>
        </w:numPr>
      </w:pPr>
      <w:r>
        <w:t xml:space="preserve">uprawnienia dla Użytkowników - poziom V – </w:t>
      </w:r>
      <w:r w:rsidR="00445BB4">
        <w:t>4</w:t>
      </w:r>
      <w:r>
        <w:t xml:space="preserve"> szt.</w:t>
      </w:r>
    </w:p>
    <w:p w14:paraId="746A0EA0" w14:textId="77777777" w:rsidR="00C20F12" w:rsidRDefault="00C20F12" w:rsidP="00C20F12">
      <w:pPr>
        <w:pStyle w:val="Akapitzlist"/>
        <w:numPr>
          <w:ilvl w:val="0"/>
          <w:numId w:val="1"/>
        </w:numPr>
      </w:pPr>
      <w:r>
        <w:t>W ramach licencji na dostęp do eksperckich analiz w zagadnieniach strategicznego wykorzystania technologii informatycznych, w tym konsultacji eksperckich oraz dostępu do gotowej bazy danych zawierającej publikacje dotyczące IT w szczególności w zakresie zarządzania, architektury, analizy rynku, badań porównawczych, organizacji, wykorzystania i zarządzania technologią w sektorze publicznym Zamawiający powinien mieć zapewniony:</w:t>
      </w:r>
    </w:p>
    <w:p w14:paraId="23C0065D" w14:textId="77777777" w:rsidR="00C20F12" w:rsidRDefault="00C20F12" w:rsidP="00C20F12">
      <w:pPr>
        <w:pStyle w:val="Akapitzlist"/>
        <w:numPr>
          <w:ilvl w:val="1"/>
          <w:numId w:val="1"/>
        </w:numPr>
      </w:pPr>
      <w:r>
        <w:t>dostęp do bazy wiedzy, zawierającej eksperckie analizy i publikacje w zakresie strategicznego wykorzystania technologii informatycznych minimum 80 000;</w:t>
      </w:r>
    </w:p>
    <w:p w14:paraId="18C0E98A" w14:textId="77777777" w:rsidR="00C20F12" w:rsidRDefault="00C20F12" w:rsidP="00C20F12">
      <w:pPr>
        <w:pStyle w:val="Akapitzlist"/>
        <w:numPr>
          <w:ilvl w:val="1"/>
          <w:numId w:val="1"/>
        </w:numPr>
      </w:pPr>
      <w:r>
        <w:t>dostęp do konsultacji z ekspertami dziedzinowymi w ww. zakresie;</w:t>
      </w:r>
    </w:p>
    <w:p w14:paraId="3BCC1F1C" w14:textId="77777777" w:rsidR="00C20F12" w:rsidRDefault="00C20F12" w:rsidP="00C20F12">
      <w:pPr>
        <w:pStyle w:val="Akapitzlist"/>
        <w:numPr>
          <w:ilvl w:val="1"/>
          <w:numId w:val="1"/>
        </w:numPr>
      </w:pPr>
      <w:r>
        <w:t>dostęp do narzędzi wspierających codzienną pracę planistyczną i organizacyjną w organizacji IT klienta;</w:t>
      </w:r>
    </w:p>
    <w:p w14:paraId="20D2560E" w14:textId="77777777" w:rsidR="00C20F12" w:rsidRDefault="00C20F12" w:rsidP="00C20F12">
      <w:pPr>
        <w:pStyle w:val="Akapitzlist"/>
        <w:numPr>
          <w:ilvl w:val="1"/>
          <w:numId w:val="1"/>
        </w:numPr>
      </w:pPr>
      <w:r>
        <w:t>dostęp do benchmarków w obszarach technologicznych i branżowych minimum 2000 benchmarków;</w:t>
      </w:r>
    </w:p>
    <w:p w14:paraId="403C2B9B" w14:textId="77777777" w:rsidR="00C20F12" w:rsidRDefault="00C20F12" w:rsidP="00C20F12">
      <w:pPr>
        <w:pStyle w:val="Akapitzlist"/>
        <w:numPr>
          <w:ilvl w:val="1"/>
          <w:numId w:val="1"/>
        </w:numPr>
      </w:pPr>
      <w:r>
        <w:t>dostęp do wydarzeń tematycznych.</w:t>
      </w:r>
    </w:p>
    <w:p w14:paraId="781E15C0" w14:textId="77777777" w:rsidR="008863DF" w:rsidRDefault="008863DF" w:rsidP="008863DF">
      <w:pPr>
        <w:pStyle w:val="Akapitzlist"/>
        <w:numPr>
          <w:ilvl w:val="0"/>
          <w:numId w:val="1"/>
        </w:numPr>
      </w:pPr>
      <w:r>
        <w:t>W zakresie dostępu do bazy wiedzy Zamawiający powinien mieć zapewniony.</w:t>
      </w:r>
    </w:p>
    <w:p w14:paraId="35354EC0" w14:textId="77777777" w:rsidR="008863DF" w:rsidRDefault="008863DF" w:rsidP="008863DF">
      <w:pPr>
        <w:pStyle w:val="Akapitzlist"/>
        <w:numPr>
          <w:ilvl w:val="1"/>
          <w:numId w:val="1"/>
        </w:numPr>
      </w:pPr>
      <w:r>
        <w:t>Dostęp do bazy wiedzy powinien być realizowany poprzez stronę internetową – Portal Klienta – oraz aplikację mobilną;</w:t>
      </w:r>
    </w:p>
    <w:p w14:paraId="591AFA15" w14:textId="77777777" w:rsidR="008863DF" w:rsidRDefault="008863DF" w:rsidP="008863DF">
      <w:pPr>
        <w:pStyle w:val="Akapitzlist"/>
        <w:numPr>
          <w:ilvl w:val="1"/>
          <w:numId w:val="1"/>
        </w:numPr>
      </w:pPr>
      <w:r>
        <w:t>Dostęp powinien być możliwy 365 dni w roku, 24/7 z wyjątkiem przerw na prace serwisowe;</w:t>
      </w:r>
    </w:p>
    <w:p w14:paraId="7AF8EBC4" w14:textId="77777777" w:rsidR="008863DF" w:rsidRDefault="008863DF" w:rsidP="008863DF">
      <w:pPr>
        <w:pStyle w:val="Akapitzlist"/>
        <w:numPr>
          <w:ilvl w:val="1"/>
          <w:numId w:val="1"/>
        </w:numPr>
      </w:pPr>
      <w:r>
        <w:t>Na podstawie przesłanych przez Zamawiającego adresów email powinny zostać utworzone indywidualne konta użytkowników na dedykowanej stronie lub platformie internetowej;</w:t>
      </w:r>
    </w:p>
    <w:p w14:paraId="3A79ACDF" w14:textId="77777777" w:rsidR="008863DF" w:rsidRDefault="008863DF" w:rsidP="008863DF">
      <w:pPr>
        <w:pStyle w:val="Akapitzlist"/>
        <w:numPr>
          <w:ilvl w:val="1"/>
          <w:numId w:val="1"/>
        </w:numPr>
      </w:pPr>
      <w:r>
        <w:t>Materiały i publikacje znajdujące się w bazach wiedzy powinny być publikowane w języku polskim lub angielskim;</w:t>
      </w:r>
    </w:p>
    <w:p w14:paraId="68E9CBCA" w14:textId="77777777" w:rsidR="008863DF" w:rsidRDefault="008863DF" w:rsidP="008863DF">
      <w:pPr>
        <w:pStyle w:val="Akapitzlist"/>
        <w:numPr>
          <w:ilvl w:val="1"/>
          <w:numId w:val="1"/>
        </w:numPr>
      </w:pPr>
      <w:r>
        <w:t>Dostęp do baz wiedzy powinien być nielimitowany pod względem liczby interakcji, w tym co do ilości materiałów i publikacji, z których mogą korzystać użytkownicy;</w:t>
      </w:r>
    </w:p>
    <w:p w14:paraId="6C3BE9FC" w14:textId="77777777" w:rsidR="008863DF" w:rsidRDefault="008863DF" w:rsidP="008863DF">
      <w:pPr>
        <w:pStyle w:val="Akapitzlist"/>
        <w:numPr>
          <w:ilvl w:val="1"/>
          <w:numId w:val="1"/>
        </w:numPr>
      </w:pPr>
      <w:r>
        <w:t>Baza wiedzy powinna być stale aktualizowana przez cały okres trwania umowy;</w:t>
      </w:r>
    </w:p>
    <w:p w14:paraId="518C4E13" w14:textId="77777777" w:rsidR="008863DF" w:rsidRDefault="008863DF" w:rsidP="008863DF">
      <w:pPr>
        <w:pStyle w:val="Akapitzlist"/>
        <w:numPr>
          <w:ilvl w:val="1"/>
          <w:numId w:val="1"/>
        </w:numPr>
      </w:pPr>
      <w:r>
        <w:t>Materiały/Publikacje różne dla różnych poziomów dostępu, powinny stanowić spójną merytorycznie całość, w zakresie prowadzonych badań, nazewnictwa i stosowanych metodyk projektowych;</w:t>
      </w:r>
    </w:p>
    <w:p w14:paraId="0E9C0D8A" w14:textId="77777777" w:rsidR="008863DF" w:rsidRDefault="008863DF" w:rsidP="008863DF">
      <w:pPr>
        <w:pStyle w:val="Akapitzlist"/>
        <w:numPr>
          <w:ilvl w:val="1"/>
          <w:numId w:val="1"/>
        </w:numPr>
      </w:pPr>
      <w:r>
        <w:lastRenderedPageBreak/>
        <w:t>Wśród Materiałów i Publikacji  powinny być dostępne dokumenty dedykowane (uwzględniające specyfikę prowadzonej działalności) dla sektora publicznego.</w:t>
      </w:r>
    </w:p>
    <w:p w14:paraId="02420542" w14:textId="37A1B5DE" w:rsidR="000E368B" w:rsidRDefault="00E13BFB" w:rsidP="00604685">
      <w:pPr>
        <w:pStyle w:val="Akapitzlist"/>
        <w:numPr>
          <w:ilvl w:val="0"/>
          <w:numId w:val="1"/>
        </w:numPr>
      </w:pPr>
      <w:r w:rsidRPr="00E13BFB">
        <w:t>W bazie wiedzy powinny się znaleźć minimum następujące materiały:</w:t>
      </w:r>
    </w:p>
    <w:p w14:paraId="1DB97362" w14:textId="77777777" w:rsidR="008C4D70" w:rsidRPr="00613151" w:rsidRDefault="008C4D70" w:rsidP="00613151">
      <w:pPr>
        <w:pStyle w:val="Akapitzlist"/>
        <w:numPr>
          <w:ilvl w:val="1"/>
          <w:numId w:val="1"/>
        </w:numPr>
      </w:pPr>
      <w:r w:rsidRPr="00613151">
        <w:t>raporty, badania, ankiety wśród decydentów pokazujące szanse, zagrożenia i najlepsze praktyki w IT, z uwzględnieniem sektora publicznego;</w:t>
      </w:r>
    </w:p>
    <w:p w14:paraId="6E8C2FC5" w14:textId="77777777" w:rsidR="008C4D70" w:rsidRPr="00613151" w:rsidRDefault="008C4D70" w:rsidP="00613151">
      <w:pPr>
        <w:pStyle w:val="Akapitzlist"/>
        <w:numPr>
          <w:ilvl w:val="1"/>
          <w:numId w:val="1"/>
        </w:numPr>
      </w:pPr>
      <w:r w:rsidRPr="00613151">
        <w:t>narzędzia diagnostyczne;</w:t>
      </w:r>
    </w:p>
    <w:p w14:paraId="1311891D" w14:textId="77777777" w:rsidR="008C4D70" w:rsidRPr="00613151" w:rsidRDefault="008C4D70" w:rsidP="00613151">
      <w:pPr>
        <w:pStyle w:val="Akapitzlist"/>
        <w:numPr>
          <w:ilvl w:val="1"/>
          <w:numId w:val="1"/>
        </w:numPr>
      </w:pPr>
      <w:r w:rsidRPr="00613151">
        <w:t>szablony rozwiązań;</w:t>
      </w:r>
    </w:p>
    <w:p w14:paraId="22C5CA6B" w14:textId="77777777" w:rsidR="008C4D70" w:rsidRPr="00613151" w:rsidRDefault="008C4D70" w:rsidP="00613151">
      <w:pPr>
        <w:pStyle w:val="Akapitzlist"/>
        <w:numPr>
          <w:ilvl w:val="1"/>
          <w:numId w:val="1"/>
        </w:numPr>
      </w:pPr>
      <w:r w:rsidRPr="00613151">
        <w:t xml:space="preserve">studia przypadków (case studies); </w:t>
      </w:r>
    </w:p>
    <w:p w14:paraId="18F33D25" w14:textId="77777777" w:rsidR="008C4D70" w:rsidRPr="00613151" w:rsidRDefault="008C4D70" w:rsidP="00613151">
      <w:pPr>
        <w:pStyle w:val="Akapitzlist"/>
        <w:numPr>
          <w:ilvl w:val="1"/>
          <w:numId w:val="1"/>
        </w:numPr>
      </w:pPr>
      <w:r w:rsidRPr="00613151">
        <w:t>szablony dokumentów np. harmonogramy projektów, prezentacji;</w:t>
      </w:r>
    </w:p>
    <w:p w14:paraId="467D78DA" w14:textId="77777777" w:rsidR="008C4D70" w:rsidRPr="00613151" w:rsidRDefault="008C4D70" w:rsidP="00613151">
      <w:pPr>
        <w:pStyle w:val="Akapitzlist"/>
        <w:numPr>
          <w:ilvl w:val="1"/>
          <w:numId w:val="1"/>
        </w:numPr>
      </w:pPr>
      <w:r w:rsidRPr="00613151">
        <w:t xml:space="preserve">szablony umów i polityk; </w:t>
      </w:r>
    </w:p>
    <w:p w14:paraId="569216D0" w14:textId="77777777" w:rsidR="008C4D70" w:rsidRPr="00613151" w:rsidRDefault="008C4D70" w:rsidP="00613151">
      <w:pPr>
        <w:pStyle w:val="Akapitzlist"/>
        <w:numPr>
          <w:ilvl w:val="1"/>
          <w:numId w:val="1"/>
        </w:numPr>
      </w:pPr>
      <w:r w:rsidRPr="00613151">
        <w:t>skrypty warsztatów;</w:t>
      </w:r>
    </w:p>
    <w:p w14:paraId="3D821EAD" w14:textId="77777777" w:rsidR="008C4D70" w:rsidRPr="00613151" w:rsidRDefault="008C4D70" w:rsidP="00613151">
      <w:pPr>
        <w:pStyle w:val="Akapitzlist"/>
        <w:numPr>
          <w:ilvl w:val="1"/>
          <w:numId w:val="1"/>
        </w:numPr>
      </w:pPr>
      <w:r w:rsidRPr="00613151">
        <w:t>modele sizingowe;</w:t>
      </w:r>
    </w:p>
    <w:p w14:paraId="43DFA904" w14:textId="77777777" w:rsidR="008C4D70" w:rsidRPr="00613151" w:rsidRDefault="008C4D70" w:rsidP="00613151">
      <w:pPr>
        <w:pStyle w:val="Akapitzlist"/>
        <w:numPr>
          <w:ilvl w:val="1"/>
          <w:numId w:val="1"/>
        </w:numPr>
      </w:pPr>
      <w:r w:rsidRPr="00613151">
        <w:t>narzędzia scoringowe, benchmarki branżowe;</w:t>
      </w:r>
    </w:p>
    <w:p w14:paraId="7663D3F1" w14:textId="36EF441F" w:rsidR="008C4D70" w:rsidRPr="00613151" w:rsidRDefault="00C91D96" w:rsidP="00613151">
      <w:pPr>
        <w:pStyle w:val="Akapitzlist"/>
        <w:numPr>
          <w:ilvl w:val="1"/>
          <w:numId w:val="1"/>
        </w:numPr>
        <w:ind w:left="851" w:hanging="491"/>
      </w:pPr>
      <w:r>
        <w:t xml:space="preserve"> </w:t>
      </w:r>
      <w:r w:rsidR="008C4D70" w:rsidRPr="00613151">
        <w:t>narzędzia do ocen dostawców technologii i rozwiązań;</w:t>
      </w:r>
    </w:p>
    <w:p w14:paraId="6EC6CE6B" w14:textId="77777777" w:rsidR="008C4D70" w:rsidRPr="00613151" w:rsidRDefault="008C4D70" w:rsidP="00C91D96">
      <w:pPr>
        <w:pStyle w:val="Akapitzlist"/>
        <w:numPr>
          <w:ilvl w:val="1"/>
          <w:numId w:val="1"/>
        </w:numPr>
        <w:ind w:left="851" w:hanging="491"/>
      </w:pPr>
      <w:r w:rsidRPr="00613151">
        <w:t>materiały i narzędzia do efektywnej optymalizacji kosztów w IT, wartości biznesowej IT, negocjacji z dostawcami, zagadnień licencyjnych;</w:t>
      </w:r>
    </w:p>
    <w:p w14:paraId="5BE9C11A" w14:textId="77777777" w:rsidR="008C4D70" w:rsidRPr="00613151" w:rsidRDefault="008C4D70" w:rsidP="00C91D96">
      <w:pPr>
        <w:pStyle w:val="Akapitzlist"/>
        <w:numPr>
          <w:ilvl w:val="1"/>
          <w:numId w:val="1"/>
        </w:numPr>
        <w:ind w:left="851" w:hanging="491"/>
      </w:pPr>
      <w:r w:rsidRPr="00613151">
        <w:t xml:space="preserve">schematy procesów decyzyjnych w kontekście różnych aspektów zarządczych oraz technologicznych; </w:t>
      </w:r>
    </w:p>
    <w:p w14:paraId="31A1E161" w14:textId="77777777" w:rsidR="008C4D70" w:rsidRPr="00613151" w:rsidRDefault="008C4D70" w:rsidP="00C91D96">
      <w:pPr>
        <w:pStyle w:val="Akapitzlist"/>
        <w:numPr>
          <w:ilvl w:val="1"/>
          <w:numId w:val="1"/>
        </w:numPr>
        <w:ind w:left="851" w:hanging="491"/>
      </w:pPr>
      <w:r w:rsidRPr="00613151">
        <w:t>gotowe ścieżki do budowy rozwiązań technologicznych opartych na dobrych praktykach i autorskich metodykach;</w:t>
      </w:r>
    </w:p>
    <w:p w14:paraId="1A66E5FC" w14:textId="77777777" w:rsidR="00613151" w:rsidRPr="00613151" w:rsidRDefault="00613151" w:rsidP="00C91D96">
      <w:pPr>
        <w:pStyle w:val="Akapitzlist"/>
        <w:numPr>
          <w:ilvl w:val="1"/>
          <w:numId w:val="1"/>
        </w:numPr>
        <w:ind w:left="851" w:hanging="491"/>
      </w:pPr>
      <w:r w:rsidRPr="00613151">
        <w:t>webinary i podcasty.</w:t>
      </w:r>
    </w:p>
    <w:p w14:paraId="6F59CB2A" w14:textId="463D9AA8" w:rsidR="00E13BFB" w:rsidRDefault="009C25DD" w:rsidP="00604685">
      <w:pPr>
        <w:pStyle w:val="Akapitzlist"/>
        <w:numPr>
          <w:ilvl w:val="0"/>
          <w:numId w:val="1"/>
        </w:numPr>
      </w:pPr>
      <w:r w:rsidRPr="009C25DD">
        <w:t>Portal Klienta powinien posiadać następujące funkcjonalności:</w:t>
      </w:r>
    </w:p>
    <w:p w14:paraId="280DF374" w14:textId="77777777" w:rsidR="0036753B" w:rsidRDefault="0036753B" w:rsidP="007D2A37">
      <w:pPr>
        <w:pStyle w:val="Akapitzlist"/>
        <w:numPr>
          <w:ilvl w:val="1"/>
          <w:numId w:val="1"/>
        </w:numPr>
      </w:pPr>
      <w:r>
        <w:t>Portal Klienta powinien pozwalać na wyszukiwanie materiałów i publikacji według następujących kryteriów i filtrów:</w:t>
      </w:r>
    </w:p>
    <w:p w14:paraId="3A4165FC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>w całym dokumencie;</w:t>
      </w:r>
    </w:p>
    <w:p w14:paraId="79F23AE7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>wg. autorów dokumentów;</w:t>
      </w:r>
    </w:p>
    <w:p w14:paraId="5CCA9F43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>w tytule;</w:t>
      </w:r>
    </w:p>
    <w:p w14:paraId="644CA42E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 xml:space="preserve">w podsumowaniu; </w:t>
      </w:r>
    </w:p>
    <w:p w14:paraId="6B43668E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>w tytule i podsumowaniu;</w:t>
      </w:r>
    </w:p>
    <w:p w14:paraId="13C23A5E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>dokumentów opublikowanych w konkretnym zakresie czasowym;</w:t>
      </w:r>
    </w:p>
    <w:p w14:paraId="1D45E777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>konkretnych typów dokumentów/rodzajów badań i narzędzi;</w:t>
      </w:r>
    </w:p>
    <w:p w14:paraId="1DCD865E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>wybranych inicjatyw/wątków tematycznych;</w:t>
      </w:r>
    </w:p>
    <w:p w14:paraId="70A87839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>dokumentów uwzględniających specyfikę branżową;</w:t>
      </w:r>
    </w:p>
    <w:p w14:paraId="0A1905C4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>wg. regionów geograficznych;</w:t>
      </w:r>
    </w:p>
    <w:p w14:paraId="7CFEE8C5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>wg. wielkości przedsiębiorstwa;</w:t>
      </w:r>
    </w:p>
    <w:p w14:paraId="5A34D316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>statusu badania;</w:t>
      </w:r>
    </w:p>
    <w:p w14:paraId="3792E735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>typu badania;</w:t>
      </w:r>
    </w:p>
    <w:p w14:paraId="19BCAB88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>badań dostępnych w zakresie licencji posiadanej przez Użytkownika;</w:t>
      </w:r>
    </w:p>
    <w:p w14:paraId="760D3A9F" w14:textId="77777777" w:rsidR="0036753B" w:rsidRDefault="0036753B" w:rsidP="007D2A37">
      <w:pPr>
        <w:pStyle w:val="Akapitzlist"/>
        <w:numPr>
          <w:ilvl w:val="2"/>
          <w:numId w:val="1"/>
        </w:numPr>
      </w:pPr>
      <w:r>
        <w:t xml:space="preserve">wszystkich opublikowanych badań. </w:t>
      </w:r>
    </w:p>
    <w:p w14:paraId="748EEB22" w14:textId="77777777" w:rsidR="0036753B" w:rsidRDefault="0036753B" w:rsidP="00873DA7">
      <w:pPr>
        <w:pStyle w:val="Akapitzlist"/>
        <w:numPr>
          <w:ilvl w:val="1"/>
          <w:numId w:val="1"/>
        </w:numPr>
      </w:pPr>
      <w:r>
        <w:t>Powinna być możliwość samodzielnego umówienia konsultacji z ekspertem dziedzinowym na określony przez Użytkownika temat, wraz z możliwością dołączenia dokumentu, jeśli Użytkownik będzie zgłaszał potrzebę przeglądu dokumentu.</w:t>
      </w:r>
    </w:p>
    <w:p w14:paraId="29DF5D7B" w14:textId="77777777" w:rsidR="0036753B" w:rsidRDefault="0036753B" w:rsidP="00873DA7">
      <w:pPr>
        <w:pStyle w:val="Akapitzlist"/>
        <w:numPr>
          <w:ilvl w:val="1"/>
          <w:numId w:val="1"/>
        </w:numPr>
      </w:pPr>
      <w:r>
        <w:t>Użytkownik powinien posiadać dostęp do platformy wymiany informacji z innymi użytkownikami usługi; możliwość zadawania zapytań w celu uzyskania informacji np. na temat stosowanych strategii, obiektywnych ocen dostawców technologii itp.</w:t>
      </w:r>
    </w:p>
    <w:p w14:paraId="79120156" w14:textId="77777777" w:rsidR="0036753B" w:rsidRDefault="0036753B" w:rsidP="00873DA7">
      <w:pPr>
        <w:pStyle w:val="Akapitzlist"/>
        <w:numPr>
          <w:ilvl w:val="1"/>
          <w:numId w:val="1"/>
        </w:numPr>
      </w:pPr>
      <w:r>
        <w:t>Użytkownik powinien posiadać dostęp do platformy, na której użytkownicy dzielą się swoimi ocenami produktów i usług dostarczanych przez dostawców technologii, najlepszych praktyk zakupowych i wdrożeniowych.</w:t>
      </w:r>
    </w:p>
    <w:p w14:paraId="42CA2F49" w14:textId="77777777" w:rsidR="0036753B" w:rsidRDefault="0036753B" w:rsidP="00873DA7">
      <w:pPr>
        <w:pStyle w:val="Akapitzlist"/>
        <w:numPr>
          <w:ilvl w:val="1"/>
          <w:numId w:val="1"/>
        </w:numPr>
      </w:pPr>
      <w:r>
        <w:lastRenderedPageBreak/>
        <w:t xml:space="preserve">Powinna być możliwość wyboru tematów, w których Użytkownik będzie otrzymywać powiadomienia i rekomendacje o nowych publikacjach i materiałach według następujących kryteriów: </w:t>
      </w:r>
    </w:p>
    <w:p w14:paraId="6184E4DA" w14:textId="77777777" w:rsidR="0036753B" w:rsidRDefault="0036753B" w:rsidP="00873DA7">
      <w:pPr>
        <w:pStyle w:val="Akapitzlist"/>
        <w:numPr>
          <w:ilvl w:val="2"/>
          <w:numId w:val="1"/>
        </w:numPr>
      </w:pPr>
      <w:r>
        <w:t>Inicjatywa – tematy ważne w wybranej strategicznej inicjatywie IT;</w:t>
      </w:r>
    </w:p>
    <w:p w14:paraId="424C5729" w14:textId="77777777" w:rsidR="0036753B" w:rsidRDefault="0036753B" w:rsidP="00873DA7">
      <w:pPr>
        <w:pStyle w:val="Akapitzlist"/>
        <w:numPr>
          <w:ilvl w:val="2"/>
          <w:numId w:val="1"/>
        </w:numPr>
      </w:pPr>
      <w:r>
        <w:t>Dostawcy – tematy związane z wybranymi dostawcami technologii IT;</w:t>
      </w:r>
    </w:p>
    <w:p w14:paraId="05B8A32E" w14:textId="77777777" w:rsidR="0036753B" w:rsidRDefault="0036753B" w:rsidP="00873DA7">
      <w:pPr>
        <w:pStyle w:val="Akapitzlist"/>
        <w:numPr>
          <w:ilvl w:val="2"/>
          <w:numId w:val="1"/>
        </w:numPr>
      </w:pPr>
      <w:r>
        <w:t>Rynki – wybrane rynki oprogramowania i sprzętu IT;</w:t>
      </w:r>
    </w:p>
    <w:p w14:paraId="1758C2AD" w14:textId="77777777" w:rsidR="0036753B" w:rsidRDefault="0036753B" w:rsidP="00873DA7">
      <w:pPr>
        <w:pStyle w:val="Akapitzlist"/>
        <w:numPr>
          <w:ilvl w:val="2"/>
          <w:numId w:val="1"/>
        </w:numPr>
      </w:pPr>
      <w:r>
        <w:t>Słowa kluczowe – wybrane przez użytkownika słowa kluczowe.</w:t>
      </w:r>
    </w:p>
    <w:p w14:paraId="6E0C9A82" w14:textId="77777777" w:rsidR="00F15ECB" w:rsidRDefault="00F15ECB" w:rsidP="00873DA7">
      <w:pPr>
        <w:pStyle w:val="Akapitzlist"/>
        <w:numPr>
          <w:ilvl w:val="2"/>
          <w:numId w:val="1"/>
        </w:numPr>
      </w:pPr>
      <w:r>
        <w:t>Portal powinien posiadać wbudowane mechanizmy dostosowujące treści sugerowane Użytkownikowi wraz z korzystaniem przez niego z usługi.</w:t>
      </w:r>
    </w:p>
    <w:p w14:paraId="74906E66" w14:textId="77777777" w:rsidR="00F15ECB" w:rsidRDefault="00F15ECB" w:rsidP="00873DA7">
      <w:pPr>
        <w:pStyle w:val="Akapitzlist"/>
        <w:numPr>
          <w:ilvl w:val="2"/>
          <w:numId w:val="1"/>
        </w:numPr>
      </w:pPr>
      <w:r>
        <w:t>Użytkownik powinien posiadać dostęp do bazy wiedzy także przez aplikację mobilną:</w:t>
      </w:r>
    </w:p>
    <w:p w14:paraId="63E844F3" w14:textId="77777777" w:rsidR="00F15ECB" w:rsidRDefault="00F15ECB" w:rsidP="00873DA7">
      <w:pPr>
        <w:pStyle w:val="Akapitzlist"/>
        <w:numPr>
          <w:ilvl w:val="2"/>
          <w:numId w:val="1"/>
        </w:numPr>
      </w:pPr>
      <w:r>
        <w:t>Aplikacja mobilna powinna być natywną aplikacją na urządzenia mobilne stworzoną dla systemów iOS i Android, dostępną w publicznych sklepach z aplikacjami producentów ww. urządzeń/systemów operacyjnych (App Store i Google Play) bez dodatkowych opłat;</w:t>
      </w:r>
    </w:p>
    <w:p w14:paraId="60AA0EE5" w14:textId="77777777" w:rsidR="00F15ECB" w:rsidRDefault="00F15ECB" w:rsidP="00873DA7">
      <w:pPr>
        <w:pStyle w:val="Akapitzlist"/>
        <w:numPr>
          <w:ilvl w:val="2"/>
          <w:numId w:val="1"/>
        </w:numPr>
      </w:pPr>
      <w:r>
        <w:t>Dostęp do bazy wiedzy przez aplikację mobilną autoryzowany powinien być na podstawie loginu i hasła używanego w Portalu Klienta;</w:t>
      </w:r>
    </w:p>
    <w:p w14:paraId="770A4141" w14:textId="77777777" w:rsidR="00F15ECB" w:rsidRDefault="00F15ECB" w:rsidP="00873DA7">
      <w:pPr>
        <w:pStyle w:val="Akapitzlist"/>
        <w:numPr>
          <w:ilvl w:val="2"/>
          <w:numId w:val="1"/>
        </w:numPr>
      </w:pPr>
      <w:r>
        <w:t>Aplikacja mobilna powinna synchronizować się z profilem Użytkownika w Portalu Klienta w celu zapewnienia ciągłości dostępu. Powinna pozwalać Użytkownikowi na wyświetlanie spersonalizowanego przeglądu najnowszych badań w oparciu o jego ostatnią aktywność, profil i tematy, które śledzi. Użytkownik powinien móc przeglądać, wyszukiwać, czytać i słuchać opublikowanych badań oraz zapisywać je do przeglądania w trybie offline oraz otrzymywać powiadomienia o rekomendacjach opartych na ich priorytetach i zainteresowaniach.</w:t>
      </w:r>
    </w:p>
    <w:p w14:paraId="2254674F" w14:textId="1225594F" w:rsidR="009C25DD" w:rsidRDefault="005748D4" w:rsidP="00604685">
      <w:pPr>
        <w:pStyle w:val="Akapitzlist"/>
        <w:numPr>
          <w:ilvl w:val="0"/>
          <w:numId w:val="1"/>
        </w:numPr>
      </w:pPr>
      <w:r w:rsidRPr="005748D4">
        <w:t>W zależności od poziomu dostępu Użytkownik powinien mieć dostęp do konsultacji eksperckich. Konsultacje powinny:</w:t>
      </w:r>
    </w:p>
    <w:p w14:paraId="2D5DBC13" w14:textId="77777777" w:rsidR="00D4743B" w:rsidRDefault="00D4743B" w:rsidP="00D4743B">
      <w:pPr>
        <w:pStyle w:val="Akapitzlist"/>
        <w:numPr>
          <w:ilvl w:val="1"/>
          <w:numId w:val="1"/>
        </w:numPr>
      </w:pPr>
      <w:r>
        <w:t>Być prowadzone w sposób zdalny realizowany za pomocą narzędzi teleinformatycznych umożliwiających komunikację interpersonalną za pomocą sieci Internet w języku polskim lub angielskim;</w:t>
      </w:r>
    </w:p>
    <w:p w14:paraId="0004E798" w14:textId="77777777" w:rsidR="00D4743B" w:rsidRDefault="00D4743B" w:rsidP="00D4743B">
      <w:pPr>
        <w:pStyle w:val="Akapitzlist"/>
        <w:numPr>
          <w:ilvl w:val="1"/>
          <w:numId w:val="1"/>
        </w:numPr>
      </w:pPr>
      <w:r>
        <w:t>W ramach licencji dla kadry zarządzającej powinny trwać minimum 30 minut, w ramach licencji dla kadry technicznej – minimum 60 minut;</w:t>
      </w:r>
    </w:p>
    <w:p w14:paraId="573558A8" w14:textId="77777777" w:rsidR="00D4743B" w:rsidRDefault="00D4743B" w:rsidP="00D4743B">
      <w:pPr>
        <w:pStyle w:val="Akapitzlist"/>
        <w:numPr>
          <w:ilvl w:val="1"/>
          <w:numId w:val="1"/>
        </w:numPr>
      </w:pPr>
      <w:r>
        <w:t>Być nieograniczone w liczbie spotkań w trakcie trwania umowy;</w:t>
      </w:r>
    </w:p>
    <w:p w14:paraId="349705D7" w14:textId="77777777" w:rsidR="00D4743B" w:rsidRDefault="00D4743B" w:rsidP="00D4743B">
      <w:pPr>
        <w:pStyle w:val="Akapitzlist"/>
        <w:numPr>
          <w:ilvl w:val="1"/>
          <w:numId w:val="1"/>
        </w:numPr>
      </w:pPr>
      <w:r>
        <w:t>Mieć także formę przeglądu i analizy dokumentów dostarczonych przez Użytkownika;</w:t>
      </w:r>
    </w:p>
    <w:p w14:paraId="20C7E485" w14:textId="77777777" w:rsidR="00D4743B" w:rsidRDefault="00D4743B" w:rsidP="00D4743B">
      <w:pPr>
        <w:pStyle w:val="Akapitzlist"/>
        <w:numPr>
          <w:ilvl w:val="2"/>
          <w:numId w:val="1"/>
        </w:numPr>
      </w:pPr>
      <w:r>
        <w:t>Całkowita liczba ekspertów badawczych dostępnych dla użytkownika powinna wynosić minimum 1200;</w:t>
      </w:r>
    </w:p>
    <w:p w14:paraId="5368AFB7" w14:textId="3D168E40" w:rsidR="005748D4" w:rsidRDefault="00F67A56" w:rsidP="00604685">
      <w:pPr>
        <w:pStyle w:val="Akapitzlist"/>
        <w:numPr>
          <w:ilvl w:val="0"/>
          <w:numId w:val="1"/>
        </w:numPr>
      </w:pPr>
      <w:r w:rsidRPr="00F67A56">
        <w:t>Szczegółowy opis uprawnień Użytkowników:</w:t>
      </w:r>
    </w:p>
    <w:p w14:paraId="52D598BE" w14:textId="2508714B" w:rsidR="00263D47" w:rsidRDefault="00263D47" w:rsidP="00BE7667">
      <w:pPr>
        <w:pStyle w:val="Akapitzlist"/>
        <w:numPr>
          <w:ilvl w:val="1"/>
          <w:numId w:val="1"/>
        </w:numPr>
      </w:pPr>
      <w:r>
        <w:t xml:space="preserve">Serwis dla Użytkownika poziomu </w:t>
      </w:r>
      <w:r w:rsidR="00FF0B97">
        <w:t xml:space="preserve">II </w:t>
      </w:r>
      <w:r w:rsidR="00DF3CB0">
        <w:t>.</w:t>
      </w:r>
    </w:p>
    <w:p w14:paraId="67519D25" w14:textId="4FEF08D0" w:rsidR="00263D47" w:rsidRDefault="00263D47" w:rsidP="00B74A50">
      <w:pPr>
        <w:pStyle w:val="Akapitzlist"/>
        <w:numPr>
          <w:ilvl w:val="2"/>
          <w:numId w:val="1"/>
        </w:numPr>
      </w:pPr>
      <w:r>
        <w:t>Serwis dla Użytkownika poziomu I</w:t>
      </w:r>
      <w:r w:rsidR="00DF3CB0">
        <w:t>I</w:t>
      </w:r>
      <w:r>
        <w:t xml:space="preserve"> powinien zapewnić dostęp do badań i wsparcie doradcze co najmniej w następującym zakresie:</w:t>
      </w:r>
    </w:p>
    <w:p w14:paraId="41067267" w14:textId="77777777" w:rsidR="00263D47" w:rsidRDefault="00263D47" w:rsidP="00B74A50">
      <w:pPr>
        <w:pStyle w:val="Akapitzlist"/>
        <w:numPr>
          <w:ilvl w:val="3"/>
          <w:numId w:val="1"/>
        </w:numPr>
      </w:pPr>
      <w:r>
        <w:t>Rozwiązania z zakresu analityki, Business Intelligence i Data Science;</w:t>
      </w:r>
    </w:p>
    <w:p w14:paraId="2F5FAAB7" w14:textId="77777777" w:rsidR="00263D47" w:rsidRDefault="00263D47" w:rsidP="00B74A50">
      <w:pPr>
        <w:pStyle w:val="Akapitzlist"/>
        <w:numPr>
          <w:ilvl w:val="3"/>
          <w:numId w:val="1"/>
        </w:numPr>
      </w:pPr>
      <w:r>
        <w:t>Sztucznej inteligencji;</w:t>
      </w:r>
    </w:p>
    <w:p w14:paraId="04250B65" w14:textId="0E87BE73" w:rsidR="00263D47" w:rsidRDefault="00263D47" w:rsidP="00B74A50">
      <w:pPr>
        <w:pStyle w:val="Akapitzlist"/>
        <w:numPr>
          <w:ilvl w:val="3"/>
          <w:numId w:val="1"/>
        </w:numPr>
      </w:pPr>
      <w:r>
        <w:t xml:space="preserve">Rozwoju kierownictwa </w:t>
      </w:r>
      <w:r w:rsidR="00723A3A">
        <w:t>CEO</w:t>
      </w:r>
      <w:r>
        <w:t>;</w:t>
      </w:r>
    </w:p>
    <w:p w14:paraId="1C32DE29" w14:textId="111A6211" w:rsidR="00263D47" w:rsidRDefault="00263D47" w:rsidP="00B74A50">
      <w:pPr>
        <w:pStyle w:val="Akapitzlist"/>
        <w:numPr>
          <w:ilvl w:val="3"/>
          <w:numId w:val="1"/>
        </w:numPr>
      </w:pPr>
      <w:r>
        <w:t xml:space="preserve">Wpływu </w:t>
      </w:r>
      <w:r w:rsidR="00723A3A">
        <w:t>CEO</w:t>
      </w:r>
      <w:r>
        <w:t xml:space="preserve"> na strategię i realizację biznesu cyfrowego;</w:t>
      </w:r>
    </w:p>
    <w:p w14:paraId="242D6F99" w14:textId="6F14AFA8" w:rsidR="002961DC" w:rsidRDefault="002961DC" w:rsidP="00B74A50">
      <w:pPr>
        <w:pStyle w:val="Akapitzlist"/>
        <w:numPr>
          <w:ilvl w:val="3"/>
          <w:numId w:val="1"/>
        </w:numPr>
      </w:pPr>
      <w:r>
        <w:t xml:space="preserve">Przywództwa </w:t>
      </w:r>
      <w:r w:rsidR="00723A3A">
        <w:t>CEO</w:t>
      </w:r>
      <w:r>
        <w:t xml:space="preserve"> w zakresie kultury i ludzi;</w:t>
      </w:r>
    </w:p>
    <w:p w14:paraId="7E1F177F" w14:textId="3F67CFBC" w:rsidR="002961DC" w:rsidRDefault="002961DC" w:rsidP="00B74A50">
      <w:pPr>
        <w:pStyle w:val="Akapitzlist"/>
        <w:numPr>
          <w:ilvl w:val="3"/>
          <w:numId w:val="1"/>
        </w:numPr>
      </w:pPr>
      <w:r>
        <w:t xml:space="preserve">Przywództwa </w:t>
      </w:r>
      <w:r w:rsidR="00723A3A">
        <w:t>CEO</w:t>
      </w:r>
      <w:r w:rsidR="00723A3A">
        <w:t xml:space="preserve"> </w:t>
      </w:r>
      <w:r>
        <w:t>w zakresie technologii i innowacji;</w:t>
      </w:r>
    </w:p>
    <w:p w14:paraId="09D56374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Strategii CRM i doświadczenia klienta;</w:t>
      </w:r>
    </w:p>
    <w:p w14:paraId="5A552232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Communication Service Provider Transformacji cyfrowej i innowacji;</w:t>
      </w:r>
    </w:p>
    <w:p w14:paraId="0F0DB5D4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Technologii obsługi i wsparcia klienta;</w:t>
      </w:r>
    </w:p>
    <w:p w14:paraId="1C053B71" w14:textId="77777777" w:rsidR="002961DC" w:rsidRDefault="002961DC" w:rsidP="00B74A50">
      <w:pPr>
        <w:pStyle w:val="Akapitzlist"/>
        <w:numPr>
          <w:ilvl w:val="3"/>
          <w:numId w:val="1"/>
        </w:numPr>
      </w:pPr>
      <w:r>
        <w:lastRenderedPageBreak/>
        <w:t>Ryzyka cybernetycznego;</w:t>
      </w:r>
    </w:p>
    <w:p w14:paraId="0FC62516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Programu i praktyki dotyczącej danych i analizy;</w:t>
      </w:r>
    </w:p>
    <w:p w14:paraId="3F8977F6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Inicjatywy zmian w biznesie cyfrowym;</w:t>
      </w:r>
    </w:p>
    <w:p w14:paraId="17CBF056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Strategii i planu cyfrowego biznesu;</w:t>
      </w:r>
    </w:p>
    <w:p w14:paraId="05CFD02A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Technologii handlu cyfrowego i sprzedaży CRM;</w:t>
      </w:r>
    </w:p>
    <w:p w14:paraId="10718239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Cyfrowej przyszłość;</w:t>
      </w:r>
    </w:p>
    <w:p w14:paraId="6D9D8990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Cyfrowej innowacji i funkcji wspierania;</w:t>
      </w:r>
    </w:p>
    <w:p w14:paraId="4FB356BE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Cyfrowych produktów i usług;</w:t>
      </w:r>
    </w:p>
    <w:p w14:paraId="2E139390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Cyfrowych aplikacji w miejscu pracy;</w:t>
      </w:r>
    </w:p>
    <w:p w14:paraId="4010BB4D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Edukacji Cyfrowej transformacji i innowacji;</w:t>
      </w:r>
    </w:p>
    <w:p w14:paraId="5CEE5775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Optymalizacji i modernizacji technologii edukacyjnych;</w:t>
      </w:r>
    </w:p>
    <w:p w14:paraId="3E9DFF37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Oceny i wyboru aplikacji dla przedsiębiorstw;</w:t>
      </w:r>
    </w:p>
    <w:p w14:paraId="4E54C768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Wdrażania i dostarczania aplikacji dla przedsiębiorstw;</w:t>
      </w:r>
    </w:p>
    <w:p w14:paraId="2572C63C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Eksploatacji i rozwoju aplikacji korporacyjnych;</w:t>
      </w:r>
    </w:p>
    <w:p w14:paraId="3F2BC363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Strategii aplikacji korporacyjnych;</w:t>
      </w:r>
    </w:p>
    <w:p w14:paraId="0CF393C5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Funkcji architektury korporacyjnej;</w:t>
      </w:r>
    </w:p>
    <w:p w14:paraId="7778A822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Wspierania transformacji przedsiębiorstwa;</w:t>
      </w:r>
    </w:p>
    <w:p w14:paraId="6AD709B3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ERP;</w:t>
      </w:r>
    </w:p>
    <w:p w14:paraId="569C00DA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Innowacji cyfrowej i modernizacji aplikacji w sektorach rządowych;</w:t>
      </w:r>
    </w:p>
    <w:p w14:paraId="39D98988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Innowacji cyfrowej i modernizacji aplikacji w skali całego rządu;</w:t>
      </w:r>
    </w:p>
    <w:p w14:paraId="697DF42E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Strategia, transformacja i zarządzanie technologią HR</w:t>
      </w:r>
    </w:p>
    <w:p w14:paraId="200D7762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Zarządzanie operacyjne I&amp;O</w:t>
      </w:r>
    </w:p>
    <w:p w14:paraId="3FA9A8F1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Strategia organizacyjna I&amp;O</w:t>
      </w:r>
    </w:p>
    <w:p w14:paraId="6AC3042F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Platformy I&amp;O</w:t>
      </w:r>
    </w:p>
    <w:p w14:paraId="568468B9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Zarządzanie tożsamością i dostępem oraz wykrywanie oszustw</w:t>
      </w:r>
    </w:p>
    <w:p w14:paraId="30B25F65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Bezpieczeństwo infrastruktury</w:t>
      </w:r>
    </w:p>
    <w:p w14:paraId="46026588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Negocjacje kontraktów IT</w:t>
      </w:r>
    </w:p>
    <w:p w14:paraId="64FDE2F4" w14:textId="77777777" w:rsidR="002961DC" w:rsidRDefault="002961DC" w:rsidP="00B74A50">
      <w:pPr>
        <w:pStyle w:val="Akapitzlist"/>
        <w:numPr>
          <w:ilvl w:val="3"/>
          <w:numId w:val="1"/>
        </w:numPr>
      </w:pPr>
      <w:r>
        <w:t>Opracowanie i realizacja strategii zaopatrzenia IT</w:t>
      </w:r>
    </w:p>
    <w:p w14:paraId="12D08187" w14:textId="77777777" w:rsidR="0015255C" w:rsidRDefault="0015255C" w:rsidP="00B74A50">
      <w:pPr>
        <w:pStyle w:val="Akapitzlist"/>
        <w:numPr>
          <w:ilvl w:val="3"/>
          <w:numId w:val="1"/>
        </w:numPr>
      </w:pPr>
      <w:r>
        <w:t>Model operacyjny pozyskiwania, zamawiania i zarządzania dostawcami IT</w:t>
      </w:r>
    </w:p>
    <w:p w14:paraId="6405E332" w14:textId="77777777" w:rsidR="0015255C" w:rsidRDefault="0015255C" w:rsidP="00B74A50">
      <w:pPr>
        <w:pStyle w:val="Akapitzlist"/>
        <w:numPr>
          <w:ilvl w:val="3"/>
          <w:numId w:val="1"/>
        </w:numPr>
      </w:pPr>
      <w:r>
        <w:t>Zarządzanie ekosystemami dostawców IT</w:t>
      </w:r>
    </w:p>
    <w:p w14:paraId="50E9D61F" w14:textId="77777777" w:rsidR="0015255C" w:rsidRDefault="0015255C" w:rsidP="00B74A50">
      <w:pPr>
        <w:pStyle w:val="Akapitzlist"/>
        <w:numPr>
          <w:ilvl w:val="3"/>
          <w:numId w:val="1"/>
        </w:numPr>
      </w:pPr>
      <w:r>
        <w:t>Aplikacje związane z zaopatrzeniem i pozyskiwaniem strategicznym</w:t>
      </w:r>
    </w:p>
    <w:p w14:paraId="35C83EC0" w14:textId="77777777" w:rsidR="0015255C" w:rsidRDefault="0015255C" w:rsidP="00B74A50">
      <w:pPr>
        <w:pStyle w:val="Akapitzlist"/>
        <w:numPr>
          <w:ilvl w:val="3"/>
          <w:numId w:val="1"/>
        </w:numPr>
      </w:pPr>
      <w:r>
        <w:t>Bezpieczeństwo aplikacji i danych</w:t>
      </w:r>
    </w:p>
    <w:p w14:paraId="5E1C1D45" w14:textId="77777777" w:rsidR="0015255C" w:rsidRDefault="0015255C" w:rsidP="00B74A50">
      <w:pPr>
        <w:pStyle w:val="Akapitzlist"/>
        <w:numPr>
          <w:ilvl w:val="3"/>
          <w:numId w:val="1"/>
        </w:numPr>
      </w:pPr>
      <w:r>
        <w:t>Operacje bezpieczeństwa</w:t>
      </w:r>
    </w:p>
    <w:p w14:paraId="779BD1E1" w14:textId="77777777" w:rsidR="0015255C" w:rsidRDefault="0015255C" w:rsidP="00B74A50">
      <w:pPr>
        <w:pStyle w:val="Akapitzlist"/>
        <w:numPr>
          <w:ilvl w:val="3"/>
          <w:numId w:val="1"/>
        </w:numPr>
      </w:pPr>
      <w:r>
        <w:t>Przywództwo w inżynierii oprogramowania</w:t>
      </w:r>
    </w:p>
    <w:p w14:paraId="2FCFA192" w14:textId="77777777" w:rsidR="0015255C" w:rsidRDefault="0015255C" w:rsidP="00B74A50">
      <w:pPr>
        <w:pStyle w:val="Akapitzlist"/>
        <w:numPr>
          <w:ilvl w:val="3"/>
          <w:numId w:val="1"/>
        </w:numPr>
      </w:pPr>
      <w:r>
        <w:t>Praktyki inżynierii oprogramowania</w:t>
      </w:r>
    </w:p>
    <w:p w14:paraId="4B762931" w14:textId="77777777" w:rsidR="0015255C" w:rsidRDefault="0015255C" w:rsidP="00B74A50">
      <w:pPr>
        <w:pStyle w:val="Akapitzlist"/>
        <w:numPr>
          <w:ilvl w:val="3"/>
          <w:numId w:val="1"/>
        </w:numPr>
      </w:pPr>
      <w:r>
        <w:t>Technologie inżynierii oprogramowania</w:t>
      </w:r>
    </w:p>
    <w:p w14:paraId="0F171DC3" w14:textId="77777777" w:rsidR="0015255C" w:rsidRDefault="0015255C" w:rsidP="00B74A50">
      <w:pPr>
        <w:pStyle w:val="Akapitzlist"/>
        <w:numPr>
          <w:ilvl w:val="3"/>
          <w:numId w:val="1"/>
        </w:numPr>
      </w:pPr>
      <w:r>
        <w:t>Zakupy i zamówienia</w:t>
      </w:r>
    </w:p>
    <w:p w14:paraId="04DD76F8" w14:textId="77777777" w:rsidR="0015255C" w:rsidRDefault="0015255C" w:rsidP="00B74A50">
      <w:pPr>
        <w:pStyle w:val="Akapitzlist"/>
        <w:numPr>
          <w:ilvl w:val="3"/>
          <w:numId w:val="1"/>
        </w:numPr>
      </w:pPr>
      <w:r>
        <w:t>Zarządzanie portfelem strategicznym</w:t>
      </w:r>
    </w:p>
    <w:p w14:paraId="3F29B341" w14:textId="77777777" w:rsidR="0015255C" w:rsidRDefault="0015255C" w:rsidP="00B74A50">
      <w:pPr>
        <w:pStyle w:val="Akapitzlist"/>
        <w:numPr>
          <w:ilvl w:val="3"/>
          <w:numId w:val="1"/>
        </w:numPr>
      </w:pPr>
      <w:r>
        <w:t>Finanse technologii, zarządzanie ryzykiem i wartością.</w:t>
      </w:r>
    </w:p>
    <w:p w14:paraId="5FDDF965" w14:textId="5365D896" w:rsidR="002C6D1F" w:rsidRPr="002C6D1F" w:rsidRDefault="002C6D1F" w:rsidP="005C28AF">
      <w:pPr>
        <w:pStyle w:val="Akapitzlist"/>
        <w:numPr>
          <w:ilvl w:val="2"/>
          <w:numId w:val="1"/>
        </w:numPr>
      </w:pPr>
      <w:r w:rsidRPr="002C6D1F">
        <w:t>Serwis dla Użytkownika poziomu I</w:t>
      </w:r>
      <w:r w:rsidR="00EF6F41">
        <w:t>I</w:t>
      </w:r>
      <w:r w:rsidRPr="002C6D1F">
        <w:t xml:space="preserve"> powinien zapewnić:</w:t>
      </w:r>
    </w:p>
    <w:p w14:paraId="0D180C25" w14:textId="77777777" w:rsidR="00456F60" w:rsidRDefault="00456F60" w:rsidP="00D11725">
      <w:pPr>
        <w:pStyle w:val="Akapitzlist"/>
        <w:numPr>
          <w:ilvl w:val="3"/>
          <w:numId w:val="1"/>
        </w:numPr>
      </w:pPr>
      <w:r>
        <w:t>Zespół Dostarczania Usług - Do obowiązków Zespołu powinna należeć rejestracja i monitoring działań w ramach usługi oraz współdziałanie w zakresie okresowej oceny współpracy i wdrażania ewentualnych działań przez cały okres trwania umowy.</w:t>
      </w:r>
    </w:p>
    <w:p w14:paraId="6E969A2A" w14:textId="5D6E4ADD" w:rsidR="00456F60" w:rsidRDefault="00456F60" w:rsidP="00D11725">
      <w:pPr>
        <w:pStyle w:val="Akapitzlist"/>
        <w:numPr>
          <w:ilvl w:val="3"/>
          <w:numId w:val="1"/>
        </w:numPr>
      </w:pPr>
      <w:r>
        <w:t>W ramach poziomu I</w:t>
      </w:r>
      <w:r w:rsidR="00727071">
        <w:t>I</w:t>
      </w:r>
      <w:r>
        <w:t xml:space="preserve"> Użytkownik powinien mieć dostęp do:</w:t>
      </w:r>
    </w:p>
    <w:p w14:paraId="22A53C57" w14:textId="77777777" w:rsidR="00456F60" w:rsidRDefault="00456F60" w:rsidP="00D11725">
      <w:pPr>
        <w:pStyle w:val="Akapitzlist"/>
        <w:numPr>
          <w:ilvl w:val="4"/>
          <w:numId w:val="1"/>
        </w:numPr>
      </w:pPr>
      <w:r>
        <w:t xml:space="preserve">Specjalisty ds. usług - specjalisty usługowego, który powinien pomagać Użytkownikowi objaśniać uprawnienia dotyczące jego usługi </w:t>
      </w:r>
      <w:r>
        <w:lastRenderedPageBreak/>
        <w:t xml:space="preserve">oraz wspierać skoordynowane podejście do usługi dla Użytkowników oraz współpracę między Użytkownikami. </w:t>
      </w:r>
    </w:p>
    <w:p w14:paraId="38088B7B" w14:textId="77777777" w:rsidR="00456F60" w:rsidRDefault="00456F60" w:rsidP="00D11725">
      <w:pPr>
        <w:pStyle w:val="Akapitzlist"/>
        <w:numPr>
          <w:ilvl w:val="4"/>
          <w:numId w:val="1"/>
        </w:numPr>
      </w:pPr>
      <w:r>
        <w:t>Opiekuna Użytkownika – specjalisty, którego rolą powinna być dbałość o realizację usługi zgodnie z umową oraz okresowa ocena skuteczności współpracy oraz wdrażanie ewentualnych działań korygujących. Opiekun Użytkownika powinien pełnić funkcję głównej osoby do kontaktu w zakresie efektywnego użycia usługi oraz spraw formalnych.</w:t>
      </w:r>
    </w:p>
    <w:p w14:paraId="3ADBB82A" w14:textId="77777777" w:rsidR="00456F60" w:rsidRDefault="00456F60" w:rsidP="00D11725">
      <w:pPr>
        <w:pStyle w:val="Akapitzlist"/>
        <w:numPr>
          <w:ilvl w:val="4"/>
          <w:numId w:val="1"/>
        </w:numPr>
      </w:pPr>
      <w:r>
        <w:t>Konsultacji z ekspertami - nieograniczone co do liczby konsultacje z ekspertami Wykonawcy w formie minimum 30-minutowych telekonferencji.</w:t>
      </w:r>
    </w:p>
    <w:p w14:paraId="1A34EBDE" w14:textId="36E8AE58" w:rsidR="00456F60" w:rsidRDefault="00456F60" w:rsidP="00E72FDF">
      <w:pPr>
        <w:pStyle w:val="Akapitzlist"/>
        <w:numPr>
          <w:ilvl w:val="3"/>
          <w:numId w:val="1"/>
        </w:numPr>
      </w:pPr>
      <w:r>
        <w:t xml:space="preserve">Miesięczne interakcje z przedstawicielem Wykonawcy - </w:t>
      </w:r>
      <w:r w:rsidR="00FE4D24" w:rsidRPr="00FE4D24">
        <w:t>Użytkownik powinien oczekiwać comiesięcznych interakcji z przedstawicielem Wykonawcy, aby zapewnić stałe zaangażowanie i ciągłe dostarczanie wartości. Interakcje te powinny mieć formę spotkań strategicznych, interakcji z analitykami, lokalnych wydarzeń, uczestnictwa w sympozjach, interakcji w ramach sieci klientów Wykonawcy, telekonferencji lub spotkań z Opiekunem i/lub ekspertami.</w:t>
      </w:r>
      <w:r>
        <w:t>.</w:t>
      </w:r>
    </w:p>
    <w:p w14:paraId="7B49577F" w14:textId="3B084DDC" w:rsidR="00456F60" w:rsidRDefault="00CE7683" w:rsidP="00D11725">
      <w:pPr>
        <w:pStyle w:val="Akapitzlist"/>
        <w:numPr>
          <w:ilvl w:val="3"/>
          <w:numId w:val="1"/>
        </w:numPr>
      </w:pPr>
      <w:r w:rsidRPr="00CE7683">
        <w:t>Badania biznesowe i związane z nimi treści - przeznaczone dla Użytkownika poziomu II badania i treści powinny obejmować podcasty, mapy drogowe, zestawy narzędzi i wyniki badań. Dostęp do treści stron trzecich, takich jak artykuły Harvard Business Review i inne raporty informacyjne, powinny być wybierane i udostępniane w oparciu o aktualne zagadnienia mające wpływ na CEO i ich organizacje</w:t>
      </w:r>
      <w:r w:rsidR="00456F60">
        <w:t>.</w:t>
      </w:r>
    </w:p>
    <w:p w14:paraId="11F86599" w14:textId="42326387" w:rsidR="004C517E" w:rsidRDefault="004C517E" w:rsidP="00D11725">
      <w:pPr>
        <w:pStyle w:val="Akapitzlist"/>
        <w:numPr>
          <w:ilvl w:val="3"/>
          <w:numId w:val="1"/>
        </w:numPr>
      </w:pPr>
      <w:r w:rsidRPr="004C517E">
        <w:t>Badania dla Liderów IT - badania podstawowe dotyczące IT i poszczególnych ról w IT, narzędzia diagnostyczne, szablony i studia przypadków, cotygodniowe, wybrane przez analityków kluczowe informacje ze świata IT oraz webinaria z udziałem ekspertów Wykonawcy</w:t>
      </w:r>
    </w:p>
    <w:p w14:paraId="40AF8DC4" w14:textId="77777777" w:rsidR="006F50E8" w:rsidRDefault="006F50E8" w:rsidP="00D11725">
      <w:pPr>
        <w:pStyle w:val="Akapitzlist"/>
        <w:numPr>
          <w:ilvl w:val="3"/>
          <w:numId w:val="1"/>
        </w:numPr>
      </w:pPr>
      <w:r>
        <w:t>Badania Sektorowe - badania, które powinny dostarczać analizy i porad dotyczących kluczowych zagadnień w sektorze rządowym.</w:t>
      </w:r>
    </w:p>
    <w:p w14:paraId="29DE7364" w14:textId="77777777" w:rsidR="006F50E8" w:rsidRDefault="006F50E8" w:rsidP="00D11725">
      <w:pPr>
        <w:pStyle w:val="Akapitzlist"/>
        <w:numPr>
          <w:ilvl w:val="3"/>
          <w:numId w:val="1"/>
        </w:numPr>
      </w:pPr>
      <w:r>
        <w:t>Autorskich metodologii badawczych Wykonawcy – powinien być dostęp do wiedzy dotyczącej technologii dostarczanej poprzez połączenie modeli badawczych, wiedzy pochodzącej od praktyków oraz danych pozyskiwanych przez ekspertów Wykonawcy, w tym:</w:t>
      </w:r>
    </w:p>
    <w:p w14:paraId="55FD9F57" w14:textId="77777777" w:rsidR="006F50E8" w:rsidRDefault="006F50E8" w:rsidP="00D11725">
      <w:pPr>
        <w:pStyle w:val="Akapitzlist"/>
        <w:numPr>
          <w:ilvl w:val="4"/>
          <w:numId w:val="1"/>
        </w:numPr>
      </w:pPr>
      <w:r>
        <w:t>Minimum 2 000 badań jakościowych – dojrzałość vs kierunki rozwoju, zapewniające bezstronną ocenę tego, jak dobrze konkurencyjni dostawcy radzą sobie w porównaniu z rynkiem, a także uzupełnione o zweryfikowane recenzje użytkowników. Badania oprócz formy tekstowej powinny mieć też interaktywną formę on-line, która powinna zapewnić Użytkownikowi możliwość dostosowania kryteriów oceny przydatności dostawców do własnych potrzeb.</w:t>
      </w:r>
    </w:p>
    <w:p w14:paraId="7DD6A88A" w14:textId="77777777" w:rsidR="006F50E8" w:rsidRDefault="006F50E8" w:rsidP="00D11725">
      <w:pPr>
        <w:pStyle w:val="Akapitzlist"/>
        <w:numPr>
          <w:ilvl w:val="4"/>
          <w:numId w:val="1"/>
        </w:numPr>
      </w:pPr>
      <w:r>
        <w:t>Minimum 500 badań opisujących krytyczne funkcjonalności i cechy rozwiązań, zapewniających głębszy wgląd w ofertę produktów i usług dostawców oraz ich ocenę pod kątem typowych scenariuszy Użytkowania przez klientów. Badanie  powinno mieć interaktywną formę online, pozwalającą na dostosowanie kryteriów oceny, wybór scenariusza użytkowania i na tej podstawie stworzenie rankingu dostawców.</w:t>
      </w:r>
    </w:p>
    <w:p w14:paraId="2F0CB177" w14:textId="77777777" w:rsidR="006F50E8" w:rsidRDefault="006F50E8" w:rsidP="00D11725">
      <w:pPr>
        <w:pStyle w:val="Akapitzlist"/>
        <w:numPr>
          <w:ilvl w:val="4"/>
          <w:numId w:val="1"/>
        </w:numPr>
      </w:pPr>
      <w:r>
        <w:lastRenderedPageBreak/>
        <w:t xml:space="preserve">Minimum 1 500 badań, które powinny opisywać cykle koniunkturalne, pokazywać w przystępnej formie graficznej aktualną i prognozowaną dojrzałość i adopcję technologii i aplikacji oraz ich potencjalnego znaczenia dla rozwiązywania rzeczywistych problemów i wykorzystywania nowych możliwości. </w:t>
      </w:r>
    </w:p>
    <w:p w14:paraId="1500FB79" w14:textId="5E97C635" w:rsidR="006F50E8" w:rsidRDefault="006F50E8" w:rsidP="00D11725">
      <w:pPr>
        <w:pStyle w:val="Akapitzlist"/>
        <w:numPr>
          <w:ilvl w:val="4"/>
          <w:numId w:val="1"/>
        </w:numPr>
      </w:pPr>
      <w:r>
        <w:t xml:space="preserve">minimum 1 </w:t>
      </w:r>
      <w:r w:rsidR="00264DC1">
        <w:t>0</w:t>
      </w:r>
      <w:r>
        <w:t>00 przewodników po rynku, które powinny opisywać aktualne trendy, dostawców i istotne atrybuty zarówno bardzo młodych, dojrzałych czy niszowych rynków.</w:t>
      </w:r>
    </w:p>
    <w:p w14:paraId="06EE71E3" w14:textId="3E60FB56" w:rsidR="006F50E8" w:rsidRDefault="006F50E8" w:rsidP="00D11725">
      <w:pPr>
        <w:pStyle w:val="Akapitzlist"/>
        <w:numPr>
          <w:ilvl w:val="4"/>
          <w:numId w:val="1"/>
        </w:numPr>
      </w:pPr>
      <w:r>
        <w:t>minimum 500 rankingów dostawców, które powinny zawierać oceny różnych cech dostawców technologii, takich jak strategia, organizacja, produkty, technologia, marketing, finanse i wsparcie.</w:t>
      </w:r>
    </w:p>
    <w:p w14:paraId="0493B655" w14:textId="77777777" w:rsidR="006F50E8" w:rsidRDefault="006F50E8" w:rsidP="00DA2D6A">
      <w:pPr>
        <w:pStyle w:val="Akapitzlist"/>
        <w:numPr>
          <w:ilvl w:val="3"/>
          <w:numId w:val="1"/>
        </w:numPr>
      </w:pPr>
      <w:r>
        <w:t>Badań Społeczności - dostęp do minimum 5000 dokumentów badawczych, które powinny zawierać najlepsze praktyki, w tym benchmarki, studia przypadków, narzędzia i szablony.</w:t>
      </w:r>
    </w:p>
    <w:p w14:paraId="31C69C71" w14:textId="77777777" w:rsidR="006F50E8" w:rsidRDefault="006F50E8" w:rsidP="00DA2D6A">
      <w:pPr>
        <w:pStyle w:val="Akapitzlist"/>
        <w:numPr>
          <w:ilvl w:val="3"/>
          <w:numId w:val="1"/>
        </w:numPr>
      </w:pPr>
      <w:r>
        <w:t>Podkastów IT - seria podcastów przedstawiająca punkt widzenia ekspertów Wykonawcy na temat priorytetów biznesowych i wyzwań związanych z technologiami informatycznymi.</w:t>
      </w:r>
    </w:p>
    <w:p w14:paraId="2B6C726B" w14:textId="77777777" w:rsidR="006F50E8" w:rsidRDefault="006F50E8" w:rsidP="00DA2D6A">
      <w:pPr>
        <w:pStyle w:val="Akapitzlist"/>
        <w:numPr>
          <w:ilvl w:val="3"/>
          <w:numId w:val="1"/>
        </w:numPr>
      </w:pPr>
      <w:r>
        <w:t>Podsumowań materiałów – powinna być możliwość wygenerowania krótkich podsumowań wybranej publikacji i materiału w postaci prezentacji Powe point, możliwość podzielenia się takim podsumowaniem z innymi, również nielicencjonowanymi osobami z organizacji Użytkownika.</w:t>
      </w:r>
    </w:p>
    <w:p w14:paraId="4FE7CB7D" w14:textId="77777777" w:rsidR="008F1F6F" w:rsidRPr="008F1F6F" w:rsidRDefault="006F50E8" w:rsidP="00DA2D6A">
      <w:pPr>
        <w:pStyle w:val="Akapitzlist"/>
        <w:numPr>
          <w:ilvl w:val="3"/>
          <w:numId w:val="1"/>
        </w:numPr>
      </w:pPr>
      <w:r>
        <w:t>Bilet na Konferencja dla Kadry Zarządzającej IT – bilet na coroczne, trwające co najmniej 3 pełne dni wydarzenie konferencyjne, gromadzące CIO i managerów IT, podczas którego Uczestnicy doskonalą swoje umiejętności przywódcze, weryfikują strategie i</w:t>
      </w:r>
      <w:r w:rsidR="008F1F6F">
        <w:t xml:space="preserve"> </w:t>
      </w:r>
      <w:r w:rsidR="008F1F6F" w:rsidRPr="008F1F6F">
        <w:t xml:space="preserve">odkrywają innowacyjne technologie, które pomogą przyspieszyć cyfrowe inicjatywy biznesowe. Wydarzenie to obejmuje m.in. seminaria na żywo prezentowane przez ekspertów, przemówienia programowe wizjonerów branży, interaktywne sesje indywidualne, dyskusje „okrągłego stołu” z uczestnikami. </w:t>
      </w:r>
    </w:p>
    <w:p w14:paraId="0DBBE825" w14:textId="77777777" w:rsidR="00F63D28" w:rsidRDefault="00F63D28" w:rsidP="00DA2D6A">
      <w:pPr>
        <w:pStyle w:val="Akapitzlist"/>
        <w:numPr>
          <w:ilvl w:val="3"/>
          <w:numId w:val="1"/>
        </w:numPr>
      </w:pPr>
      <w:r>
        <w:t>Interaktywne narzędzie online do samodzielnej oceny oparte na kluczowych wskaźnikach wydajności (KPI) obejmujące ponad 80 KPI, które obiektywnie analizuje, porównuje i komunikuje postępy organizacji w zakresie realizacji inicjatyw cyfrowych. Wyniki tej oceny mogą pomóc w opracowaniu krytycznych planów i potrzeb budżetowych Klienta, pomóc w wewnętrznym dopasowaniu i skoncentrowaniu się na najbardziej krytycznych aspektach realizacji. Klienci mogą wykorzystać te wyniki do porównania swojej organizacji z innymi organizacjami w dziedzinie technologii cyfrowych. Narzędzie jest integralną częścią Portalu Klienta i nie wymaga wykorzystywania zewnętrznych narzędzi, formularzy czy ekspertów.</w:t>
      </w:r>
    </w:p>
    <w:p w14:paraId="7CC57E12" w14:textId="77777777" w:rsidR="00F63D28" w:rsidRDefault="00F63D28" w:rsidP="00DA2D6A">
      <w:pPr>
        <w:pStyle w:val="Akapitzlist"/>
        <w:numPr>
          <w:ilvl w:val="3"/>
          <w:numId w:val="1"/>
        </w:numPr>
      </w:pPr>
      <w:r>
        <w:t xml:space="preserve"> Badania i narzędzia wspierające optymalizację wydatków na IT, a w szczególności:</w:t>
      </w:r>
    </w:p>
    <w:p w14:paraId="3F82864E" w14:textId="77777777" w:rsidR="00F63D28" w:rsidRDefault="00F63D28" w:rsidP="00DA2D6A">
      <w:pPr>
        <w:pStyle w:val="Akapitzlist"/>
        <w:numPr>
          <w:ilvl w:val="4"/>
          <w:numId w:val="1"/>
        </w:numPr>
      </w:pPr>
      <w:r>
        <w:t>Badania i materiały dotyczące optymalizacji kosztów IT, negocjacji z producentami technologii informatycznych, zarządzania dostawcami i procesem zakupowym, zagadnienia licencyjne</w:t>
      </w:r>
    </w:p>
    <w:p w14:paraId="0D672B4A" w14:textId="77777777" w:rsidR="00F63D28" w:rsidRDefault="00F63D28" w:rsidP="00DA2D6A">
      <w:pPr>
        <w:pStyle w:val="Akapitzlist"/>
        <w:numPr>
          <w:ilvl w:val="4"/>
          <w:numId w:val="1"/>
        </w:numPr>
      </w:pPr>
      <w:r>
        <w:t>Eksperci specjalizujący się w tematyce negocjacji z producentami technologii, licencjonowania, którzy podczas konsultacji z klientem mogą dokonywać przeglądu dokumentów, zapisów licencyjnych czy dokonywać benchmark’u cenowego z danymi rynkowymi</w:t>
      </w:r>
    </w:p>
    <w:p w14:paraId="49F47E43" w14:textId="77777777" w:rsidR="00F63D28" w:rsidRDefault="00F63D28" w:rsidP="00DA2D6A">
      <w:pPr>
        <w:pStyle w:val="Akapitzlist"/>
        <w:numPr>
          <w:ilvl w:val="4"/>
          <w:numId w:val="1"/>
        </w:numPr>
      </w:pPr>
      <w:r>
        <w:lastRenderedPageBreak/>
        <w:t xml:space="preserve">Narzędzie on-line do całościowego zarządzania procesem zakupu technologii o następujących cechach: </w:t>
      </w:r>
    </w:p>
    <w:p w14:paraId="439CBC03" w14:textId="77777777" w:rsidR="00F63D28" w:rsidRDefault="00F63D28" w:rsidP="00DA2D6A">
      <w:pPr>
        <w:pStyle w:val="Akapitzlist"/>
        <w:numPr>
          <w:ilvl w:val="5"/>
          <w:numId w:val="1"/>
        </w:numPr>
      </w:pPr>
      <w:r>
        <w:t>pozwala określić cele, ustalić budżet i zaprosić uczestników, jednocześnie monitorując postępy zadań związanych z oceną technologii. Dodatkowi członkowie zespołu nie muszą posiadać licencji, aby wziąć udział w inicjatywie.</w:t>
      </w:r>
    </w:p>
    <w:p w14:paraId="6EE5999A" w14:textId="77777777" w:rsidR="00F63D28" w:rsidRDefault="00F63D28" w:rsidP="00DA2D6A">
      <w:pPr>
        <w:pStyle w:val="Akapitzlist"/>
        <w:numPr>
          <w:ilvl w:val="5"/>
          <w:numId w:val="1"/>
        </w:numPr>
      </w:pPr>
      <w:r>
        <w:t>zapewnia kompleksową listę kontrolną dla każdego krytycznego kamienia milowego lub zadania dla oceny i zakupu technologii. Klienci mogą przypisać właścicieli, ustalić terminy i monitorować postępy według zadań.</w:t>
      </w:r>
    </w:p>
    <w:p w14:paraId="794292F7" w14:textId="77777777" w:rsidR="00F63D28" w:rsidRDefault="00F63D28" w:rsidP="00DA2D6A">
      <w:pPr>
        <w:pStyle w:val="Akapitzlist"/>
        <w:numPr>
          <w:ilvl w:val="5"/>
          <w:numId w:val="1"/>
        </w:numPr>
      </w:pPr>
      <w:r>
        <w:t>wybór dostawców, którzy zostaną włączeni do oceny na bazie badań jakościowych i ocen społeczności z bazy wiedzy lub wybrani przez klienta</w:t>
      </w:r>
    </w:p>
    <w:p w14:paraId="0A0D0ED6" w14:textId="77777777" w:rsidR="00F63D28" w:rsidRDefault="00F63D28" w:rsidP="00DA2D6A">
      <w:pPr>
        <w:pStyle w:val="Akapitzlist"/>
        <w:numPr>
          <w:ilvl w:val="5"/>
          <w:numId w:val="1"/>
        </w:numPr>
      </w:pPr>
      <w:r>
        <w:t>Posiada ponad 100 gotowych szablonów wymagań technicznych i funkcjonalnych dla wybranych grup rozwiązań na rynku lub możliwość tworzenia własnych szablonów</w:t>
      </w:r>
    </w:p>
    <w:p w14:paraId="3EBD35AC" w14:textId="77777777" w:rsidR="00D137CA" w:rsidRPr="00D137CA" w:rsidRDefault="00D137CA" w:rsidP="00DA2D6A">
      <w:pPr>
        <w:pStyle w:val="Akapitzlist"/>
        <w:numPr>
          <w:ilvl w:val="5"/>
          <w:numId w:val="1"/>
        </w:numPr>
      </w:pPr>
      <w:r w:rsidRPr="00D137CA">
        <w:t>narzędzie zapewnia spójny system oceny wykorzystywany do punktowania i porównywania dostawców podczas cyklu oceny, wraz ze szczegółową kartą wyników pokazującą, jak każdy dostawca ocenia się w ramach kryteriów wymagań klienta.</w:t>
      </w:r>
    </w:p>
    <w:p w14:paraId="2573AE92" w14:textId="27666247" w:rsidR="00F67A56" w:rsidRDefault="002261F5" w:rsidP="002261F5">
      <w:r w:rsidRPr="002261F5">
        <w:t>Narzędzie może wygenerować raport z wyboru, który wyjaśnia decyzję, kryteria wyboru i dostawców branych pod uwagę podczas procesu. Raport z wyboru może być wykorzystany do zapewnienia akceptacji ze strony kluczowych interesariuszy w organizacji, maksymalnego zrozumienia procesu oceny i ostatecznie wzbudzenia zaufania do ostatecznej decyzji.</w:t>
      </w:r>
    </w:p>
    <w:p w14:paraId="04311453" w14:textId="77777777" w:rsidR="00AA3A21" w:rsidRDefault="00A266B6" w:rsidP="00A266B6">
      <w:pPr>
        <w:pStyle w:val="Akapitzlist"/>
        <w:numPr>
          <w:ilvl w:val="1"/>
          <w:numId w:val="1"/>
        </w:numPr>
      </w:pPr>
      <w:r>
        <w:t>Serwis informacyjny specjalistów IT</w:t>
      </w:r>
    </w:p>
    <w:p w14:paraId="21ACF2A0" w14:textId="464C9D08" w:rsidR="00412E31" w:rsidRDefault="00A266B6" w:rsidP="00AA3A21">
      <w:pPr>
        <w:pStyle w:val="Akapitzlist"/>
        <w:numPr>
          <w:ilvl w:val="2"/>
          <w:numId w:val="1"/>
        </w:numPr>
      </w:pPr>
      <w:r>
        <w:t>Serwis informacyjny powinien zapewnić Użytkownikom poziomu V samoobsługowy dostęp online do najważniejszych wiadomości z dziedziny IT oraz wybranych badań:</w:t>
      </w:r>
    </w:p>
    <w:p w14:paraId="0C09A160" w14:textId="77777777" w:rsidR="00C37B23" w:rsidRDefault="00C37B23" w:rsidP="00C37B23">
      <w:pPr>
        <w:pStyle w:val="Akapitzlist"/>
        <w:numPr>
          <w:ilvl w:val="3"/>
          <w:numId w:val="1"/>
        </w:numPr>
      </w:pPr>
      <w:r>
        <w:t>internetowy dostęp do badań wybranych przez kluczowych ekspertów Wykonawcy (minimum siedem nowych dokumentów badawczych tygodniowo). Dokumenty powinny być odświeżane co tydzień i dostępne w tygodniu, w którym zostały opublikowane.</w:t>
      </w:r>
    </w:p>
    <w:p w14:paraId="68808C62" w14:textId="77777777" w:rsidR="00C37B23" w:rsidRDefault="00C37B23" w:rsidP="00C37B23">
      <w:pPr>
        <w:pStyle w:val="Akapitzlist"/>
        <w:numPr>
          <w:ilvl w:val="3"/>
          <w:numId w:val="1"/>
        </w:numPr>
      </w:pPr>
      <w:r>
        <w:t>dostęp internetowy do minimum dwóch dokumentów na każdą branżę w miesiącu. Dokumenty powinny być odświeżane co miesiąc i dostępne w miesiącu, w którym są opublikowane.</w:t>
      </w:r>
    </w:p>
    <w:p w14:paraId="26967864" w14:textId="77777777" w:rsidR="00C37B23" w:rsidRDefault="00C37B23" w:rsidP="00C37B23">
      <w:pPr>
        <w:pStyle w:val="Akapitzlist"/>
        <w:numPr>
          <w:ilvl w:val="3"/>
          <w:numId w:val="1"/>
        </w:numPr>
      </w:pPr>
      <w:r>
        <w:t>Dostęp do webinariów, podcastów i blogów prowadzonych przez ekspertów Wykonawcy.</w:t>
      </w:r>
    </w:p>
    <w:p w14:paraId="5D241F8B" w14:textId="759554FD" w:rsidR="00C37B23" w:rsidRPr="000E368B" w:rsidRDefault="00C37B23" w:rsidP="00C37B23">
      <w:pPr>
        <w:pStyle w:val="Akapitzlist"/>
        <w:numPr>
          <w:ilvl w:val="3"/>
          <w:numId w:val="1"/>
        </w:numPr>
      </w:pPr>
      <w:r>
        <w:t>Dostęp do raportów i opinii użytkowników końcowych związanych z wyborem produktu, zakupem, wdrożeniem i bieżącym utrzymaniem.</w:t>
      </w:r>
    </w:p>
    <w:sectPr w:rsidR="00C37B23" w:rsidRPr="000E3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51636E"/>
    <w:multiLevelType w:val="hybridMultilevel"/>
    <w:tmpl w:val="873C9DD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0B2D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5469447">
    <w:abstractNumId w:val="1"/>
  </w:num>
  <w:num w:numId="2" w16cid:durableId="176464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4A"/>
    <w:rsid w:val="000E368B"/>
    <w:rsid w:val="0010543D"/>
    <w:rsid w:val="0014234A"/>
    <w:rsid w:val="0015255C"/>
    <w:rsid w:val="002261F5"/>
    <w:rsid w:val="00263D47"/>
    <w:rsid w:val="00264DC1"/>
    <w:rsid w:val="002961DC"/>
    <w:rsid w:val="002C6D1F"/>
    <w:rsid w:val="00332229"/>
    <w:rsid w:val="0036753B"/>
    <w:rsid w:val="003A32D9"/>
    <w:rsid w:val="00412E31"/>
    <w:rsid w:val="00445BB4"/>
    <w:rsid w:val="00456F60"/>
    <w:rsid w:val="004C517E"/>
    <w:rsid w:val="004F1DD7"/>
    <w:rsid w:val="0055291A"/>
    <w:rsid w:val="005748D4"/>
    <w:rsid w:val="005C28AF"/>
    <w:rsid w:val="00604685"/>
    <w:rsid w:val="00613151"/>
    <w:rsid w:val="006C12FE"/>
    <w:rsid w:val="006F50E8"/>
    <w:rsid w:val="00723A3A"/>
    <w:rsid w:val="00727071"/>
    <w:rsid w:val="007D2A37"/>
    <w:rsid w:val="00873DA7"/>
    <w:rsid w:val="008863DF"/>
    <w:rsid w:val="008C4D70"/>
    <w:rsid w:val="008F1F6F"/>
    <w:rsid w:val="009C25DD"/>
    <w:rsid w:val="00A266B6"/>
    <w:rsid w:val="00AA3A21"/>
    <w:rsid w:val="00B74A50"/>
    <w:rsid w:val="00BD50C1"/>
    <w:rsid w:val="00BE7667"/>
    <w:rsid w:val="00C20F12"/>
    <w:rsid w:val="00C37B23"/>
    <w:rsid w:val="00C44289"/>
    <w:rsid w:val="00C91D96"/>
    <w:rsid w:val="00CE7683"/>
    <w:rsid w:val="00D11725"/>
    <w:rsid w:val="00D137CA"/>
    <w:rsid w:val="00D4743B"/>
    <w:rsid w:val="00DA2D6A"/>
    <w:rsid w:val="00DF3CB0"/>
    <w:rsid w:val="00E13BFB"/>
    <w:rsid w:val="00E72FDF"/>
    <w:rsid w:val="00EF6F41"/>
    <w:rsid w:val="00F15ECB"/>
    <w:rsid w:val="00F63D28"/>
    <w:rsid w:val="00F67A56"/>
    <w:rsid w:val="00FB5FDE"/>
    <w:rsid w:val="00FD4914"/>
    <w:rsid w:val="00FE4D24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7FD1"/>
  <w15:chartTrackingRefBased/>
  <w15:docId w15:val="{6E06BC72-6CC2-45E1-A6B0-644ABC17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2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3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3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2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234A"/>
    <w:rPr>
      <w:i/>
      <w:iCs/>
      <w:color w:val="404040" w:themeColor="text1" w:themeTint="BF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,NOW"/>
    <w:basedOn w:val="Normalny"/>
    <w:link w:val="AkapitzlistZnak"/>
    <w:uiPriority w:val="34"/>
    <w:qFormat/>
    <w:rsid w:val="001423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23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3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234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basedOn w:val="Domylnaczcionkaakapitu"/>
    <w:link w:val="Akapitzlist"/>
    <w:uiPriority w:val="34"/>
    <w:qFormat/>
    <w:rsid w:val="008C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F7A98-380C-484D-B3D2-9553EFB9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2586</Words>
  <Characters>15520</Characters>
  <Application>Microsoft Office Word</Application>
  <DocSecurity>0</DocSecurity>
  <Lines>129</Lines>
  <Paragraphs>36</Paragraphs>
  <ScaleCrop>false</ScaleCrop>
  <Company/>
  <LinksUpToDate>false</LinksUpToDate>
  <CharactersWithSpaces>18070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Ptaszyński Krzysztof</dc:creator>
  <cp:keywords/>
  <dc:description/>
  <cp:lastModifiedBy>Ptaszyński Krzysztof</cp:lastModifiedBy>
  <cp:revision>53</cp:revision>
  <dcterms:created xsi:type="dcterms:W3CDTF">2024-07-10T19:49:00Z</dcterms:created>
  <dcterms:modified xsi:type="dcterms:W3CDTF">2024-07-12T13:18:00Z</dcterms:modified>
</cp:coreProperties>
</file>