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4C0E4" w14:textId="441B05FC" w:rsidR="002C68CC" w:rsidRPr="00733C6B" w:rsidRDefault="002C68CC" w:rsidP="00336DF1">
      <w:pPr>
        <w:autoSpaceDE w:val="0"/>
        <w:autoSpaceDN w:val="0"/>
        <w:adjustRightInd w:val="0"/>
        <w:jc w:val="right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 xml:space="preserve">Warszawa, dn. </w:t>
      </w:r>
      <w:r w:rsidR="00F24283">
        <w:rPr>
          <w:rFonts w:asciiTheme="minorHAnsi" w:hAnsiTheme="minorHAnsi" w:cstheme="minorHAnsi"/>
          <w:color w:val="000000" w:themeColor="text1"/>
        </w:rPr>
        <w:t>02</w:t>
      </w:r>
      <w:r w:rsidRPr="00733C6B">
        <w:rPr>
          <w:rFonts w:asciiTheme="minorHAnsi" w:hAnsiTheme="minorHAnsi" w:cstheme="minorHAnsi"/>
          <w:color w:val="000000" w:themeColor="text1"/>
        </w:rPr>
        <w:t>.</w:t>
      </w:r>
      <w:r w:rsidR="00873E1F">
        <w:rPr>
          <w:rFonts w:asciiTheme="minorHAnsi" w:hAnsiTheme="minorHAnsi" w:cstheme="minorHAnsi"/>
          <w:color w:val="000000" w:themeColor="text1"/>
        </w:rPr>
        <w:t>1</w:t>
      </w:r>
      <w:r w:rsidR="00F24283">
        <w:rPr>
          <w:rFonts w:asciiTheme="minorHAnsi" w:hAnsiTheme="minorHAnsi" w:cstheme="minorHAnsi"/>
          <w:color w:val="000000" w:themeColor="text1"/>
        </w:rPr>
        <w:t>2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444B85">
        <w:rPr>
          <w:rFonts w:asciiTheme="minorHAnsi" w:hAnsiTheme="minorHAnsi" w:cstheme="minorHAnsi"/>
          <w:color w:val="000000" w:themeColor="text1"/>
        </w:rPr>
        <w:t>4</w:t>
      </w:r>
      <w:r w:rsidR="000367ED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ED7BAEA" w14:textId="77777777" w:rsidR="00740ED5" w:rsidRPr="00733C6B" w:rsidRDefault="00740ED5" w:rsidP="00336D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/>
        </w:rPr>
        <w:t>Szanowni Państwo.</w:t>
      </w:r>
    </w:p>
    <w:p w14:paraId="672A6659" w14:textId="77777777" w:rsidR="00740ED5" w:rsidRPr="00733C6B" w:rsidRDefault="00740ED5" w:rsidP="00336DF1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14:paraId="0B986270" w14:textId="7042DF06" w:rsidR="000367ED" w:rsidRPr="00733C6B" w:rsidRDefault="0056062A" w:rsidP="00336DF1">
      <w:pPr>
        <w:spacing w:line="360" w:lineRule="auto"/>
        <w:rPr>
          <w:rFonts w:asciiTheme="minorHAnsi" w:hAnsiTheme="minorHAnsi" w:cstheme="minorHAnsi"/>
        </w:rPr>
      </w:pPr>
      <w:bookmarkStart w:id="0" w:name="_Hlk48564338"/>
      <w:r w:rsidRPr="00733C6B">
        <w:rPr>
          <w:rFonts w:asciiTheme="minorHAnsi" w:hAnsiTheme="minorHAnsi" w:cstheme="minorHAnsi"/>
        </w:rPr>
        <w:t xml:space="preserve">W celu dokonania zamówienia Państwowy Fundusz Rehabilitacji Osób Niepełnosprawnych zwraca się z prośbą o złożenie </w:t>
      </w:r>
      <w:bookmarkEnd w:id="0"/>
      <w:r w:rsidR="00F276E7">
        <w:rPr>
          <w:rFonts w:asciiTheme="minorHAnsi" w:hAnsiTheme="minorHAnsi" w:cstheme="minorHAnsi"/>
        </w:rPr>
        <w:t xml:space="preserve">szacowanej wartości zamówienia </w:t>
      </w:r>
      <w:r w:rsidR="000367ED" w:rsidRPr="00733C6B">
        <w:rPr>
          <w:rFonts w:asciiTheme="minorHAnsi" w:hAnsiTheme="minorHAnsi" w:cstheme="minorHAnsi"/>
        </w:rPr>
        <w:t xml:space="preserve">dotyczącego </w:t>
      </w:r>
      <w:r w:rsidR="2073C0E1" w:rsidRPr="00733C6B">
        <w:rPr>
          <w:rFonts w:asciiTheme="minorHAnsi" w:hAnsiTheme="minorHAnsi" w:cstheme="minorHAnsi"/>
        </w:rPr>
        <w:t xml:space="preserve">dostarczenia subskrypcji dla posiadanego oprogramowania </w:t>
      </w:r>
      <w:proofErr w:type="spellStart"/>
      <w:r w:rsidR="00737C97" w:rsidRPr="00733C6B">
        <w:rPr>
          <w:rFonts w:asciiTheme="minorHAnsi" w:hAnsiTheme="minorHAnsi" w:cstheme="minorHAnsi"/>
        </w:rPr>
        <w:t>Cyber</w:t>
      </w:r>
      <w:r w:rsidR="00737C97">
        <w:rPr>
          <w:rFonts w:asciiTheme="minorHAnsi" w:hAnsiTheme="minorHAnsi" w:cstheme="minorHAnsi"/>
        </w:rPr>
        <w:t>A</w:t>
      </w:r>
      <w:r w:rsidR="00737C97" w:rsidRPr="00733C6B">
        <w:rPr>
          <w:rFonts w:asciiTheme="minorHAnsi" w:hAnsiTheme="minorHAnsi" w:cstheme="minorHAnsi"/>
        </w:rPr>
        <w:t>rk</w:t>
      </w:r>
      <w:proofErr w:type="spellEnd"/>
      <w:r w:rsidR="00737C97">
        <w:rPr>
          <w:rFonts w:asciiTheme="minorHAnsi" w:hAnsiTheme="minorHAnsi" w:cstheme="minorHAnsi"/>
        </w:rPr>
        <w:t xml:space="preserve"> </w:t>
      </w:r>
      <w:r w:rsidR="6A1DD650" w:rsidRPr="00733C6B">
        <w:rPr>
          <w:rFonts w:asciiTheme="minorHAnsi" w:hAnsiTheme="minorHAnsi" w:cstheme="minorHAnsi"/>
        </w:rPr>
        <w:t>oraz</w:t>
      </w:r>
      <w:r w:rsidR="000A0D10" w:rsidRPr="00733C6B">
        <w:rPr>
          <w:rFonts w:asciiTheme="minorHAnsi" w:hAnsiTheme="minorHAnsi" w:cstheme="minorHAnsi"/>
        </w:rPr>
        <w:t xml:space="preserve"> </w:t>
      </w:r>
      <w:r w:rsidR="00F276E7">
        <w:rPr>
          <w:rFonts w:asciiTheme="minorHAnsi" w:hAnsiTheme="minorHAnsi" w:cstheme="minorHAnsi"/>
        </w:rPr>
        <w:t>u</w:t>
      </w:r>
      <w:r w:rsidR="00F276E7" w:rsidRPr="00F276E7">
        <w:rPr>
          <w:rFonts w:asciiTheme="minorHAnsi" w:hAnsiTheme="minorHAnsi" w:cstheme="minorHAnsi"/>
        </w:rPr>
        <w:t>sług</w:t>
      </w:r>
      <w:r w:rsidR="00F276E7">
        <w:rPr>
          <w:rFonts w:asciiTheme="minorHAnsi" w:hAnsiTheme="minorHAnsi" w:cstheme="minorHAnsi"/>
        </w:rPr>
        <w:t>i</w:t>
      </w:r>
      <w:r w:rsidR="00F276E7" w:rsidRPr="00F276E7">
        <w:rPr>
          <w:rFonts w:asciiTheme="minorHAnsi" w:hAnsiTheme="minorHAnsi" w:cstheme="minorHAnsi"/>
        </w:rPr>
        <w:t xml:space="preserve"> asysty technicznej i konserwacji dla</w:t>
      </w:r>
      <w:r w:rsidR="00F276E7">
        <w:rPr>
          <w:rFonts w:asciiTheme="minorHAnsi" w:hAnsiTheme="minorHAnsi" w:cstheme="minorHAnsi"/>
        </w:rPr>
        <w:t xml:space="preserve"> </w:t>
      </w:r>
      <w:r w:rsidR="00F276E7" w:rsidRPr="00F276E7">
        <w:rPr>
          <w:rFonts w:asciiTheme="minorHAnsi" w:hAnsiTheme="minorHAnsi" w:cstheme="minorHAnsi"/>
        </w:rPr>
        <w:t xml:space="preserve">systemu </w:t>
      </w:r>
      <w:proofErr w:type="spellStart"/>
      <w:r w:rsidR="00737C97" w:rsidRPr="00F276E7">
        <w:rPr>
          <w:rFonts w:asciiTheme="minorHAnsi" w:hAnsiTheme="minorHAnsi" w:cstheme="minorHAnsi"/>
        </w:rPr>
        <w:t>Cyber</w:t>
      </w:r>
      <w:r w:rsidR="00737C97">
        <w:rPr>
          <w:rFonts w:asciiTheme="minorHAnsi" w:hAnsiTheme="minorHAnsi" w:cstheme="minorHAnsi"/>
        </w:rPr>
        <w:t>A</w:t>
      </w:r>
      <w:r w:rsidR="00737C97" w:rsidRPr="00F276E7">
        <w:rPr>
          <w:rFonts w:asciiTheme="minorHAnsi" w:hAnsiTheme="minorHAnsi" w:cstheme="minorHAnsi"/>
        </w:rPr>
        <w:t>rk</w:t>
      </w:r>
      <w:proofErr w:type="spellEnd"/>
      <w:r w:rsidR="000A0D10" w:rsidRPr="00733C6B">
        <w:rPr>
          <w:rFonts w:asciiTheme="minorHAnsi" w:hAnsiTheme="minorHAnsi" w:cstheme="minorHAnsi"/>
        </w:rPr>
        <w:t>.</w:t>
      </w:r>
    </w:p>
    <w:p w14:paraId="014A3B42" w14:textId="77777777" w:rsidR="00346F94" w:rsidRDefault="00346F94" w:rsidP="00336DF1">
      <w:pPr>
        <w:spacing w:line="360" w:lineRule="auto"/>
        <w:rPr>
          <w:rFonts w:asciiTheme="minorHAnsi" w:hAnsiTheme="minorHAnsi" w:cstheme="minorHAnsi"/>
        </w:rPr>
      </w:pPr>
    </w:p>
    <w:p w14:paraId="0A37501D" w14:textId="3E40538C" w:rsidR="000367ED" w:rsidRPr="00C4086F" w:rsidRDefault="00346F94" w:rsidP="00336DF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C4086F">
        <w:rPr>
          <w:rFonts w:asciiTheme="minorHAnsi" w:hAnsiTheme="minorHAnsi" w:cstheme="minorHAnsi"/>
          <w:sz w:val="28"/>
          <w:szCs w:val="28"/>
        </w:rPr>
        <w:t>OCZEKIWANIA ZAMAWIAJĄCEGO</w:t>
      </w:r>
      <w:r w:rsidR="00C4086F" w:rsidRPr="00C4086F">
        <w:rPr>
          <w:rFonts w:asciiTheme="minorHAnsi" w:hAnsiTheme="minorHAnsi" w:cstheme="minorHAnsi"/>
          <w:sz w:val="28"/>
          <w:szCs w:val="28"/>
        </w:rPr>
        <w:t xml:space="preserve"> W ZAKRESIE SZACOWANIA WARTOŚCI</w:t>
      </w:r>
      <w:r w:rsidRPr="00C4086F">
        <w:rPr>
          <w:rFonts w:asciiTheme="minorHAnsi" w:hAnsiTheme="minorHAnsi" w:cstheme="minorHAnsi"/>
          <w:sz w:val="28"/>
          <w:szCs w:val="28"/>
        </w:rPr>
        <w:t>:</w:t>
      </w:r>
    </w:p>
    <w:p w14:paraId="35FF6D15" w14:textId="3919AB42" w:rsidR="00346F94" w:rsidRDefault="00346F94" w:rsidP="00336DF1">
      <w:pPr>
        <w:spacing w:line="360" w:lineRule="auto"/>
        <w:rPr>
          <w:rFonts w:asciiTheme="minorHAnsi" w:hAnsiTheme="minorHAnsi" w:cstheme="minorHAnsi"/>
        </w:rPr>
      </w:pPr>
    </w:p>
    <w:p w14:paraId="7F9E1CDE" w14:textId="3974AF99" w:rsidR="00C4086F" w:rsidRPr="00C4086F" w:rsidRDefault="00C4086F" w:rsidP="00C4086F">
      <w:pPr>
        <w:numPr>
          <w:ilvl w:val="0"/>
          <w:numId w:val="23"/>
        </w:numPr>
        <w:spacing w:after="20" w:line="267" w:lineRule="auto"/>
        <w:ind w:right="43" w:hanging="427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Zamówienie będzie obejmować swym zakresem następujące pozycje: </w:t>
      </w:r>
    </w:p>
    <w:p w14:paraId="6FC664C9" w14:textId="77777777" w:rsidR="00C4086F" w:rsidRPr="00C4086F" w:rsidRDefault="00C4086F" w:rsidP="00C4086F">
      <w:pPr>
        <w:numPr>
          <w:ilvl w:val="1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Dostawa czasowej licencji (subskrypcji): </w:t>
      </w:r>
    </w:p>
    <w:p w14:paraId="291561D7" w14:textId="1BA29E9A" w:rsidR="00C4086F" w:rsidRDefault="00765EFD" w:rsidP="00C4086F">
      <w:pPr>
        <w:numPr>
          <w:ilvl w:val="2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50DB6" w:rsidRPr="009D77CE">
        <w:rPr>
          <w:rFonts w:ascii="Calibri" w:eastAsia="Calibri" w:hAnsi="Calibri" w:cs="Calibri"/>
        </w:rPr>
        <w:t>PRIV-STANDARD-USER-SUBS</w:t>
      </w:r>
      <w:r w:rsidR="00DD03CF" w:rsidRPr="00DD03CF">
        <w:rPr>
          <w:rFonts w:ascii="Calibri" w:eastAsia="Calibri" w:hAnsi="Calibri" w:cs="Calibri"/>
        </w:rPr>
        <w:t>-CONVERTED</w:t>
      </w:r>
      <w:r w:rsidR="00DD03CF">
        <w:rPr>
          <w:rFonts w:ascii="Calibri" w:eastAsia="Calibri" w:hAnsi="Calibri" w:cs="Calibri"/>
        </w:rPr>
        <w:t xml:space="preserve"> </w:t>
      </w:r>
      <w:r w:rsidR="00C4086F" w:rsidRPr="009D77CE">
        <w:rPr>
          <w:rFonts w:ascii="Calibri" w:eastAsia="Calibri" w:hAnsi="Calibri" w:cs="Calibri"/>
        </w:rPr>
        <w:t xml:space="preserve">oprogramowania </w:t>
      </w:r>
      <w:proofErr w:type="spellStart"/>
      <w:r w:rsidR="00C4086F" w:rsidRPr="009D77CE">
        <w:rPr>
          <w:rFonts w:ascii="Calibri" w:eastAsia="Calibri" w:hAnsi="Calibri" w:cs="Calibri"/>
        </w:rPr>
        <w:t>CyberArk</w:t>
      </w:r>
      <w:proofErr w:type="spellEnd"/>
      <w:r w:rsidR="00C4086F" w:rsidRPr="009D77CE">
        <w:rPr>
          <w:rFonts w:ascii="Calibri" w:eastAsia="Calibri" w:hAnsi="Calibri" w:cs="Calibri"/>
        </w:rPr>
        <w:t xml:space="preserve"> na okres 24 miesięcy w ilości </w:t>
      </w:r>
      <w:r w:rsidR="00447B4D">
        <w:rPr>
          <w:rFonts w:ascii="Calibri" w:eastAsia="Calibri" w:hAnsi="Calibri" w:cs="Calibri"/>
        </w:rPr>
        <w:t>2</w:t>
      </w:r>
      <w:r w:rsidR="007E31C8">
        <w:rPr>
          <w:rFonts w:ascii="Calibri" w:eastAsia="Calibri" w:hAnsi="Calibri" w:cs="Calibri"/>
        </w:rPr>
        <w:t>0</w:t>
      </w:r>
      <w:r w:rsidR="00476E43" w:rsidRPr="009D77CE">
        <w:rPr>
          <w:rFonts w:ascii="Calibri" w:eastAsia="Calibri" w:hAnsi="Calibri" w:cs="Calibri"/>
        </w:rPr>
        <w:t xml:space="preserve"> </w:t>
      </w:r>
      <w:proofErr w:type="spellStart"/>
      <w:r w:rsidR="00C4086F" w:rsidRPr="009D77CE">
        <w:rPr>
          <w:rFonts w:ascii="Calibri" w:eastAsia="Calibri" w:hAnsi="Calibri" w:cs="Calibri"/>
        </w:rPr>
        <w:t>szt</w:t>
      </w:r>
      <w:proofErr w:type="spellEnd"/>
      <w:r w:rsidR="00C4086F" w:rsidRPr="009D77CE">
        <w:rPr>
          <w:rFonts w:ascii="Calibri" w:eastAsia="Calibri" w:hAnsi="Calibri" w:cs="Calibri"/>
        </w:rPr>
        <w:t>;</w:t>
      </w:r>
    </w:p>
    <w:p w14:paraId="69358E86" w14:textId="4D405825" w:rsidR="007E31C8" w:rsidRPr="007E31C8" w:rsidRDefault="007E31C8" w:rsidP="007E31C8">
      <w:pPr>
        <w:pStyle w:val="Akapitzlist"/>
        <w:numPr>
          <w:ilvl w:val="2"/>
          <w:numId w:val="23"/>
        </w:numPr>
        <w:rPr>
          <w:rFonts w:ascii="Calibri" w:eastAsia="Calibri" w:hAnsi="Calibri" w:cs="Calibri"/>
        </w:rPr>
      </w:pPr>
      <w:r w:rsidRPr="007E31C8">
        <w:rPr>
          <w:rFonts w:ascii="Calibri" w:eastAsia="Calibri" w:hAnsi="Calibri" w:cs="Calibri"/>
        </w:rPr>
        <w:t>PRIV-STANDARD-USER-SUBS</w:t>
      </w:r>
      <w:r>
        <w:rPr>
          <w:rFonts w:ascii="Calibri" w:eastAsia="Calibri" w:hAnsi="Calibri" w:cs="Calibri"/>
        </w:rPr>
        <w:t xml:space="preserve"> </w:t>
      </w:r>
      <w:r w:rsidRPr="007E31C8">
        <w:rPr>
          <w:rFonts w:ascii="Calibri" w:eastAsia="Calibri" w:hAnsi="Calibri" w:cs="Calibri"/>
        </w:rPr>
        <w:t xml:space="preserve">oprogramowania </w:t>
      </w:r>
      <w:proofErr w:type="spellStart"/>
      <w:r w:rsidRPr="007E31C8">
        <w:rPr>
          <w:rFonts w:ascii="Calibri" w:eastAsia="Calibri" w:hAnsi="Calibri" w:cs="Calibri"/>
        </w:rPr>
        <w:t>CyberArk</w:t>
      </w:r>
      <w:proofErr w:type="spellEnd"/>
      <w:r w:rsidRPr="007E31C8">
        <w:rPr>
          <w:rFonts w:ascii="Calibri" w:eastAsia="Calibri" w:hAnsi="Calibri" w:cs="Calibri"/>
        </w:rPr>
        <w:t xml:space="preserve"> na okres 24 miesięcy w ilo</w:t>
      </w:r>
      <w:r>
        <w:rPr>
          <w:rFonts w:ascii="Calibri" w:eastAsia="Calibri" w:hAnsi="Calibri" w:cs="Calibri"/>
        </w:rPr>
        <w:t>ś</w:t>
      </w:r>
      <w:r w:rsidRPr="007E31C8">
        <w:rPr>
          <w:rFonts w:ascii="Calibri" w:eastAsia="Calibri" w:hAnsi="Calibri" w:cs="Calibri"/>
        </w:rPr>
        <w:t xml:space="preserve">ci </w:t>
      </w:r>
      <w:r>
        <w:rPr>
          <w:rFonts w:ascii="Calibri" w:eastAsia="Calibri" w:hAnsi="Calibri" w:cs="Calibri"/>
        </w:rPr>
        <w:t>5</w:t>
      </w:r>
      <w:r w:rsidRPr="007E31C8">
        <w:rPr>
          <w:rFonts w:ascii="Calibri" w:eastAsia="Calibri" w:hAnsi="Calibri" w:cs="Calibri"/>
        </w:rPr>
        <w:t xml:space="preserve"> </w:t>
      </w:r>
      <w:proofErr w:type="spellStart"/>
      <w:r w:rsidRPr="007E31C8">
        <w:rPr>
          <w:rFonts w:ascii="Calibri" w:eastAsia="Calibri" w:hAnsi="Calibri" w:cs="Calibri"/>
        </w:rPr>
        <w:t>szt</w:t>
      </w:r>
      <w:proofErr w:type="spellEnd"/>
      <w:r w:rsidRPr="007E31C8">
        <w:rPr>
          <w:rFonts w:ascii="Calibri" w:eastAsia="Calibri" w:hAnsi="Calibri" w:cs="Calibri"/>
        </w:rPr>
        <w:t>;</w:t>
      </w:r>
    </w:p>
    <w:p w14:paraId="34574175" w14:textId="64BBBC25" w:rsidR="00C4086F" w:rsidRPr="009D77CE" w:rsidRDefault="00765EFD" w:rsidP="00C4086F">
      <w:pPr>
        <w:numPr>
          <w:ilvl w:val="2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476E43" w:rsidRPr="009D77CE">
        <w:rPr>
          <w:rFonts w:ascii="Calibri" w:eastAsia="Calibri" w:hAnsi="Calibri" w:cs="Calibri"/>
        </w:rPr>
        <w:t xml:space="preserve">EXT-VENDOR-USER-SUBS </w:t>
      </w:r>
      <w:r w:rsidR="00C4086F" w:rsidRPr="009D77CE">
        <w:rPr>
          <w:rFonts w:ascii="Calibri" w:eastAsia="Calibri" w:hAnsi="Calibri" w:cs="Calibri"/>
        </w:rPr>
        <w:t xml:space="preserve">oprogramowania </w:t>
      </w:r>
      <w:proofErr w:type="spellStart"/>
      <w:r w:rsidR="00C4086F" w:rsidRPr="009D77CE">
        <w:rPr>
          <w:rFonts w:ascii="Calibri" w:eastAsia="Calibri" w:hAnsi="Calibri" w:cs="Calibri"/>
        </w:rPr>
        <w:t>CyberArk</w:t>
      </w:r>
      <w:proofErr w:type="spellEnd"/>
      <w:r w:rsidR="00C4086F" w:rsidRPr="009D77CE">
        <w:rPr>
          <w:rFonts w:ascii="Calibri" w:eastAsia="Calibri" w:hAnsi="Calibri" w:cs="Calibri"/>
        </w:rPr>
        <w:t xml:space="preserve"> na okres 24 miesięcy w ilości </w:t>
      </w:r>
      <w:r w:rsidR="002F2A87" w:rsidRPr="009D77CE">
        <w:rPr>
          <w:rFonts w:ascii="Calibri" w:eastAsia="Calibri" w:hAnsi="Calibri" w:cs="Calibri"/>
        </w:rPr>
        <w:t>95</w:t>
      </w:r>
      <w:r w:rsidR="00C4086F" w:rsidRPr="009D77CE">
        <w:rPr>
          <w:rFonts w:ascii="Calibri" w:eastAsia="Calibri" w:hAnsi="Calibri" w:cs="Calibri"/>
        </w:rPr>
        <w:t xml:space="preserve"> szt.</w:t>
      </w:r>
    </w:p>
    <w:p w14:paraId="127702DE" w14:textId="77777777" w:rsidR="00C4086F" w:rsidRPr="00C4086F" w:rsidRDefault="00C4086F" w:rsidP="00C4086F">
      <w:pPr>
        <w:numPr>
          <w:ilvl w:val="1"/>
          <w:numId w:val="23"/>
        </w:numPr>
        <w:spacing w:after="5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Dostarczane licencje muszą spełniać następujące warunki: </w:t>
      </w:r>
    </w:p>
    <w:p w14:paraId="7AB5BE8F" w14:textId="77777777" w:rsidR="00C4086F" w:rsidRPr="00C4086F" w:rsidRDefault="00C4086F" w:rsidP="00C4086F">
      <w:pPr>
        <w:numPr>
          <w:ilvl w:val="2"/>
          <w:numId w:val="23"/>
        </w:numPr>
        <w:spacing w:after="5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Wszelkie dostarczane licencje muszą pochodzić z autoryzowanego kanału sprzedaży producenta, muszą  być wolne od wad i usterek oraz muszą być w wersji aktualnej.</w:t>
      </w:r>
    </w:p>
    <w:p w14:paraId="295C71D5" w14:textId="2A7AB335" w:rsidR="00C4086F" w:rsidRPr="00C4086F" w:rsidRDefault="00C4086F" w:rsidP="00C4086F">
      <w:pPr>
        <w:numPr>
          <w:ilvl w:val="2"/>
          <w:numId w:val="23"/>
        </w:numPr>
        <w:spacing w:after="5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Dostarczone licencje nie </w:t>
      </w:r>
      <w:r w:rsidR="005664B9">
        <w:rPr>
          <w:rFonts w:ascii="Calibri" w:eastAsia="Calibri" w:hAnsi="Calibri" w:cs="Calibri"/>
          <w:color w:val="000000"/>
        </w:rPr>
        <w:t xml:space="preserve">mogą </w:t>
      </w:r>
      <w:r w:rsidRPr="00C4086F">
        <w:rPr>
          <w:rFonts w:ascii="Calibri" w:eastAsia="Calibri" w:hAnsi="Calibri" w:cs="Calibri"/>
          <w:color w:val="000000"/>
        </w:rPr>
        <w:t>posiadać limitu ilościowego dla tworzonych obiektów docelowych, sejfów grupujących obiekty docelowe, polityk dotyczących wymogów dotyczących haseł oraz ilości komponentów sprzętowych umożliwiających skalowanie wydajnościowo-niezawodnościowe rozwiązania (z zachowaniem, że licencje na systemy operacyjne potrzebne do ich instalacji, o ile będą wymagane, zostaną zapewnione przez Zamawiającego).</w:t>
      </w:r>
    </w:p>
    <w:p w14:paraId="5A87B1D9" w14:textId="77777777" w:rsidR="00C4086F" w:rsidRPr="00C4086F" w:rsidRDefault="00C4086F" w:rsidP="00C4086F">
      <w:pPr>
        <w:numPr>
          <w:ilvl w:val="1"/>
          <w:numId w:val="23"/>
        </w:numPr>
        <w:spacing w:after="20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Zakres wsparcie świadczonego przez producenta obejmuje: </w:t>
      </w:r>
    </w:p>
    <w:p w14:paraId="22BEB7E3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do serwisu internetowego systemu wsparcia 24h/7 dni w tygodniu;  </w:t>
      </w:r>
    </w:p>
    <w:p w14:paraId="09A14214" w14:textId="4039CDD3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bezpośredniego zgłaszania do producenta Oprogramowania problemów serwisowych przez administratorów </w:t>
      </w:r>
      <w:r w:rsidR="00737C97">
        <w:rPr>
          <w:rFonts w:ascii="Calibri" w:eastAsia="Calibri" w:hAnsi="Calibri" w:cs="Calibri"/>
          <w:color w:val="000000"/>
        </w:rPr>
        <w:t>Z</w:t>
      </w:r>
      <w:r w:rsidR="00737C97" w:rsidRPr="00C4086F">
        <w:rPr>
          <w:rFonts w:ascii="Calibri" w:eastAsia="Calibri" w:hAnsi="Calibri" w:cs="Calibri"/>
          <w:color w:val="000000"/>
        </w:rPr>
        <w:t>amawiającego</w:t>
      </w:r>
      <w:r w:rsidRPr="00C4086F">
        <w:rPr>
          <w:rFonts w:ascii="Calibri" w:eastAsia="Calibri" w:hAnsi="Calibri" w:cs="Calibri"/>
          <w:color w:val="000000"/>
        </w:rPr>
        <w:t xml:space="preserve">;  </w:t>
      </w:r>
    </w:p>
    <w:p w14:paraId="0A70BF1A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do najnowszych wersji Oprogramowania;  </w:t>
      </w:r>
    </w:p>
    <w:p w14:paraId="22600703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do poprawek i do aktualizacji Oprogramowania;  </w:t>
      </w:r>
    </w:p>
    <w:p w14:paraId="58F9CB44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nielimitowanej liczby zgłoszeń;  </w:t>
      </w:r>
    </w:p>
    <w:p w14:paraId="01F7CCFE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wsparcie zdalne oraz wsparcie telefoniczne, a także możliwość przesyłania zapytań drogą elektroniczną (email, formularze WWW, system ITSM);  </w:t>
      </w:r>
    </w:p>
    <w:p w14:paraId="1A7FE539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dostęp online do dokumentacji, not technicznych, baz wiedzy oraz forów dyskusyjnych Oprogramowania. </w:t>
      </w:r>
    </w:p>
    <w:p w14:paraId="378970FC" w14:textId="3AD6A895" w:rsidR="00C4086F" w:rsidRPr="00C4086F" w:rsidRDefault="00C4086F" w:rsidP="00C4086F">
      <w:pPr>
        <w:numPr>
          <w:ilvl w:val="1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Usługa Asysty Technicznej i Konfiguracji, w zakresie której Wykonawca będzie świadczył wsparcie techniczne dla oprogramowania </w:t>
      </w:r>
      <w:proofErr w:type="spellStart"/>
      <w:r w:rsidRPr="00C4086F">
        <w:rPr>
          <w:rFonts w:ascii="Calibri" w:eastAsia="Calibri" w:hAnsi="Calibri" w:cs="Calibri"/>
          <w:b/>
          <w:bCs/>
          <w:color w:val="000000"/>
        </w:rPr>
        <w:t>CyberArk</w:t>
      </w:r>
      <w:proofErr w:type="spellEnd"/>
      <w:r w:rsidRPr="00C4086F">
        <w:rPr>
          <w:rFonts w:ascii="Calibri" w:eastAsia="Calibri" w:hAnsi="Calibri" w:cs="Calibri"/>
          <w:b/>
          <w:bCs/>
          <w:color w:val="000000"/>
        </w:rPr>
        <w:t xml:space="preserve"> w ilości </w:t>
      </w:r>
      <w:r w:rsidR="00416E2F">
        <w:rPr>
          <w:rFonts w:ascii="Calibri" w:eastAsia="Calibri" w:hAnsi="Calibri" w:cs="Calibri"/>
          <w:b/>
          <w:bCs/>
          <w:color w:val="000000"/>
        </w:rPr>
        <w:t>130</w:t>
      </w:r>
      <w:r w:rsidRPr="00C4086F">
        <w:rPr>
          <w:rFonts w:ascii="Calibri" w:eastAsia="Calibri" w:hAnsi="Calibri" w:cs="Calibri"/>
          <w:b/>
          <w:bCs/>
          <w:color w:val="000000"/>
        </w:rPr>
        <w:t xml:space="preserve"> </w:t>
      </w:r>
      <w:proofErr w:type="spellStart"/>
      <w:r w:rsidRPr="00C4086F">
        <w:rPr>
          <w:rFonts w:ascii="Calibri" w:eastAsia="Calibri" w:hAnsi="Calibri" w:cs="Calibri"/>
          <w:b/>
          <w:bCs/>
          <w:color w:val="000000"/>
        </w:rPr>
        <w:t>r</w:t>
      </w:r>
      <w:r w:rsidR="005664B9">
        <w:rPr>
          <w:rFonts w:ascii="Calibri" w:eastAsia="Calibri" w:hAnsi="Calibri" w:cs="Calibri"/>
          <w:b/>
          <w:bCs/>
          <w:color w:val="000000"/>
        </w:rPr>
        <w:t>b</w:t>
      </w:r>
      <w:r w:rsidRPr="00C4086F">
        <w:rPr>
          <w:rFonts w:ascii="Calibri" w:eastAsia="Calibri" w:hAnsi="Calibri" w:cs="Calibri"/>
          <w:b/>
          <w:bCs/>
          <w:color w:val="000000"/>
        </w:rPr>
        <w:t>h</w:t>
      </w:r>
      <w:proofErr w:type="spellEnd"/>
      <w:r w:rsidRPr="00C4086F">
        <w:rPr>
          <w:rFonts w:ascii="Calibri" w:eastAsia="Calibri" w:hAnsi="Calibri" w:cs="Calibri"/>
          <w:b/>
          <w:bCs/>
          <w:color w:val="000000"/>
        </w:rPr>
        <w:t xml:space="preserve"> </w:t>
      </w:r>
      <w:r w:rsidRPr="00C4086F">
        <w:rPr>
          <w:rFonts w:ascii="Calibri" w:eastAsia="Calibri" w:hAnsi="Calibri" w:cs="Calibri"/>
          <w:b/>
          <w:bCs/>
          <w:color w:val="000000"/>
        </w:rPr>
        <w:lastRenderedPageBreak/>
        <w:t>obowiązujących przez okres 2</w:t>
      </w:r>
      <w:r w:rsidR="00D25F82">
        <w:rPr>
          <w:rFonts w:ascii="Calibri" w:eastAsia="Calibri" w:hAnsi="Calibri" w:cs="Calibri"/>
          <w:b/>
          <w:bCs/>
          <w:color w:val="000000"/>
        </w:rPr>
        <w:t>1</w:t>
      </w:r>
      <w:r w:rsidRPr="00C4086F">
        <w:rPr>
          <w:rFonts w:ascii="Calibri" w:eastAsia="Calibri" w:hAnsi="Calibri" w:cs="Calibri"/>
          <w:b/>
          <w:bCs/>
          <w:color w:val="000000"/>
        </w:rPr>
        <w:t xml:space="preserve"> miesięcy. W zakresie świadczonej usługi Wykonawca będzie realizował czynności techniczne, w szczególności będzie:</w:t>
      </w:r>
    </w:p>
    <w:p w14:paraId="2EC043A6" w14:textId="75138B0B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Wykonawca będzie świadczył w okresie </w:t>
      </w:r>
      <w:r w:rsidR="002E17FA" w:rsidRPr="00C4086F">
        <w:rPr>
          <w:rFonts w:ascii="Calibri" w:eastAsia="Calibri" w:hAnsi="Calibri" w:cs="Calibri"/>
          <w:color w:val="000000"/>
        </w:rPr>
        <w:t>2</w:t>
      </w:r>
      <w:r w:rsidR="00A22B47">
        <w:rPr>
          <w:rFonts w:ascii="Calibri" w:eastAsia="Calibri" w:hAnsi="Calibri" w:cs="Calibri"/>
          <w:color w:val="000000"/>
        </w:rPr>
        <w:t>1</w:t>
      </w:r>
      <w:r w:rsidR="002E17FA">
        <w:rPr>
          <w:rFonts w:ascii="Calibri" w:eastAsia="Calibri" w:hAnsi="Calibri" w:cs="Calibri"/>
          <w:color w:val="000000"/>
        </w:rPr>
        <w:t xml:space="preserve"> miesięcy</w:t>
      </w:r>
      <w:r w:rsidR="002E17FA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liczonych od momentu zawarcia Umowy Asystę Techniczną w zakresie obsługi zgłoszeń, przez certyfikowanego inżyniera w obszarze wdrożonego systemu, w formie elektronicznej i telefonicznej w dni robocze, w języku polskim.</w:t>
      </w:r>
    </w:p>
    <w:p w14:paraId="20EFF174" w14:textId="10E422D2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Zamawiający wymaga</w:t>
      </w:r>
      <w:r w:rsidR="002E17FA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aby czynności wymagające (ze względów bezpieczeństwa lub innych niezależnych przyczyn) prowadzenia bezpośrednich prac w ramach świadczonej usługi Asysty Technicznej i Konfiguracji wykonywane były w siedzibie Zamawiającego w Warszawie al. Jana Pawła II 13 na sprzęcie udostępnionym przez Zamawiającego.</w:t>
      </w:r>
    </w:p>
    <w:p w14:paraId="300EA0D2" w14:textId="1D90A5F4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Czas reakcji Wykonawcy na otrzymane zgłoszenie wynosi </w:t>
      </w:r>
      <w:r w:rsidRPr="00807CD3">
        <w:rPr>
          <w:rFonts w:ascii="Calibri" w:eastAsia="Calibri" w:hAnsi="Calibri" w:cs="Calibri"/>
        </w:rPr>
        <w:t>2 g</w:t>
      </w:r>
      <w:r w:rsidRPr="00C4086F">
        <w:rPr>
          <w:rFonts w:ascii="Calibri" w:eastAsia="Calibri" w:hAnsi="Calibri" w:cs="Calibri"/>
          <w:color w:val="000000"/>
        </w:rPr>
        <w:t>odziny. W przypadku zgłoszenia serwisowego otrzymanego po godzinie 16</w:t>
      </w:r>
      <w:r w:rsidR="002E17FA">
        <w:rPr>
          <w:rFonts w:ascii="Calibri" w:eastAsia="Calibri" w:hAnsi="Calibri" w:cs="Calibri"/>
          <w:color w:val="000000"/>
        </w:rPr>
        <w:t>:</w:t>
      </w:r>
      <w:r w:rsidRPr="00C4086F">
        <w:rPr>
          <w:rFonts w:ascii="Calibri" w:eastAsia="Calibri" w:hAnsi="Calibri" w:cs="Calibri"/>
          <w:color w:val="000000"/>
        </w:rPr>
        <w:t>00, czas reakcji liczy się od godziny 8.00 następnego dnia roboczego.</w:t>
      </w:r>
    </w:p>
    <w:p w14:paraId="3C3C5C2D" w14:textId="513B3A83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Wykonawca będzie w imieniu Zamawiającego </w:t>
      </w:r>
      <w:r w:rsidR="00737C97">
        <w:rPr>
          <w:rFonts w:ascii="Calibri" w:eastAsia="Calibri" w:hAnsi="Calibri" w:cs="Calibri"/>
          <w:color w:val="000000"/>
        </w:rPr>
        <w:t>przekazywał</w:t>
      </w:r>
      <w:r w:rsidR="00737C97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do producenta danego systemu wszystkie zgłoszenia serwisowe, monitorował i uczestniczył w ich rozwiązywaniu.</w:t>
      </w:r>
    </w:p>
    <w:p w14:paraId="72A8F38D" w14:textId="568B3B95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Czas rozwiązania zgłoszonego problemu wynosi do 8 godzin w dni robocze. Jeżeli do rozwiązania problemu niezbędne jest udzielenie odpowiedzi przez producenta</w:t>
      </w:r>
      <w:r w:rsidR="005664B9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wówczas czas rozwiązania problemu wynosi do 24 godzin w dni robocze. Czas realizacji zgłoszenia liczony jest od momentu jego wysłania przez Zamawiającego.</w:t>
      </w:r>
    </w:p>
    <w:p w14:paraId="569453D2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Asysta Techniczna Wykonawcy będzie rozliczana zgodnie ze złożoną ofertą Wykonawcy w zależności od faktycznie przepracowanych godzin, rozliczanych zgodnie ze stawką godzinową zawartą w ofercie.</w:t>
      </w:r>
    </w:p>
    <w:p w14:paraId="136072D6" w14:textId="78FB6E0F" w:rsidR="00C4086F" w:rsidRPr="00DD03C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</w:rPr>
      </w:pPr>
      <w:r w:rsidRPr="00DD03CF">
        <w:rPr>
          <w:rFonts w:ascii="Calibri" w:eastAsia="Calibri" w:hAnsi="Calibri" w:cs="Calibri"/>
        </w:rPr>
        <w:t xml:space="preserve">Możliwa do wykorzystania ilość godzin pracy inżyniera w ramach Asysty Technicznej wynosi nie więcej niż </w:t>
      </w:r>
      <w:r w:rsidR="00135BB3" w:rsidRPr="00DD03CF">
        <w:rPr>
          <w:rFonts w:ascii="Calibri" w:eastAsia="Calibri" w:hAnsi="Calibri" w:cs="Calibri"/>
        </w:rPr>
        <w:t>1</w:t>
      </w:r>
      <w:r w:rsidR="00BD00E7">
        <w:rPr>
          <w:rFonts w:ascii="Calibri" w:eastAsia="Calibri" w:hAnsi="Calibri" w:cs="Calibri"/>
        </w:rPr>
        <w:t>30</w:t>
      </w:r>
      <w:r w:rsidRPr="00DD03CF">
        <w:rPr>
          <w:rFonts w:ascii="Calibri" w:eastAsia="Calibri" w:hAnsi="Calibri" w:cs="Calibri"/>
        </w:rPr>
        <w:t xml:space="preserve"> godzin.</w:t>
      </w:r>
    </w:p>
    <w:p w14:paraId="76224385" w14:textId="0E6C0AD1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Celem wizyty w ramach Asysty Technicznej mogą być: wszelkie prace związane z systemem objętym usługą, m.in. aktualizacja dokumentacji technicznej i oprogramowania, analiza poprawności działania wdrożonego systemu i jego komponentów, dostrojenie, konfiguracja nowych połącz</w:t>
      </w:r>
      <w:r w:rsidR="002E17FA">
        <w:rPr>
          <w:rFonts w:ascii="Calibri" w:eastAsia="Calibri" w:hAnsi="Calibri" w:cs="Calibri"/>
          <w:color w:val="000000"/>
        </w:rPr>
        <w:t>e</w:t>
      </w:r>
      <w:r w:rsidRPr="00C4086F">
        <w:rPr>
          <w:rFonts w:ascii="Calibri" w:eastAsia="Calibri" w:hAnsi="Calibri" w:cs="Calibri"/>
          <w:color w:val="000000"/>
        </w:rPr>
        <w:t>ń/kont użytkowników, rekonfiguracja pozostałych parametrów systemu, przeprowadzanie warsztatów i szkoleń w zakresie funkcjonalności Systemu.</w:t>
      </w:r>
    </w:p>
    <w:p w14:paraId="1B8545F9" w14:textId="68408842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Potwierdzeniem </w:t>
      </w:r>
      <w:r w:rsidR="0018185B">
        <w:rPr>
          <w:rFonts w:ascii="Calibri" w:eastAsia="Calibri" w:hAnsi="Calibri" w:cs="Calibri"/>
          <w:color w:val="000000"/>
        </w:rPr>
        <w:t xml:space="preserve">odbytej </w:t>
      </w:r>
      <w:r w:rsidRPr="00C4086F">
        <w:rPr>
          <w:rFonts w:ascii="Calibri" w:eastAsia="Calibri" w:hAnsi="Calibri" w:cs="Calibri"/>
          <w:color w:val="000000"/>
        </w:rPr>
        <w:t>wizyty w siedzibie Zamawiającego, wykonania zleconych prac i czasu wykorzystanego na daną wizytę będzie protokół odbioru Asysty Technicznej Wykonawcy podpisany przez obie strony.</w:t>
      </w:r>
    </w:p>
    <w:p w14:paraId="62DA1049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Czas wizyty przeznaczony na wykonanie Asysty Technicznej Wykonawcy liczony jest od chwili przystąpienia do pracy certyfikowanego inżyniera w obszarze danego rozwiązania w siedzibie Zamawiającego.</w:t>
      </w:r>
    </w:p>
    <w:p w14:paraId="62AFAE83" w14:textId="14F776EF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Zgłoszenie serwisowe uważa się za otwarte po przesłaniu go przez Zamawiającego do Wykonawcy </w:t>
      </w:r>
      <w:r w:rsidR="00C97F7E">
        <w:rPr>
          <w:rFonts w:ascii="Calibri" w:eastAsia="Calibri" w:hAnsi="Calibri" w:cs="Calibri"/>
          <w:color w:val="000000"/>
        </w:rPr>
        <w:t xml:space="preserve">na wskazany adres </w:t>
      </w:r>
      <w:r w:rsidRPr="00C4086F">
        <w:rPr>
          <w:rFonts w:ascii="Calibri" w:eastAsia="Calibri" w:hAnsi="Calibri" w:cs="Calibri"/>
          <w:color w:val="000000"/>
        </w:rPr>
        <w:t>mailem.</w:t>
      </w:r>
    </w:p>
    <w:p w14:paraId="08C6CA4F" w14:textId="77777777" w:rsidR="00C4086F" w:rsidRP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Każde zgłoszenie serwisowe rozliczane będzie co do ilości godzin, zgodnie z faktycznym czasem, jaki zajęło rozwiązanie problemu.</w:t>
      </w:r>
    </w:p>
    <w:p w14:paraId="4D4BEFB2" w14:textId="1172308C" w:rsidR="00C4086F" w:rsidRDefault="00C4086F" w:rsidP="00C4086F">
      <w:pPr>
        <w:numPr>
          <w:ilvl w:val="2"/>
          <w:numId w:val="23"/>
        </w:num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Przyjmuje się, że każda rozmowa telefoniczna, wykonywana w ramach Asysty Technicznej, niezależnie od jej rzeczywistego czasu trwania</w:t>
      </w:r>
      <w:r w:rsidR="002E17FA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to </w:t>
      </w:r>
      <w:r w:rsidRPr="004028F2">
        <w:rPr>
          <w:rFonts w:ascii="Calibri" w:eastAsia="Calibri" w:hAnsi="Calibri" w:cs="Calibri"/>
          <w:color w:val="000000"/>
        </w:rPr>
        <w:t>15 minut zegarowych.</w:t>
      </w:r>
    </w:p>
    <w:p w14:paraId="43122D11" w14:textId="77777777" w:rsidR="004028F2" w:rsidRDefault="004028F2" w:rsidP="004028F2">
      <w:p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</w:p>
    <w:p w14:paraId="5E2B6670" w14:textId="77777777" w:rsidR="004028F2" w:rsidRDefault="004028F2" w:rsidP="004028F2">
      <w:p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</w:p>
    <w:p w14:paraId="7060308E" w14:textId="77777777" w:rsidR="004028F2" w:rsidRPr="004028F2" w:rsidRDefault="004028F2" w:rsidP="004028F2">
      <w:pPr>
        <w:spacing w:after="4" w:line="267" w:lineRule="auto"/>
        <w:ind w:right="43"/>
        <w:jc w:val="both"/>
        <w:rPr>
          <w:rFonts w:ascii="Calibri" w:eastAsia="Calibri" w:hAnsi="Calibri" w:cs="Calibri"/>
          <w:color w:val="000000"/>
        </w:rPr>
      </w:pPr>
    </w:p>
    <w:p w14:paraId="753765F0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Opis środowiska Zamawiającego.</w:t>
      </w:r>
    </w:p>
    <w:p w14:paraId="694EA611" w14:textId="34462504" w:rsidR="00C4086F" w:rsidRPr="00C4086F" w:rsidRDefault="00C4086F" w:rsidP="00C4086F">
      <w:pPr>
        <w:spacing w:line="267" w:lineRule="auto"/>
        <w:ind w:left="709"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Zmawiający posada zainstalowane i wykorzystywane produkcyjnie środowisko </w:t>
      </w:r>
      <w:proofErr w:type="spellStart"/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proofErr w:type="spellEnd"/>
      <w:r w:rsidR="00737C97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w wersji</w:t>
      </w:r>
      <w:r w:rsidR="00427822">
        <w:rPr>
          <w:rFonts w:ascii="Calibri" w:eastAsia="Calibri" w:hAnsi="Calibri" w:cs="Calibri"/>
          <w:color w:val="000000"/>
        </w:rPr>
        <w:t xml:space="preserve"> </w:t>
      </w:r>
      <w:r w:rsidR="00E15F13" w:rsidRPr="00E15F13">
        <w:rPr>
          <w:rFonts w:ascii="Calibri" w:eastAsia="Calibri" w:hAnsi="Calibri" w:cs="Calibri"/>
          <w:color w:val="000000"/>
        </w:rPr>
        <w:t>13.2.2</w:t>
      </w:r>
      <w:r w:rsidR="00427822">
        <w:rPr>
          <w:rFonts w:ascii="Calibri" w:eastAsia="Calibri" w:hAnsi="Calibri" w:cs="Calibri"/>
          <w:color w:val="000000"/>
        </w:rPr>
        <w:t xml:space="preserve"> </w:t>
      </w:r>
      <w:r w:rsidR="00E15F13" w:rsidRPr="00E15F13">
        <w:rPr>
          <w:rFonts w:ascii="Calibri" w:eastAsia="Calibri" w:hAnsi="Calibri" w:cs="Calibri"/>
          <w:color w:val="000000"/>
        </w:rPr>
        <w:t>(13.2.2.37)</w:t>
      </w:r>
      <w:r w:rsidR="00E15F13">
        <w:rPr>
          <w:rFonts w:ascii="Calibri" w:eastAsia="Calibri" w:hAnsi="Calibri" w:cs="Calibri"/>
          <w:color w:val="000000"/>
        </w:rPr>
        <w:t xml:space="preserve">. </w:t>
      </w:r>
      <w:r w:rsidRPr="00C4086F">
        <w:rPr>
          <w:rFonts w:ascii="Calibri" w:eastAsia="Calibri" w:hAnsi="Calibri" w:cs="Calibri"/>
          <w:color w:val="000000"/>
        </w:rPr>
        <w:t xml:space="preserve">Środowisko zostało wdrożone w ramach posiadanej przez Zamawiającego platformy </w:t>
      </w:r>
      <w:proofErr w:type="spellStart"/>
      <w:r w:rsidRPr="00C4086F">
        <w:rPr>
          <w:rFonts w:ascii="Calibri" w:eastAsia="Calibri" w:hAnsi="Calibri" w:cs="Calibri"/>
          <w:color w:val="000000"/>
        </w:rPr>
        <w:t>wirtualizacyjnej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</w:rPr>
        <w:t>VMware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. W skład systemu </w:t>
      </w:r>
      <w:proofErr w:type="spellStart"/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proofErr w:type="spellEnd"/>
      <w:r w:rsidRPr="00C4086F">
        <w:rPr>
          <w:rFonts w:ascii="Calibri" w:eastAsia="Calibri" w:hAnsi="Calibri" w:cs="Calibri"/>
          <w:color w:val="000000"/>
        </w:rPr>
        <w:t>, wchodzą komponenty:</w:t>
      </w:r>
    </w:p>
    <w:p w14:paraId="0945BA03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Sprzętowe:</w:t>
      </w:r>
    </w:p>
    <w:p w14:paraId="52FDC4C7" w14:textId="3533B398" w:rsidR="00C4086F" w:rsidRPr="00444B85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444B85">
        <w:rPr>
          <w:rFonts w:ascii="Calibri" w:eastAsia="Calibri" w:hAnsi="Calibri" w:cs="Calibri"/>
          <w:color w:val="000000"/>
          <w:lang w:val="en-US"/>
        </w:rPr>
        <w:t xml:space="preserve"> Jeden </w:t>
      </w:r>
      <w:proofErr w:type="spellStart"/>
      <w:r w:rsidRPr="00444B85">
        <w:rPr>
          <w:rFonts w:ascii="Calibri" w:eastAsia="Calibri" w:hAnsi="Calibri" w:cs="Calibri"/>
          <w:color w:val="000000"/>
          <w:lang w:val="en-US"/>
        </w:rPr>
        <w:t>serwer</w:t>
      </w:r>
      <w:proofErr w:type="spellEnd"/>
      <w:r w:rsidRPr="00444B85">
        <w:rPr>
          <w:rFonts w:ascii="Calibri" w:eastAsia="Calibri" w:hAnsi="Calibri" w:cs="Calibri"/>
          <w:color w:val="000000"/>
          <w:lang w:val="en-US"/>
        </w:rPr>
        <w:t xml:space="preserve"> Central Policy Manager (CPM),</w:t>
      </w:r>
    </w:p>
    <w:p w14:paraId="6C72EF44" w14:textId="1B7D9960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Jeden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Central Policy Manager Disaster recovery (CPM-DR),</w:t>
      </w:r>
    </w:p>
    <w:p w14:paraId="1051EFE7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Cztery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Privileged Session Manager (PSM),</w:t>
      </w:r>
    </w:p>
    <w:p w14:paraId="326D2F7C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Cztery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Privileged Session Manager for SSH (PSMP),</w:t>
      </w:r>
    </w:p>
    <w:p w14:paraId="21C3753A" w14:textId="162FD4DE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="000B7ACB">
        <w:rPr>
          <w:rFonts w:ascii="Calibri" w:eastAsia="Calibri" w:hAnsi="Calibri" w:cs="Calibri"/>
          <w:color w:val="000000"/>
          <w:lang w:val="en-US"/>
        </w:rPr>
        <w:t>Trzy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Password Vault Web Access (PVWA),</w:t>
      </w:r>
    </w:p>
    <w:p w14:paraId="6274E8FE" w14:textId="3C71B278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Jeden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CyberArk Digital Vault (VAULT),</w:t>
      </w:r>
    </w:p>
    <w:p w14:paraId="3A1B3795" w14:textId="70D88114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Jeden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CyberArk Digital Vault Disaster recovery (VAULT-DR),</w:t>
      </w:r>
    </w:p>
    <w:p w14:paraId="41302AC4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Dwa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CyberArk Remote Access Connector,</w:t>
      </w:r>
    </w:p>
    <w:p w14:paraId="6FE580A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Dwa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serwery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HTML5 gateway for PSM,</w:t>
      </w:r>
    </w:p>
    <w:p w14:paraId="5285BCF8" w14:textId="77777777" w:rsidR="00C4086F" w:rsidRPr="00C4086F" w:rsidRDefault="00C4086F" w:rsidP="00C4086F">
      <w:pPr>
        <w:spacing w:line="267" w:lineRule="auto"/>
        <w:ind w:left="1224"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</w:p>
    <w:p w14:paraId="6FAF4D62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Konfiguracyjne:</w:t>
      </w:r>
    </w:p>
    <w:p w14:paraId="333899E5" w14:textId="799B8BE5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Ilość niezależnych obiektów docelowych (CPM and </w:t>
      </w:r>
      <w:proofErr w:type="spellStart"/>
      <w:r w:rsidRPr="00C4086F">
        <w:rPr>
          <w:rFonts w:ascii="Calibri" w:eastAsia="Calibri" w:hAnsi="Calibri" w:cs="Calibri"/>
          <w:color w:val="000000"/>
        </w:rPr>
        <w:t>Accounts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Discovery) - </w:t>
      </w:r>
      <w:r w:rsidR="009C61EA">
        <w:rPr>
          <w:rFonts w:ascii="Calibri" w:eastAsia="Calibri" w:hAnsi="Calibri" w:cs="Calibri"/>
          <w:color w:val="000000"/>
        </w:rPr>
        <w:t>659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1D74B23F" w14:textId="0E811A4F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Ilość sejfów grupujących obiekty docelowe do zarządzania członkami i ich bezpieczna autoryzacja - </w:t>
      </w:r>
      <w:r w:rsidR="009C61EA">
        <w:rPr>
          <w:rFonts w:ascii="Calibri" w:eastAsia="Calibri" w:hAnsi="Calibri" w:cs="Calibri"/>
          <w:color w:val="000000"/>
        </w:rPr>
        <w:t>174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20E6DC60" w14:textId="20296815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Ilość platform systemowych definiujących wspólne cechy dla wielu kont - </w:t>
      </w:r>
      <w:r w:rsidR="009927B1">
        <w:rPr>
          <w:rFonts w:ascii="Calibri" w:eastAsia="Calibri" w:hAnsi="Calibri" w:cs="Calibri"/>
          <w:color w:val="000000"/>
        </w:rPr>
        <w:t>91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53A11F46" w14:textId="7DCACBCC" w:rsidR="00C4086F" w:rsidRPr="00322807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322807">
        <w:rPr>
          <w:rFonts w:ascii="Calibri" w:eastAsia="Calibri" w:hAnsi="Calibri" w:cs="Calibri"/>
          <w:color w:val="000000"/>
        </w:rPr>
        <w:t xml:space="preserve">Ilość użytkowników wykorzystujących licencje Enterprise </w:t>
      </w:r>
      <w:proofErr w:type="spellStart"/>
      <w:r w:rsidRPr="00322807">
        <w:rPr>
          <w:rFonts w:ascii="Calibri" w:eastAsia="Calibri" w:hAnsi="Calibri" w:cs="Calibri"/>
          <w:color w:val="000000"/>
        </w:rPr>
        <w:t>Password</w:t>
      </w:r>
      <w:proofErr w:type="spellEnd"/>
      <w:r w:rsidRPr="00322807">
        <w:rPr>
          <w:rFonts w:ascii="Calibri" w:eastAsia="Calibri" w:hAnsi="Calibri" w:cs="Calibri"/>
          <w:color w:val="000000"/>
        </w:rPr>
        <w:t xml:space="preserve"> </w:t>
      </w:r>
      <w:proofErr w:type="spellStart"/>
      <w:r w:rsidRPr="00322807">
        <w:rPr>
          <w:rFonts w:ascii="Calibri" w:eastAsia="Calibri" w:hAnsi="Calibri" w:cs="Calibri"/>
          <w:color w:val="000000"/>
        </w:rPr>
        <w:t>Vault</w:t>
      </w:r>
      <w:proofErr w:type="spellEnd"/>
      <w:r w:rsidRPr="00322807">
        <w:rPr>
          <w:rFonts w:ascii="Calibri" w:eastAsia="Calibri" w:hAnsi="Calibri" w:cs="Calibri"/>
          <w:color w:val="000000"/>
        </w:rPr>
        <w:t xml:space="preserve"> End User - 1</w:t>
      </w:r>
      <w:r w:rsidR="008C744D">
        <w:rPr>
          <w:rFonts w:ascii="Calibri" w:eastAsia="Calibri" w:hAnsi="Calibri" w:cs="Calibri"/>
          <w:color w:val="000000"/>
        </w:rPr>
        <w:t>5</w:t>
      </w:r>
      <w:r w:rsidRPr="00322807">
        <w:rPr>
          <w:rFonts w:ascii="Calibri" w:eastAsia="Calibri" w:hAnsi="Calibri" w:cs="Calibri"/>
          <w:color w:val="000000"/>
        </w:rPr>
        <w:t>,</w:t>
      </w:r>
    </w:p>
    <w:p w14:paraId="67399672" w14:textId="64B455B2" w:rsid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322807">
        <w:rPr>
          <w:rFonts w:ascii="Calibri" w:eastAsia="Calibri" w:hAnsi="Calibri" w:cs="Calibri"/>
          <w:color w:val="000000"/>
        </w:rPr>
        <w:t xml:space="preserve">Ilość użytkowników wykorzystujących licencje </w:t>
      </w:r>
      <w:proofErr w:type="spellStart"/>
      <w:r w:rsidRPr="00322807">
        <w:rPr>
          <w:rFonts w:ascii="Calibri" w:eastAsia="Calibri" w:hAnsi="Calibri" w:cs="Calibri"/>
          <w:color w:val="000000"/>
        </w:rPr>
        <w:t>External</w:t>
      </w:r>
      <w:proofErr w:type="spellEnd"/>
      <w:r w:rsidRPr="00322807">
        <w:rPr>
          <w:rFonts w:ascii="Calibri" w:eastAsia="Calibri" w:hAnsi="Calibri" w:cs="Calibri"/>
          <w:color w:val="000000"/>
        </w:rPr>
        <w:t xml:space="preserve"> User </w:t>
      </w:r>
      <w:proofErr w:type="spellStart"/>
      <w:r w:rsidRPr="00322807">
        <w:rPr>
          <w:rFonts w:ascii="Calibri" w:eastAsia="Calibri" w:hAnsi="Calibri" w:cs="Calibri"/>
          <w:color w:val="000000"/>
        </w:rPr>
        <w:t>Type</w:t>
      </w:r>
      <w:proofErr w:type="spellEnd"/>
      <w:r w:rsidRPr="00322807">
        <w:rPr>
          <w:rFonts w:ascii="Calibri" w:eastAsia="Calibri" w:hAnsi="Calibri" w:cs="Calibri"/>
          <w:color w:val="000000"/>
        </w:rPr>
        <w:t xml:space="preserve"> - </w:t>
      </w:r>
      <w:r w:rsidR="007B742F">
        <w:rPr>
          <w:rFonts w:ascii="Calibri" w:eastAsia="Calibri" w:hAnsi="Calibri" w:cs="Calibri"/>
          <w:color w:val="000000"/>
        </w:rPr>
        <w:t>71</w:t>
      </w:r>
      <w:r w:rsidRPr="00322807">
        <w:rPr>
          <w:rFonts w:ascii="Calibri" w:eastAsia="Calibri" w:hAnsi="Calibri" w:cs="Calibri"/>
          <w:color w:val="000000"/>
        </w:rPr>
        <w:t>,</w:t>
      </w:r>
    </w:p>
    <w:p w14:paraId="5E3D1A76" w14:textId="77777777" w:rsidR="00674E8E" w:rsidRPr="00322807" w:rsidRDefault="00674E8E" w:rsidP="00674E8E">
      <w:p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</w:p>
    <w:p w14:paraId="636785A0" w14:textId="77777777" w:rsidR="00C4086F" w:rsidRPr="00C4086F" w:rsidRDefault="00C4086F" w:rsidP="00C4086F">
      <w:pPr>
        <w:numPr>
          <w:ilvl w:val="1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Zapewniające zdalny dostęp do obiektów bez konieczności zestawiania dodatkowego bezpiecznego kanału łączności (VPN):</w:t>
      </w:r>
    </w:p>
    <w:p w14:paraId="157E2C9C" w14:textId="77777777" w:rsid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>Privileged Remote Access Management (Alero).</w:t>
      </w:r>
    </w:p>
    <w:p w14:paraId="3503A091" w14:textId="77777777" w:rsidR="00794BC3" w:rsidRPr="00C4086F" w:rsidRDefault="00794BC3" w:rsidP="00794BC3">
      <w:p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  <w:lang w:val="en-US"/>
        </w:rPr>
      </w:pPr>
    </w:p>
    <w:p w14:paraId="24821C37" w14:textId="77777777" w:rsidR="00C4086F" w:rsidRPr="00444B85" w:rsidRDefault="00C4086F" w:rsidP="00C4086F">
      <w:pPr>
        <w:spacing w:line="267" w:lineRule="auto"/>
        <w:ind w:right="43"/>
        <w:jc w:val="both"/>
        <w:rPr>
          <w:rFonts w:ascii="Calibri" w:eastAsia="Calibri" w:hAnsi="Calibri" w:cs="Calibri"/>
          <w:color w:val="FF0000"/>
        </w:rPr>
      </w:pPr>
      <w:r w:rsidRPr="00444B85">
        <w:rPr>
          <w:rFonts w:ascii="Calibri" w:eastAsia="Calibri" w:hAnsi="Calibri" w:cs="Calibri"/>
          <w:color w:val="FF0000"/>
        </w:rPr>
        <w:t>UWAGA, PUNKTY OD 3 DO 6 PONIŻSZEGO OPISU DOTYCZĄ ROZWIĄZANIA RÓWNOWAŻNEGO I SĄ SKIEROWANE JEDYNIE DO WYKONAWCÓW, KTÓRZY OFERUJĄ ROZWIĄZANIE RÓWNOWAŻNE DO OPISANEGO POWYŻEJ.</w:t>
      </w:r>
    </w:p>
    <w:p w14:paraId="3C347BD5" w14:textId="77777777" w:rsidR="001C7EA5" w:rsidRPr="00444B85" w:rsidRDefault="001C7EA5" w:rsidP="00C4086F">
      <w:pPr>
        <w:spacing w:line="267" w:lineRule="auto"/>
        <w:ind w:right="43"/>
        <w:jc w:val="both"/>
        <w:rPr>
          <w:rFonts w:ascii="Calibri" w:eastAsia="Calibri" w:hAnsi="Calibri" w:cs="Calibri"/>
          <w:color w:val="FF0000"/>
        </w:rPr>
      </w:pPr>
    </w:p>
    <w:p w14:paraId="2E811EA8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W przypadku zaoferowania rozwiązania równorzędnego Wykonawca musi spełnić wymagania w zakresie:</w:t>
      </w:r>
    </w:p>
    <w:p w14:paraId="2A81E11C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Zapewnienia równoważnego rozwiązania spełniającego szczegółowe wymagania dot. równoważności ujętego w pkt. 4. Dostarczone rozwiązanie musi spełniać dodatkowe wymagania ilościowe w zakresie:</w:t>
      </w:r>
    </w:p>
    <w:p w14:paraId="53A5ACFD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Dostępu dla użytkowników ujętego w pkt. 1.1</w:t>
      </w:r>
    </w:p>
    <w:p w14:paraId="15EA3A2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Licencjonowania ujętego w pkt. 1.2</w:t>
      </w:r>
    </w:p>
    <w:p w14:paraId="55C4E41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contextualSpacing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Wsparcia technicznego ujętego w pkt 1.3</w:t>
      </w:r>
    </w:p>
    <w:p w14:paraId="7D7054D2" w14:textId="2154FB0B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Zapewnienia migracji wszystkich skonfigurowanych w zakresie wykorzystywanego oprogramowania </w:t>
      </w:r>
      <w:proofErr w:type="spellStart"/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proofErr w:type="spellEnd"/>
      <w:r w:rsidR="00737C97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komponentów połączeniowych, kont użytkowników, polityk dostępu, elementów systemu oraz obiektów docelowych, które zostały szczegółowo ujęte w pkt. 5.</w:t>
      </w:r>
    </w:p>
    <w:p w14:paraId="5972FB24" w14:textId="13B9A0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 uwagi na krytyczną specyfikę oprogramowania do zarządzania kontami uprzywilejowanymi</w:t>
      </w:r>
      <w:r w:rsidR="002E17FA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w celu zapewniania ciągłości dostępu do systemów Zamawiającego Wykonawca do czasu zakończenia procesu wdrożenia, migracji, testów oraz uruchomienia oprogramowania równoważnego zapewni Zamawiającemu licencje na posiadane oprogramowanie </w:t>
      </w:r>
      <w:proofErr w:type="spellStart"/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proofErr w:type="spellEnd"/>
      <w:r w:rsidR="00737C97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 xml:space="preserve">dla </w:t>
      </w:r>
      <w:r w:rsidR="00674E8E">
        <w:rPr>
          <w:rFonts w:ascii="Calibri" w:eastAsia="Calibri" w:hAnsi="Calibri" w:cs="Calibri"/>
          <w:color w:val="000000"/>
        </w:rPr>
        <w:t>95</w:t>
      </w:r>
      <w:r w:rsidRPr="00C4086F">
        <w:rPr>
          <w:rFonts w:ascii="Calibri" w:eastAsia="Calibri" w:hAnsi="Calibri" w:cs="Calibri"/>
          <w:color w:val="000000"/>
        </w:rPr>
        <w:t xml:space="preserve"> użytkowników zewnętrznych i 2</w:t>
      </w:r>
      <w:r w:rsidR="00674E8E">
        <w:rPr>
          <w:rFonts w:ascii="Calibri" w:eastAsia="Calibri" w:hAnsi="Calibri" w:cs="Calibri"/>
          <w:color w:val="000000"/>
        </w:rPr>
        <w:t>5</w:t>
      </w:r>
      <w:r w:rsidRPr="00C4086F">
        <w:rPr>
          <w:rFonts w:ascii="Calibri" w:eastAsia="Calibri" w:hAnsi="Calibri" w:cs="Calibri"/>
          <w:color w:val="000000"/>
        </w:rPr>
        <w:t xml:space="preserve"> użytkowników wewnętrznych.</w:t>
      </w:r>
    </w:p>
    <w:p w14:paraId="2B1981DA" w14:textId="7ECA27E2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 czasu zakończenia migracji do rozwiązania równoważnego</w:t>
      </w:r>
      <w:r w:rsidR="002E17FA">
        <w:rPr>
          <w:rFonts w:ascii="Calibri" w:eastAsia="Calibri" w:hAnsi="Calibri" w:cs="Calibri"/>
          <w:color w:val="000000"/>
        </w:rPr>
        <w:t>, Wykonawca</w:t>
      </w:r>
      <w:r w:rsidRPr="00C4086F">
        <w:rPr>
          <w:rFonts w:ascii="Calibri" w:eastAsia="Calibri" w:hAnsi="Calibri" w:cs="Calibri"/>
          <w:color w:val="000000"/>
        </w:rPr>
        <w:t xml:space="preserve"> zapewni wsparcie techniczne dla obecnego rozwiązania  zgodnie z opisem ujętym w pkt 1.3.</w:t>
      </w:r>
    </w:p>
    <w:p w14:paraId="0C973FA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Przeprowadzenia cyklu szkoleń dla administratorów systemu szczegółowo ujętego w pkt. 6.</w:t>
      </w:r>
    </w:p>
    <w:p w14:paraId="2171604E" w14:textId="622C968D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Zapewnić wsparcie inżynierskie w ilości </w:t>
      </w:r>
      <w:r w:rsidR="002E17FA">
        <w:rPr>
          <w:rFonts w:ascii="Calibri" w:eastAsia="Calibri" w:hAnsi="Calibri" w:cs="Calibri"/>
          <w:color w:val="000000"/>
        </w:rPr>
        <w:t xml:space="preserve">300 </w:t>
      </w:r>
      <w:r w:rsidRPr="00C4086F">
        <w:rPr>
          <w:rFonts w:ascii="Calibri" w:eastAsia="Calibri" w:hAnsi="Calibri" w:cs="Calibri"/>
          <w:color w:val="000000"/>
        </w:rPr>
        <w:t xml:space="preserve">godzin dla wdrożonego rozwiązania równoważnego zgodnie z zakresem Asysty Technicznej i Konfiguracji ujętym w pkt. 1.4. Zwiększenie ilości wsparcia inżynierskiego w stosunku do ilości godzin wskazanych w pkt. 1.4 wynika z faktu, że Zamawiający posiada wieloletnie doświadczenie w administrowaniu i konfigurowaniu środowiskiem </w:t>
      </w:r>
      <w:proofErr w:type="spellStart"/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proofErr w:type="spellEnd"/>
      <w:r w:rsidR="00737C97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 xml:space="preserve">i nie posiada analogicznych kompetencji w stosunku do oferowanego rozwiązania równoważnego. </w:t>
      </w:r>
    </w:p>
    <w:p w14:paraId="15884F21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Opis funkcjonalności rozwiązania równoważnego dla licencji wskazanej w pkt. 1: </w:t>
      </w:r>
    </w:p>
    <w:p w14:paraId="295060B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Oferowane rozwiązanie równoważne musi być dostarczone przez tego samego producenta. Nie dopuszcza się łączenia komponentów lub składników różnych producentów w celu zapewnienia równoważności oferowanego rozwiązania . </w:t>
      </w:r>
    </w:p>
    <w:p w14:paraId="0B9AD0AE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posiadać architekturę modularną umożliwiającą skalowanie rozwiązania w zakresie wydajności oraz niezawodności.</w:t>
      </w:r>
    </w:p>
    <w:p w14:paraId="4D445D48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musi umożliwiać instalację w infrastrukturze Zamawiającego oraz wspierać możliwość przeprowadzenia konfiguracji w zakresie wysokiej dostępności (klaster Active-</w:t>
      </w:r>
      <w:proofErr w:type="spellStart"/>
      <w:r w:rsidRPr="00C4086F">
        <w:rPr>
          <w:rFonts w:ascii="Calibri" w:eastAsia="Calibri" w:hAnsi="Calibri" w:cs="Calibri"/>
          <w:color w:val="000000"/>
        </w:rPr>
        <w:t>Passive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lub Active-Active).</w:t>
      </w:r>
    </w:p>
    <w:p w14:paraId="52BB643A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zapewniać użytkownikom możliwość dostępu do obiektów docelowych z wykorzystaniem:</w:t>
      </w:r>
    </w:p>
    <w:p w14:paraId="7A00F37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dedykowanego, spersonalizowanego interfejsu Web będącego częścią oferowanego rozwiązania równoważnego,</w:t>
      </w:r>
    </w:p>
    <w:p w14:paraId="1187FEE2" w14:textId="357C2E0E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składni połączeniowej dla dedykowanych, natywnych sposobów połączeń dla systemów Windows – RDP</w:t>
      </w:r>
      <w:r w:rsidR="002E17FA">
        <w:rPr>
          <w:rFonts w:ascii="Calibri" w:eastAsia="Calibri" w:hAnsi="Calibri" w:cs="Calibri"/>
          <w:color w:val="000000"/>
        </w:rPr>
        <w:t>,</w:t>
      </w:r>
    </w:p>
    <w:p w14:paraId="2949ECDC" w14:textId="77FFAD45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Składni połączeniowej dla dedykowanych, natywnych sposobów połączeń dla systemów Windows, Linux i Unix – SSH</w:t>
      </w:r>
      <w:r w:rsidR="002E17FA">
        <w:rPr>
          <w:rFonts w:ascii="Calibri" w:eastAsia="Calibri" w:hAnsi="Calibri" w:cs="Calibri"/>
          <w:color w:val="000000"/>
        </w:rPr>
        <w:t>,</w:t>
      </w:r>
    </w:p>
    <w:p w14:paraId="141075B6" w14:textId="639896BB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sesji tunelowanej w ramach połączenia z wykorzystaniem przeglądarki internetowej obsługującej html5</w:t>
      </w:r>
      <w:r w:rsidR="00B35CDD">
        <w:rPr>
          <w:rFonts w:ascii="Calibri" w:eastAsia="Calibri" w:hAnsi="Calibri" w:cs="Calibri"/>
          <w:color w:val="000000"/>
        </w:rPr>
        <w:t>,</w:t>
      </w:r>
    </w:p>
    <w:p w14:paraId="56808D06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Dostępu zdalnego opisanego w pkt 2.3</w:t>
      </w:r>
    </w:p>
    <w:p w14:paraId="1CAF0B14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w szczególności zapewniać możliwość integracji z:</w:t>
      </w:r>
    </w:p>
    <w:p w14:paraId="0248C753" w14:textId="23ED7300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Domeną Active Directory w zakresie kont użytkowników</w:t>
      </w:r>
      <w:r w:rsidR="00120FB4">
        <w:rPr>
          <w:rFonts w:ascii="Calibri" w:eastAsia="Calibri" w:hAnsi="Calibri" w:cs="Calibri"/>
          <w:color w:val="000000"/>
        </w:rPr>
        <w:t>, grup zabezpieczeń</w:t>
      </w:r>
      <w:r w:rsidRPr="00C4086F">
        <w:rPr>
          <w:rFonts w:ascii="Calibri" w:eastAsia="Calibri" w:hAnsi="Calibri" w:cs="Calibri"/>
          <w:color w:val="000000"/>
        </w:rPr>
        <w:t xml:space="preserve"> oraz autoryzacji w domenie,</w:t>
      </w:r>
    </w:p>
    <w:p w14:paraId="3D137273" w14:textId="51C83723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Serwerem RADIUS w celu konfiguracji uwierzytelniania dwuskładnikowego i/lub dwuetapowego, </w:t>
      </w:r>
    </w:p>
    <w:p w14:paraId="2E1A819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Serwerem Remote Desktop Services w celu umożliwienia dostępu do aplikacji typu gruby klient i dostępnych przez przeglądarkę internetową,</w:t>
      </w:r>
    </w:p>
    <w:p w14:paraId="49E975B6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Systemem SIEM w zakresie przekazywania logów,</w:t>
      </w:r>
    </w:p>
    <w:p w14:paraId="1C559F6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Systemem pocztowy Microsoft Exchange, w tym w szczególności z pocztą opartą o rozwiązanie O365 w zakresie wysyłania powiadomień.</w:t>
      </w:r>
    </w:p>
    <w:p w14:paraId="1BD04B6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w szczególności wspierać możliwość zarządzania kontami uprzywilejowanymi dla:</w:t>
      </w:r>
    </w:p>
    <w:p w14:paraId="20E91E8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Systemów operacyjnych: Windows Desktop i Server, Windows SSH, MAC OSX, Linux, HP-UX.</w:t>
      </w:r>
    </w:p>
    <w:p w14:paraId="2A45342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Baz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danych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>: MySQL, Oracle, SQL Server, Postgres SQL, Informix, Microsoft SQL.</w:t>
      </w:r>
    </w:p>
    <w:p w14:paraId="3BED9EF8" w14:textId="5F43F028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Urządzeń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>: Fortinet, Cisco, Checkpoint, HP,  Palo Alto Networks, F5, Aruba</w:t>
      </w:r>
      <w:r w:rsidR="0057573D">
        <w:rPr>
          <w:rFonts w:ascii="Calibri" w:eastAsia="Calibri" w:hAnsi="Calibri" w:cs="Calibri"/>
          <w:color w:val="000000"/>
          <w:lang w:val="en-US"/>
        </w:rPr>
        <w:t>.</w:t>
      </w:r>
    </w:p>
    <w:p w14:paraId="25F866CA" w14:textId="4C61212C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Środowisk </w:t>
      </w:r>
      <w:proofErr w:type="spellStart"/>
      <w:r w:rsidRPr="00C4086F">
        <w:rPr>
          <w:rFonts w:ascii="Calibri" w:eastAsia="Calibri" w:hAnsi="Calibri" w:cs="Calibri"/>
          <w:color w:val="000000"/>
        </w:rPr>
        <w:t>wirtulizacyjnych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Vmware ESX/</w:t>
      </w:r>
      <w:proofErr w:type="spellStart"/>
      <w:r w:rsidRPr="00C4086F">
        <w:rPr>
          <w:rFonts w:ascii="Calibri" w:eastAsia="Calibri" w:hAnsi="Calibri" w:cs="Calibri"/>
          <w:color w:val="000000"/>
        </w:rPr>
        <w:t>ESXi</w:t>
      </w:r>
      <w:proofErr w:type="spellEnd"/>
      <w:r w:rsidR="0057573D">
        <w:rPr>
          <w:rFonts w:ascii="Calibri" w:eastAsia="Calibri" w:hAnsi="Calibri" w:cs="Calibri"/>
          <w:color w:val="000000"/>
        </w:rPr>
        <w:t>.</w:t>
      </w:r>
    </w:p>
    <w:p w14:paraId="458C0CED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dawać możliwość tworzenia połączeń typu SSH do niestandardowych dedykowanych rozwiązań z możliwością ich parametryzacji umożliwiającej prawidłową komunikację z takim systemem z wykorzystaniem skryptów lub innych mechanizmów realizowanych i wspieranych przez producenta rozwiązania dostępnych nieodpłatnie na oficjalnej stronie producenta rozwiązania. Producent powinien udostępniać nie mniej niż 200 unikalnych integracji udostępnionych w ramach wspomnianego portalu.</w:t>
      </w:r>
    </w:p>
    <w:p w14:paraId="28D8CD1F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zapewniać możliwość definiowania parametrów w zakresie zarządzania hasłami kont uprzywilejowanych co najmniej w zakresie:</w:t>
      </w:r>
    </w:p>
    <w:p w14:paraId="2041DCC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polityk złożoności hasła w zakresie jego długości oraz zawartości (duże litery, małe litery, cyfry, znaki specjalne).</w:t>
      </w:r>
    </w:p>
    <w:p w14:paraId="19BE9E5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Automatycznego generowania hasła dla kont systemów docelowych zgodnie ze zdefiniowaną polityką złożoności haseł.</w:t>
      </w:r>
    </w:p>
    <w:p w14:paraId="40CC913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Generowania unikalnego hasła dla konta systemów docelowych.</w:t>
      </w:r>
    </w:p>
    <w:p w14:paraId="02EB0A1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Ręcznej (inicjowaną przez administratora) zmiany hasła na wskazanym koncie systemu docelowego.</w:t>
      </w:r>
    </w:p>
    <w:p w14:paraId="0DEF403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częstotliwości zmiany hasła (klucza SSH) na kontach systemów docelowych (codziennie, tygodniowo, miesięcznie).</w:t>
      </w:r>
    </w:p>
    <w:p w14:paraId="2E80583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Automatycznej zmieniany hasła (klucza SSH) na wskazanych kontach systemów  docelowych zgodnie ze zdefiniowaną polityką częstotliwości zmiany hasła.</w:t>
      </w:r>
    </w:p>
    <w:p w14:paraId="0CC5816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Dla systemów operacyjnych MS Windows zmianie musi podlegać także hasło w usługach które korzystają z konta dla którego hasło zostało automatycznie zmienione.</w:t>
      </w:r>
    </w:p>
    <w:p w14:paraId="100278E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Weryfikacji zgodności hasła (klucza SSH) na koncie systemu docelowego z hasłem zapisanym w Systemie ze zdefiniowaną częstotliwością (codziennie, tygodniowo, miesięcznie).</w:t>
      </w:r>
    </w:p>
    <w:p w14:paraId="49E5150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Automatycznej zmiany haseł (klucza SSH) na systemach docelowych, który będzie ponawiał próby ich zmiany do czasu aż zmiana zakończy się powodzeniem lub zatrzyma się po określonej ilości prób.</w:t>
      </w:r>
    </w:p>
    <w:p w14:paraId="74638E1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Zapisywania zdefiniowanej wcześniejszych ilości haseł dla systemów docelowych i ich przeglądanie.</w:t>
      </w:r>
    </w:p>
    <w:p w14:paraId="2A4F1A8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Oferowane rozwiązanie równoważne musi zapewnić możliwość zmiany haseł poprzez: SSH / Telnet, API do zewnętrznych aplikacji, możliwość wykonywania zmian oraz weryfikacji spójności haseł poprzez symulację działań użytkownika w sesji aplikacji Web.</w:t>
      </w:r>
    </w:p>
    <w:p w14:paraId="37BA08A9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zapewniać możliwość zarządzania kluczami RSA i DSA co najmniej w zakresie:</w:t>
      </w:r>
    </w:p>
    <w:p w14:paraId="76EAFDC7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reguł określających typ klucza (RSA lub DSA), długość klucza oraz dawać możliwość ich szyfrowania zgodnie ze zdefiniowaną polityką.</w:t>
      </w:r>
    </w:p>
    <w:p w14:paraId="3016B8F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Automatycznego generowania kluczy zgodnie ze zdefiniowanymi regułami.</w:t>
      </w:r>
    </w:p>
    <w:p w14:paraId="72C20D47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Definiowania polityk częstotliwości zmiany kluczy systemów docelowych.</w:t>
      </w:r>
    </w:p>
    <w:p w14:paraId="1984562E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zapewniać możliwość zarządzania sesjami wykorzystującymi konta uprzywilejowane co najmniej w zakresie:</w:t>
      </w:r>
    </w:p>
    <w:p w14:paraId="04EAE015" w14:textId="08F82949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zestawienia sesji do systemu docelowego, bez konieczności podawania przez użytkownika hasła (klucza SSH) lub konta w systemie docelowym dla systemów Windows, Unix, Linux.</w:t>
      </w:r>
    </w:p>
    <w:p w14:paraId="41A3300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Zestawienia sesji do systemu docelowego z wykorzystaniem protokołów </w:t>
      </w:r>
      <w:proofErr w:type="spellStart"/>
      <w:r w:rsidRPr="00C4086F">
        <w:rPr>
          <w:rFonts w:ascii="Calibri" w:eastAsia="Calibri" w:hAnsi="Calibri" w:cs="Calibri"/>
          <w:color w:val="000000"/>
        </w:rPr>
        <w:t>https</w:t>
      </w:r>
      <w:proofErr w:type="spellEnd"/>
      <w:r w:rsidRPr="00C4086F">
        <w:rPr>
          <w:rFonts w:ascii="Calibri" w:eastAsia="Calibri" w:hAnsi="Calibri" w:cs="Calibri"/>
          <w:color w:val="000000"/>
        </w:rPr>
        <w:t>, SSH i RDP.</w:t>
      </w:r>
    </w:p>
    <w:p w14:paraId="2C76C22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Blokowania i zrywania sesji zestawionych do systemu docelowego przez System przez uprawnionego użytkownika.</w:t>
      </w:r>
    </w:p>
    <w:p w14:paraId="6302454D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Funkcjonalności umożliwiającej zmianę hasła na koncie systemu docelowego po zakończeniu połączenia z tym systemem.</w:t>
      </w:r>
    </w:p>
    <w:p w14:paraId="69298897" w14:textId="33549AC1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Zestawienia sesji SSH do systemu docelowego bez konieczności podawania przez użytkownika hasła konta w systemie docelowym z wykorzystaniem dowolnego klienta SSH.</w:t>
      </w:r>
    </w:p>
    <w:p w14:paraId="7969FF17" w14:textId="4FC1B1A8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Zestawienia sesji RDP do systemu docelowego bez konieczności podawania przez użytkownika hasła konta w systemie docelowym</w:t>
      </w:r>
      <w:r w:rsidR="0057573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z wykorzystaniem dowolnego klienta RDP.</w:t>
      </w:r>
    </w:p>
    <w:p w14:paraId="726C0752" w14:textId="4DAE60A3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Zestawienia połączenia RDP lub SSH z wykorzystaniem dowolnego klienta bez konieczności wcześniejszego logowania się do interfejsu Systemu (z wyłączeniem sytuacji w której skonfigurowane jest logowanie typu dwuskładniowego lub dwuetapowego dla użytkownika korzystającego z sesji RDP).</w:t>
      </w:r>
    </w:p>
    <w:p w14:paraId="3561B94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zapewniać funkcjonalności w zakresie nagrywania i monitorowania sesji zdalnych wykorzystujących konta uprzywilejowane co najmniej w zakresie:</w:t>
      </w:r>
    </w:p>
    <w:p w14:paraId="010D55E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nagrywania i podglądu na żywo przez uprawnionych użytkowników sesji zestawianych za pośrednictwem Systemu do systemów docelowych.</w:t>
      </w:r>
    </w:p>
    <w:p w14:paraId="77A422A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zablokowania lub zakończenia przez uprawnionych użytkowników aktywnej sesji do systemu docelowych.</w:t>
      </w:r>
    </w:p>
    <w:p w14:paraId="6ED1536D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odtwarzania nagranych wcześniej sesji przez uprawnionych użytkowników Systemu.</w:t>
      </w:r>
    </w:p>
    <w:p w14:paraId="6F7A795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Możliwości indeksowania nagrań umożliwiających szybkie przeszukiwanie pod kontem występowania słów kluczowych z wykorzystaniem danych o użytych komendach SQL, odpowiedziach okien systemu operacyjnego oraz </w:t>
      </w:r>
      <w:proofErr w:type="spellStart"/>
      <w:r w:rsidRPr="00C4086F">
        <w:rPr>
          <w:rFonts w:ascii="Calibri" w:eastAsia="Calibri" w:hAnsi="Calibri" w:cs="Calibri"/>
          <w:color w:val="000000"/>
        </w:rPr>
        <w:t>keystrokes</w:t>
      </w:r>
      <w:proofErr w:type="spellEnd"/>
      <w:r w:rsidRPr="00C4086F">
        <w:rPr>
          <w:rFonts w:ascii="Calibri" w:eastAsia="Calibri" w:hAnsi="Calibri" w:cs="Calibri"/>
          <w:color w:val="000000"/>
        </w:rPr>
        <w:t>.</w:t>
      </w:r>
    </w:p>
    <w:p w14:paraId="488E5C2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w zakresie identyfikacji i rozliczalności jednoczesnego wykorzystania konta współdzielonego przez więcej niż jednego użytkownika.</w:t>
      </w:r>
    </w:p>
    <w:p w14:paraId="1872BBC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rejestracji poleceń i ich wyników dla sesji SSH z możliwością wyszukiwania tekstowego.</w:t>
      </w:r>
    </w:p>
    <w:p w14:paraId="049BB40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rejestracji aktywności w sesji RDP, uwzględniającej kliknięcia myszą, nazwy otwieranych okien z możliwością wyszukiwania tekstowego.</w:t>
      </w:r>
    </w:p>
    <w:p w14:paraId="6456B42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Możliwości zdefiniowania poleceń, których wydanie spowoduje ich blokadę (brak wykonania), blokadę sesji lub zakończenie sesji do systemu docelowego (dla sesji SSH).</w:t>
      </w:r>
    </w:p>
    <w:p w14:paraId="6D4B2CAA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wspierać mechanizmy zarządzania użytkownikami i grupami użytkowników co najmniej w zakresie:</w:t>
      </w:r>
    </w:p>
    <w:p w14:paraId="77FD5B6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Zarządzania dostępem jego użytkowników do haseł i/lub sesji kont systemów docelowych.</w:t>
      </w:r>
    </w:p>
    <w:p w14:paraId="4DA99DE5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Łączenia jego użytkowników w grupy w celu uproszczenia procesu nadawania uprawnień.</w:t>
      </w:r>
    </w:p>
    <w:p w14:paraId="7F1B3BAB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Oprogramowanie równoważne musi zapewniać dodatkowe zaimplementowane mechanizmy komunikacyjne i szyfrujące zapewniające co najmniej:</w:t>
      </w:r>
    </w:p>
    <w:p w14:paraId="52CD1B63" w14:textId="35BE2256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Dla wskazanych użytkowników lub grupy użytkowników możliwość dostępu do systemów </w:t>
      </w:r>
      <w:r w:rsidR="0057573D" w:rsidRPr="00C4086F">
        <w:rPr>
          <w:rFonts w:ascii="Calibri" w:eastAsia="Calibri" w:hAnsi="Calibri" w:cs="Calibri"/>
          <w:color w:val="000000"/>
        </w:rPr>
        <w:t>i</w:t>
      </w:r>
      <w:r w:rsidR="0057573D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 xml:space="preserve">zasobów Zamawiającego bez konieczności podłączania zewnętrznych stacji roboczych do sieci Zamawiającego, w tym w szczególności bez konieczności instalacji dodatkowego oprogramowania do tunelowania połączenia VPN (ang. Virtual </w:t>
      </w:r>
      <w:proofErr w:type="spellStart"/>
      <w:r w:rsidRPr="00C4086F">
        <w:rPr>
          <w:rFonts w:ascii="Calibri" w:eastAsia="Calibri" w:hAnsi="Calibri" w:cs="Calibri"/>
          <w:color w:val="000000"/>
        </w:rPr>
        <w:t>Private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Network), oraz wykorzystania licencji lub urządzeń dostępowych potrzebnych do zrealizowania takiego połączenia. </w:t>
      </w:r>
    </w:p>
    <w:p w14:paraId="21A08001" w14:textId="7A293219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Możliwość uwierzytelniania użytkowników oferowanego rozwiązania równoważnego z wykorzystaniem możliwości biometryczne urządzeń mobilnych (smartfonów, tabletów itd.) dostępnej dla minimum </w:t>
      </w:r>
      <w:r w:rsidR="0057573D">
        <w:rPr>
          <w:rFonts w:ascii="Calibri" w:eastAsia="Calibri" w:hAnsi="Calibri" w:cs="Calibri"/>
          <w:color w:val="000000"/>
        </w:rPr>
        <w:t>i</w:t>
      </w:r>
      <w:r w:rsidR="0057573D" w:rsidRPr="00C4086F">
        <w:rPr>
          <w:rFonts w:ascii="Calibri" w:eastAsia="Calibri" w:hAnsi="Calibri" w:cs="Calibri"/>
          <w:color w:val="000000"/>
        </w:rPr>
        <w:t xml:space="preserve">OS </w:t>
      </w:r>
      <w:r w:rsidRPr="00C4086F">
        <w:rPr>
          <w:rFonts w:ascii="Calibri" w:eastAsia="Calibri" w:hAnsi="Calibri" w:cs="Calibri"/>
          <w:color w:val="000000"/>
        </w:rPr>
        <w:t>oraz Android, które umożliwiają wskazanym i  autoryzowanym użytkownikom w sposób bezpieczny i uprzywilejowany zrealizować dostęp do  systemów i zasobów Zamawiającego za pomocą</w:t>
      </w:r>
      <w:r w:rsidR="0057573D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odcisku palca lub systemu rozpoznawania twarzy wbudowanego w urządzenie mobilne.</w:t>
      </w:r>
    </w:p>
    <w:p w14:paraId="255B7471" w14:textId="1973D2E2" w:rsidR="00C4086F" w:rsidRPr="00C4086F" w:rsidRDefault="0057573D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P</w:t>
      </w:r>
      <w:r w:rsidRPr="00C4086F">
        <w:rPr>
          <w:rFonts w:ascii="Calibri" w:eastAsia="Calibri" w:hAnsi="Calibri" w:cs="Calibri"/>
          <w:color w:val="000000"/>
        </w:rPr>
        <w:t xml:space="preserve">ełną </w:t>
      </w:r>
      <w:r w:rsidR="00C4086F" w:rsidRPr="00C4086F">
        <w:rPr>
          <w:rFonts w:ascii="Calibri" w:eastAsia="Calibri" w:hAnsi="Calibri" w:cs="Calibri"/>
          <w:color w:val="000000"/>
        </w:rPr>
        <w:t>widoczność i kontrolę podłączonych zdalnych użytkowników bez konieczności stosowania połączeń VPN.</w:t>
      </w:r>
    </w:p>
    <w:p w14:paraId="408ED0DE" w14:textId="134AEEE3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Możliwość obsługi następujących składników uwierzytelniających MFA</w:t>
      </w:r>
      <w:r w:rsidR="0057573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tj.: hasło, </w:t>
      </w:r>
      <w:r w:rsidR="0057573D">
        <w:rPr>
          <w:rFonts w:ascii="Calibri" w:eastAsia="Calibri" w:hAnsi="Calibri" w:cs="Calibri"/>
          <w:color w:val="000000"/>
        </w:rPr>
        <w:t>SMS</w:t>
      </w:r>
      <w:r w:rsidRPr="00C4086F">
        <w:rPr>
          <w:rFonts w:ascii="Calibri" w:eastAsia="Calibri" w:hAnsi="Calibri" w:cs="Calibri"/>
          <w:color w:val="000000"/>
        </w:rPr>
        <w:t xml:space="preserve">, email, </w:t>
      </w:r>
      <w:proofErr w:type="spellStart"/>
      <w:r w:rsidRPr="00C4086F">
        <w:rPr>
          <w:rFonts w:ascii="Calibri" w:eastAsia="Calibri" w:hAnsi="Calibri" w:cs="Calibri"/>
          <w:color w:val="000000"/>
        </w:rPr>
        <w:t>oauth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, aplikacja mobilna, </w:t>
      </w:r>
      <w:r w:rsidR="0057573D">
        <w:rPr>
          <w:rFonts w:ascii="Calibri" w:eastAsia="Calibri" w:hAnsi="Calibri" w:cs="Calibri"/>
          <w:color w:val="000000"/>
        </w:rPr>
        <w:t>rozmowa telefoniczna</w:t>
      </w:r>
      <w:r w:rsidRPr="00C4086F">
        <w:rPr>
          <w:rFonts w:ascii="Calibri" w:eastAsia="Calibri" w:hAnsi="Calibri" w:cs="Calibri"/>
          <w:color w:val="000000"/>
        </w:rPr>
        <w:t xml:space="preserve">, pytanie bezpieczeństwa, aplikacja desktopowa OTP, </w:t>
      </w:r>
      <w:proofErr w:type="spellStart"/>
      <w:r w:rsidRPr="00C4086F">
        <w:rPr>
          <w:rFonts w:ascii="Calibri" w:eastAsia="Calibri" w:hAnsi="Calibri" w:cs="Calibri"/>
          <w:color w:val="000000"/>
        </w:rPr>
        <w:t>QRcode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generowany w ramach procesu uwierzytelnienia do interfejsu Systemu, umożliwiający uwierzytelnienie użytkownika przy użyciu aplikacji mobilnej uprzednio zarejestrowanej w systemie.</w:t>
      </w:r>
    </w:p>
    <w:p w14:paraId="41EFA8D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integracji modułu MFA z wykorzystaniem protokołu Radius z popularnymi klientami VPN co najmniej dla producentów: </w:t>
      </w:r>
      <w:proofErr w:type="spellStart"/>
      <w:r w:rsidRPr="00C4086F">
        <w:rPr>
          <w:rFonts w:ascii="Calibri" w:eastAsia="Calibri" w:hAnsi="Calibri" w:cs="Calibri"/>
          <w:color w:val="000000"/>
        </w:rPr>
        <w:t>Fortinet</w:t>
      </w:r>
      <w:proofErr w:type="spellEnd"/>
      <w:r w:rsidRPr="00C4086F">
        <w:rPr>
          <w:rFonts w:ascii="Calibri" w:eastAsia="Calibri" w:hAnsi="Calibri" w:cs="Calibri"/>
          <w:color w:val="000000"/>
        </w:rPr>
        <w:t>.</w:t>
      </w:r>
    </w:p>
    <w:p w14:paraId="222E2CC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realizacji usługi SSO dla aplikacji z wykorzystaniem następujących technologii: </w:t>
      </w:r>
      <w:proofErr w:type="spellStart"/>
      <w:r w:rsidRPr="00C4086F">
        <w:rPr>
          <w:rFonts w:ascii="Calibri" w:eastAsia="Calibri" w:hAnsi="Calibri" w:cs="Calibri"/>
          <w:color w:val="000000"/>
        </w:rPr>
        <w:t>plugin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do przeglądarki, NTLM, Basic </w:t>
      </w:r>
      <w:proofErr w:type="spellStart"/>
      <w:r w:rsidRPr="00C4086F">
        <w:rPr>
          <w:rFonts w:ascii="Calibri" w:eastAsia="Calibri" w:hAnsi="Calibri" w:cs="Calibri"/>
          <w:color w:val="000000"/>
        </w:rPr>
        <w:t>auth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, Klient Oauth2, Serwer Oauth2, </w:t>
      </w:r>
      <w:proofErr w:type="spellStart"/>
      <w:r w:rsidRPr="00C4086F">
        <w:rPr>
          <w:rFonts w:ascii="Calibri" w:eastAsia="Calibri" w:hAnsi="Calibri" w:cs="Calibri"/>
          <w:color w:val="000000"/>
        </w:rPr>
        <w:t>OpenID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Connect, SAML, WS-</w:t>
      </w:r>
      <w:proofErr w:type="spellStart"/>
      <w:r w:rsidRPr="00C4086F">
        <w:rPr>
          <w:rFonts w:ascii="Calibri" w:eastAsia="Calibri" w:hAnsi="Calibri" w:cs="Calibri"/>
          <w:color w:val="000000"/>
        </w:rPr>
        <w:t>Fed</w:t>
      </w:r>
      <w:proofErr w:type="spellEnd"/>
      <w:r w:rsidRPr="00C4086F">
        <w:rPr>
          <w:rFonts w:ascii="Calibri" w:eastAsia="Calibri" w:hAnsi="Calibri" w:cs="Calibri"/>
          <w:color w:val="000000"/>
        </w:rPr>
        <w:t>, Użytkownik – hasło.</w:t>
      </w:r>
    </w:p>
    <w:p w14:paraId="6078D03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Możliwość realizacji usługi SSO co najmniej z aplikacjami: Adobe </w:t>
      </w:r>
      <w:proofErr w:type="spellStart"/>
      <w:r w:rsidRPr="00C4086F">
        <w:rPr>
          <w:rFonts w:ascii="Calibri" w:eastAsia="Calibri" w:hAnsi="Calibri" w:cs="Calibri"/>
          <w:color w:val="000000"/>
        </w:rPr>
        <w:t>Sign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, Amazon Web Services, Office 365, </w:t>
      </w:r>
      <w:proofErr w:type="spellStart"/>
      <w:r w:rsidRPr="00C4086F">
        <w:rPr>
          <w:rFonts w:ascii="Calibri" w:eastAsia="Calibri" w:hAnsi="Calibri" w:cs="Calibri"/>
          <w:color w:val="000000"/>
        </w:rPr>
        <w:t>Zendesk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. </w:t>
      </w:r>
    </w:p>
    <w:p w14:paraId="15D8CCD6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wspierać mechanizmy zapewniające separację uprawnień co najmniej w zakresie:</w:t>
      </w:r>
    </w:p>
    <w:p w14:paraId="3936F513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Administratora Systemu zarządzania kontami uprzywilejowanymi,</w:t>
      </w:r>
    </w:p>
    <w:p w14:paraId="0C64B0B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Administratora systemu docelowego uzyskującego dostęp lub wnioskującego o dostęp do systemu docelowego lub do hasła umożliwiającego taki dostęp,</w:t>
      </w:r>
    </w:p>
    <w:p w14:paraId="0DDD56D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Zatwierdzającego wnioski o dostęp do systemu docelowego lub hasło do niego,</w:t>
      </w:r>
    </w:p>
    <w:p w14:paraId="7F5A676C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Audytora mającego dostęp do monitoringu i przeglądania sesji oraz logów.</w:t>
      </w:r>
    </w:p>
    <w:p w14:paraId="4A3EA633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musi posiadać mechanizmy wspierające czynności raportowania i audytu co najmniej w zakresie:</w:t>
      </w:r>
    </w:p>
    <w:p w14:paraId="607AD80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Generowania raportów automatyczne oraz „na żądanie”.</w:t>
      </w:r>
    </w:p>
    <w:p w14:paraId="63BF6FA5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Ograniczenia dostępu do raportów dla wskazanej grupy jego użytkowników.</w:t>
      </w:r>
    </w:p>
    <w:p w14:paraId="422AEF9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Rejestracji i raportowania procesu wnioskowania o dostęp do hasła i/lub sesji.</w:t>
      </w:r>
    </w:p>
    <w:p w14:paraId="0437891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Rejestracji i raportowania każdej aktywności związanej z kontem systemu docelowego, a w szczególności zmianę hasła na takim koncie i pobranie hasła do takiego konta.</w:t>
      </w:r>
    </w:p>
    <w:p w14:paraId="61923700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Oprogramowanie równoważne musi zapewniać wsparcie dla 32 i 64 bitowych wersji przeglądarek internetowych: Microsoft Edge, Mozilla </w:t>
      </w:r>
      <w:proofErr w:type="spellStart"/>
      <w:r w:rsidRPr="00C4086F">
        <w:rPr>
          <w:rFonts w:ascii="Calibri" w:eastAsia="Calibri" w:hAnsi="Calibri" w:cs="Calibri"/>
          <w:color w:val="000000"/>
        </w:rPr>
        <w:t>Firefox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, Google Chrome. </w:t>
      </w:r>
    </w:p>
    <w:p w14:paraId="4154F56F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Oprogramowanie równoważne nie może wymagać do prawidłowego działania wszystkich funkcjonalności dodatkowych licencji oprogramowania poza oprogramowaniem ujętym w pkt. 4.15.</w:t>
      </w:r>
    </w:p>
    <w:p w14:paraId="73587585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Dla oprogramowania równoważnego Zamawiający zapewni licencje na oprogramowanie systemowe (o ile będzie wymagane oprogramowanie komercyjne), a w szczególności na:</w:t>
      </w:r>
    </w:p>
    <w:p w14:paraId="23A1531F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System operacyjny Windows Server 2016 Standard/Datacenter lub wyższej – dowolna ilość,</w:t>
      </w:r>
    </w:p>
    <w:p w14:paraId="7EFEA400" w14:textId="414DC0DE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Licencje Windows Remote Desktop Services (istniejący serwer RDS w infrastrukturze Zamawiającego) do </w:t>
      </w:r>
      <w:r w:rsidR="00DD5B0E">
        <w:rPr>
          <w:rFonts w:ascii="Calibri" w:eastAsia="Calibri" w:hAnsi="Calibri" w:cs="Calibri"/>
          <w:color w:val="000000"/>
        </w:rPr>
        <w:t>35</w:t>
      </w:r>
      <w:r w:rsidRPr="00C4086F">
        <w:rPr>
          <w:rFonts w:ascii="Calibri" w:eastAsia="Calibri" w:hAnsi="Calibri" w:cs="Calibri"/>
          <w:color w:val="000000"/>
        </w:rPr>
        <w:t xml:space="preserve"> jednoczesnych sesji.</w:t>
      </w:r>
    </w:p>
    <w:p w14:paraId="09E688BE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W zakresie oprogramowania bezpłatnego Zamawiający dopuszcza instalację pod kontrolą systemu operacyjnego </w:t>
      </w:r>
      <w:proofErr w:type="spellStart"/>
      <w:r w:rsidRPr="00C4086F">
        <w:rPr>
          <w:rFonts w:ascii="Calibri" w:eastAsia="Calibri" w:hAnsi="Calibri" w:cs="Calibri"/>
          <w:color w:val="000000"/>
        </w:rPr>
        <w:t>Ubuntu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lub </w:t>
      </w:r>
      <w:proofErr w:type="spellStart"/>
      <w:r w:rsidRPr="00C4086F">
        <w:rPr>
          <w:rFonts w:ascii="Calibri" w:eastAsia="Calibri" w:hAnsi="Calibri" w:cs="Calibri"/>
          <w:color w:val="000000"/>
        </w:rPr>
        <w:t>RedHat</w:t>
      </w:r>
      <w:proofErr w:type="spellEnd"/>
      <w:r w:rsidRPr="00C4086F">
        <w:rPr>
          <w:rFonts w:ascii="Calibri" w:eastAsia="Calibri" w:hAnsi="Calibri" w:cs="Calibri"/>
          <w:color w:val="000000"/>
        </w:rPr>
        <w:t xml:space="preserve"> Enterprise w najnowszych wersjach </w:t>
      </w:r>
    </w:p>
    <w:p w14:paraId="6C18947F" w14:textId="3CBB2566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>W przypadku zaoferowanie rozwiązania równoważnego</w:t>
      </w:r>
      <w:r w:rsidR="00614D1B">
        <w:rPr>
          <w:rFonts w:ascii="Calibri" w:eastAsia="Calibri" w:hAnsi="Calibri" w:cs="Calibri"/>
          <w:b/>
          <w:bCs/>
          <w:color w:val="000000"/>
        </w:rPr>
        <w:t>,</w:t>
      </w:r>
      <w:r w:rsidRPr="00C4086F">
        <w:rPr>
          <w:rFonts w:ascii="Calibri" w:eastAsia="Calibri" w:hAnsi="Calibri" w:cs="Calibri"/>
          <w:b/>
          <w:bCs/>
          <w:color w:val="000000"/>
        </w:rPr>
        <w:t xml:space="preserve"> </w:t>
      </w:r>
      <w:r w:rsidR="005664B9">
        <w:rPr>
          <w:rFonts w:ascii="Calibri" w:eastAsia="Calibri" w:hAnsi="Calibri" w:cs="Calibri"/>
          <w:b/>
          <w:bCs/>
          <w:color w:val="000000"/>
        </w:rPr>
        <w:t>W</w:t>
      </w:r>
      <w:r w:rsidR="005664B9" w:rsidRPr="00C4086F">
        <w:rPr>
          <w:rFonts w:ascii="Calibri" w:eastAsia="Calibri" w:hAnsi="Calibri" w:cs="Calibri"/>
          <w:b/>
          <w:bCs/>
          <w:color w:val="000000"/>
        </w:rPr>
        <w:t xml:space="preserve">ykonawca </w:t>
      </w:r>
      <w:r w:rsidRPr="00C4086F">
        <w:rPr>
          <w:rFonts w:ascii="Calibri" w:eastAsia="Calibri" w:hAnsi="Calibri" w:cs="Calibri"/>
          <w:b/>
          <w:bCs/>
          <w:color w:val="000000"/>
        </w:rPr>
        <w:t>musi przeprowadzić w siedzibie Zamawiającego instalacje i konfigurację wszystkich komponentów oferowanego rozwiązania, a w szczególności zrealizować:</w:t>
      </w:r>
    </w:p>
    <w:p w14:paraId="0605C42D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Projekt wdrożenia zawierający opis instalacji i konfiguracji poszczególnych funkcjonalności równoważnych. Projekt ten musi zostać uzgodniony z Zamawiającym. Projekt ten posłuży do realizacji wdrożenia rozwiązania równoważnego, w szczególności do wykonania poniżej opisanych czynności i prac. </w:t>
      </w:r>
    </w:p>
    <w:p w14:paraId="2643A587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Instalację oferowanego rozwiązania równoważnego, wraz z przeprowadzeniem pełnego procesu testowania prawidłowości konfiguracji komponentów w zakresie: bezpieczeństwa, działania mechanizmów HA, wydajności obejmującej zakładaną ilość użytkowników (przy założeniu jednoczesnego nawiązania wszystkich sesji. </w:t>
      </w:r>
    </w:p>
    <w:p w14:paraId="0C31E1D8" w14:textId="729696F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Konfigurację oferowanego rozwiązania równoważnego w zakresie odpowiadającym konfiguracji posiadanego środowiska </w:t>
      </w:r>
      <w:proofErr w:type="spellStart"/>
      <w:r w:rsidR="00737C97" w:rsidRPr="00C4086F">
        <w:rPr>
          <w:rFonts w:ascii="Calibri" w:eastAsia="Calibri" w:hAnsi="Calibri" w:cs="Calibri"/>
          <w:color w:val="000000"/>
        </w:rPr>
        <w:t>Cyber</w:t>
      </w:r>
      <w:r w:rsidR="00737C97">
        <w:rPr>
          <w:rFonts w:ascii="Calibri" w:eastAsia="Calibri" w:hAnsi="Calibri" w:cs="Calibri"/>
          <w:color w:val="000000"/>
        </w:rPr>
        <w:t>A</w:t>
      </w:r>
      <w:r w:rsidR="00737C97" w:rsidRPr="00C4086F">
        <w:rPr>
          <w:rFonts w:ascii="Calibri" w:eastAsia="Calibri" w:hAnsi="Calibri" w:cs="Calibri"/>
          <w:color w:val="000000"/>
        </w:rPr>
        <w:t>rk</w:t>
      </w:r>
      <w:proofErr w:type="spellEnd"/>
      <w:r w:rsidRPr="00C4086F">
        <w:rPr>
          <w:rFonts w:ascii="Calibri" w:eastAsia="Calibri" w:hAnsi="Calibri" w:cs="Calibri"/>
          <w:color w:val="000000"/>
        </w:rPr>
        <w:t>, a w szczególności w zakresie konfiguracji:</w:t>
      </w:r>
    </w:p>
    <w:p w14:paraId="70B1DEF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obiektów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D4523">
        <w:rPr>
          <w:rFonts w:ascii="Calibri" w:eastAsia="Calibri" w:hAnsi="Calibri" w:cs="Calibri"/>
          <w:color w:val="000000"/>
          <w:lang w:val="en-US"/>
        </w:rPr>
        <w:t>docelowych</w:t>
      </w:r>
      <w:proofErr w:type="spellEnd"/>
      <w:r w:rsidRPr="00CD4523">
        <w:rPr>
          <w:rFonts w:ascii="Calibri" w:eastAsia="Calibri" w:hAnsi="Calibri" w:cs="Calibri"/>
          <w:color w:val="000000"/>
          <w:lang w:val="en-US"/>
        </w:rPr>
        <w:t xml:space="preserve"> (Windows Serwer – </w:t>
      </w:r>
      <w:proofErr w:type="spellStart"/>
      <w:r w:rsidRPr="00CD4523">
        <w:rPr>
          <w:rFonts w:ascii="Calibri" w:eastAsia="Calibri" w:hAnsi="Calibri" w:cs="Calibri"/>
          <w:color w:val="000000"/>
          <w:lang w:val="en-US"/>
        </w:rPr>
        <w:t>konta</w:t>
      </w:r>
      <w:proofErr w:type="spellEnd"/>
      <w:r w:rsidRPr="00CD4523">
        <w:rPr>
          <w:rFonts w:ascii="Calibri" w:eastAsia="Calibri" w:hAnsi="Calibri" w:cs="Calibri"/>
          <w:color w:val="000000"/>
          <w:lang w:val="en-US"/>
        </w:rPr>
        <w:t xml:space="preserve"> </w:t>
      </w:r>
      <w:proofErr w:type="spellStart"/>
      <w:r w:rsidRPr="00CD4523">
        <w:rPr>
          <w:rFonts w:ascii="Calibri" w:eastAsia="Calibri" w:hAnsi="Calibri" w:cs="Calibri"/>
          <w:color w:val="000000"/>
          <w:lang w:val="en-US"/>
        </w:rPr>
        <w:t>lokalne</w:t>
      </w:r>
      <w:proofErr w:type="spellEnd"/>
      <w:r w:rsidRPr="00CD4523">
        <w:rPr>
          <w:rFonts w:ascii="Calibri" w:eastAsia="Calibri" w:hAnsi="Calibri" w:cs="Calibri"/>
          <w:color w:val="000000"/>
          <w:lang w:val="en-US"/>
        </w:rPr>
        <w:t xml:space="preserve">, Active Directory, Linux: Ubuntu, RHEL, </w:t>
      </w:r>
      <w:proofErr w:type="spellStart"/>
      <w:r w:rsidRPr="00CD4523">
        <w:rPr>
          <w:rFonts w:ascii="Calibri" w:eastAsia="Calibri" w:hAnsi="Calibri" w:cs="Calibri"/>
          <w:color w:val="000000"/>
          <w:lang w:val="en-US"/>
        </w:rPr>
        <w:t>Suse</w:t>
      </w:r>
      <w:proofErr w:type="spellEnd"/>
      <w:r w:rsidRPr="00CD4523">
        <w:rPr>
          <w:rFonts w:ascii="Calibri" w:eastAsia="Calibri" w:hAnsi="Calibri" w:cs="Calibri"/>
          <w:color w:val="000000"/>
          <w:lang w:val="en-US"/>
        </w:rPr>
        <w:t xml:space="preserve">, Debian, HPUX, Cisco Call Manager, </w:t>
      </w:r>
      <w:proofErr w:type="spellStart"/>
      <w:r w:rsidRPr="00CD4523">
        <w:rPr>
          <w:rFonts w:ascii="Calibri" w:eastAsia="Calibri" w:hAnsi="Calibri" w:cs="Calibri"/>
          <w:color w:val="000000"/>
          <w:lang w:val="en-US"/>
        </w:rPr>
        <w:t>Fortigate</w:t>
      </w:r>
      <w:proofErr w:type="spellEnd"/>
      <w:r w:rsidRPr="00CD4523">
        <w:rPr>
          <w:rFonts w:ascii="Calibri" w:eastAsia="Calibri" w:hAnsi="Calibri" w:cs="Calibri"/>
          <w:color w:val="000000"/>
          <w:lang w:val="en-US"/>
        </w:rPr>
        <w:t>, VMware),</w:t>
      </w:r>
    </w:p>
    <w:p w14:paraId="72C40FE8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grup obiektów docelowych,</w:t>
      </w:r>
    </w:p>
    <w:p w14:paraId="66A3377B" w14:textId="162A6490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  <w:lang w:val="en-US"/>
        </w:rPr>
      </w:pPr>
      <w:r w:rsidRPr="00C4086F">
        <w:rPr>
          <w:rFonts w:ascii="Calibri" w:eastAsia="Calibri" w:hAnsi="Calibri" w:cs="Calibri"/>
          <w:color w:val="000000"/>
          <w:lang w:val="en-US"/>
        </w:rPr>
        <w:t xml:space="preserve">platform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systemowych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(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dla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systemów LX/UX/Cisco – SSH, </w:t>
      </w:r>
      <w:r w:rsidR="00614D1B" w:rsidRPr="00C4086F">
        <w:rPr>
          <w:rFonts w:ascii="Calibri" w:eastAsia="Calibri" w:hAnsi="Calibri" w:cs="Calibri"/>
          <w:color w:val="000000"/>
          <w:lang w:val="en-US"/>
        </w:rPr>
        <w:t>Win</w:t>
      </w:r>
      <w:r w:rsidR="00614D1B">
        <w:rPr>
          <w:rFonts w:ascii="Calibri" w:eastAsia="Calibri" w:hAnsi="Calibri" w:cs="Calibri"/>
          <w:color w:val="000000"/>
          <w:lang w:val="en-US"/>
        </w:rPr>
        <w:t>SCP</w:t>
      </w:r>
      <w:r w:rsidRPr="00C4086F">
        <w:rPr>
          <w:rFonts w:ascii="Calibri" w:eastAsia="Calibri" w:hAnsi="Calibri" w:cs="Calibri"/>
          <w:color w:val="000000"/>
          <w:lang w:val="en-US"/>
        </w:rPr>
        <w:t xml:space="preserve">; MS Windows - RDP;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Fortigate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,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Fortimail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, </w:t>
      </w:r>
      <w:proofErr w:type="spellStart"/>
      <w:r w:rsidRPr="00C4086F">
        <w:rPr>
          <w:rFonts w:ascii="Calibri" w:eastAsia="Calibri" w:hAnsi="Calibri" w:cs="Calibri"/>
          <w:color w:val="000000"/>
          <w:lang w:val="en-US"/>
        </w:rPr>
        <w:t>Vmware</w:t>
      </w:r>
      <w:proofErr w:type="spellEnd"/>
      <w:r w:rsidRPr="00C4086F">
        <w:rPr>
          <w:rFonts w:ascii="Calibri" w:eastAsia="Calibri" w:hAnsi="Calibri" w:cs="Calibri"/>
          <w:color w:val="000000"/>
          <w:lang w:val="en-US"/>
        </w:rPr>
        <w:t xml:space="preserve"> </w:t>
      </w:r>
      <w:r w:rsidRPr="00642A20">
        <w:rPr>
          <w:rFonts w:ascii="Calibri" w:eastAsia="Calibri" w:hAnsi="Calibri" w:cs="Calibri"/>
          <w:color w:val="000000"/>
          <w:lang w:val="en-US"/>
        </w:rPr>
        <w:t xml:space="preserve">vCenter </w:t>
      </w:r>
      <w:r w:rsidR="00642A20" w:rsidRPr="00642A20">
        <w:rPr>
          <w:rFonts w:ascii="Calibri" w:eastAsia="Calibri" w:hAnsi="Calibri" w:cs="Calibri"/>
          <w:color w:val="000000"/>
          <w:lang w:val="en-US"/>
        </w:rPr>
        <w:t xml:space="preserve">7 </w:t>
      </w:r>
      <w:r w:rsidRPr="00642A20">
        <w:rPr>
          <w:rFonts w:ascii="Calibri" w:eastAsia="Calibri" w:hAnsi="Calibri" w:cs="Calibri"/>
          <w:color w:val="000000"/>
          <w:lang w:val="en-US"/>
        </w:rPr>
        <w:t>– https),</w:t>
      </w:r>
    </w:p>
    <w:p w14:paraId="1E9461CC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kont użytkowników (lokalnych oraz Active Directory),</w:t>
      </w:r>
    </w:p>
    <w:p w14:paraId="3D78891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grup użytkowników (lokalnych oraz Active Directory),</w:t>
      </w:r>
    </w:p>
    <w:p w14:paraId="54309AE9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polityki haseł dostępowych użytkowników,</w:t>
      </w:r>
    </w:p>
    <w:p w14:paraId="67B3CF22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polityk haseł dostępowych do obiektów oraz grup obiektów,</w:t>
      </w:r>
    </w:p>
    <w:p w14:paraId="781E3A2B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komponentów zapewniających dostęp do obiektów z sieci zewnętrznych,</w:t>
      </w:r>
    </w:p>
    <w:p w14:paraId="3AAA7643" w14:textId="31A2C64F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Konfigurację każdego z obiektów docelowych</w:t>
      </w:r>
      <w:r w:rsidR="00614D1B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zapewniającą możliwość realizacji połączeń z zachowaniem wszystkich wymogów w zakresie wyspecyfikowanych w pkt. 4 funkcjonalności oferowanego rozwiązania równoważnego.</w:t>
      </w:r>
    </w:p>
    <w:p w14:paraId="3887BEE2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Przeprowadzenie testów w zakresie prawidłowości konfiguracji, bezpieczeństwa, wydajności dla każdego z docelowych obiektów zaimplementowanego w ramach oferowanego rozwiązania równoważnego.</w:t>
      </w:r>
    </w:p>
    <w:p w14:paraId="4AB2B613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Przygotowanie dokumentacji zawierających jednorazowe informacje dostępowe umożliwiające zainicjowanie komunikacji przez wszystkich użytkowników oferowanego rozwiązania równoważnego, w tym w szczególności uwzględniające bezpieczne mechanizmy przekazania poświadczeń użytkownikom oraz świadczenie bezpośredniego wsparcia dla każdego z użytkowników w zakresie logowania do w/w rozwiązania oraz obiektów, do których umożliwia połączenie.</w:t>
      </w:r>
    </w:p>
    <w:p w14:paraId="44FFC5CD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 zakresie przeprowadzanego wdrożenia rozwiązania równoważnego Wykonawca przygotuje dokumentację powdrożeniową spełniającą minimalne wymagania Zamawiającego, w szczególności  Zamawiający wymaga aby:</w:t>
      </w:r>
    </w:p>
    <w:p w14:paraId="23542D94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 Wszystkie dokumenty tworzone w ramach realizacji projektu charakteryzowały się wysoką jakością, w szczególności:</w:t>
      </w:r>
    </w:p>
    <w:p w14:paraId="6F655404" w14:textId="5BE134EF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czytelną i zrozumiałą strukturą zarówno poszczególnych dokumentów jak i całej dokumentacji</w:t>
      </w:r>
      <w:r w:rsidR="00D332E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z podziałem na rozdziały</w:t>
      </w:r>
      <w:r w:rsidR="00D332E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podrozdziały i sekcje,</w:t>
      </w:r>
    </w:p>
    <w:p w14:paraId="1D5501B6" w14:textId="7360B244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zachowaniem standardów oraz sposobu pisania, rozumianych jako zachowanie jednolitej i spójnej struktury, formy i sposobu prezentacji treści poszczególnych dokumentów</w:t>
      </w:r>
      <w:r w:rsidR="00D332ED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oraz fragmentów tego samego dokumentu</w:t>
      </w:r>
      <w:r w:rsidR="00D332ED">
        <w:rPr>
          <w:rFonts w:ascii="Calibri" w:eastAsia="Calibri" w:hAnsi="Calibri" w:cs="Calibri"/>
          <w:color w:val="000000"/>
        </w:rPr>
        <w:t>,</w:t>
      </w:r>
      <w:r w:rsidRPr="00C4086F">
        <w:rPr>
          <w:rFonts w:ascii="Calibri" w:eastAsia="Calibri" w:hAnsi="Calibri" w:cs="Calibri"/>
          <w:color w:val="000000"/>
        </w:rPr>
        <w:t xml:space="preserve"> jak również całej dokumentacji.</w:t>
      </w:r>
    </w:p>
    <w:p w14:paraId="612F5817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Wykonawca przygotuje dokumentację powykonawczą szczegółowo opisującą wszystkie zrealizowane prace instalacyjne i konfiguracyjne wraz ze schematem podłączenia Systemu w infrastrukturze Zamawiającego.</w:t>
      </w:r>
    </w:p>
    <w:p w14:paraId="7053544D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 ramach dokumentacji powykonawczej Wykonawca dostarczy procedury i instrukcje administracyjne, obejmujące w szczególności:</w:t>
      </w:r>
    </w:p>
    <w:p w14:paraId="47D60808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wykonanie kopii bezpieczeństwa Systemu i jego odtworzenie,</w:t>
      </w:r>
    </w:p>
    <w:p w14:paraId="78FEF0B2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aktualizację i wdrażania poprawek,</w:t>
      </w:r>
    </w:p>
    <w:p w14:paraId="6764DC0A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procedury postępowania w razie wystąpienia błędów lub awarii wraz z formularzami zgłoszeniowymi i osobami kontaktowymi (nr tel., e-mail) do konsultacji rozwiązywania zaistniałych problemów,</w:t>
      </w:r>
    </w:p>
    <w:p w14:paraId="235A63BF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diagnozowanie systemu i jego komponentów,</w:t>
      </w:r>
    </w:p>
    <w:p w14:paraId="5DB15061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sprawdzanie wydajności poszczególnych komponentów system,</w:t>
      </w:r>
    </w:p>
    <w:p w14:paraId="766589B4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sprawdzanie poprawności działania trybu wysokiej dostępności wdrożonego Systemu,</w:t>
      </w:r>
    </w:p>
    <w:p w14:paraId="3060B0E2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konfigurację: kont użytkowników, dodawania systemów, podglądu/haseł, tworzenia nowych połączeń, zmiany harmonogramu rotacji haseł,</w:t>
      </w:r>
    </w:p>
    <w:p w14:paraId="086E9690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konfigurację parametrów nagrywania sesji,</w:t>
      </w:r>
    </w:p>
    <w:p w14:paraId="1592B83B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Każda z procedur powinna zawierać co najmniej następujące dane:</w:t>
      </w:r>
    </w:p>
    <w:p w14:paraId="38B25F77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nazwa,</w:t>
      </w:r>
    </w:p>
    <w:p w14:paraId="2E051C44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opis,</w:t>
      </w:r>
    </w:p>
    <w:p w14:paraId="151A33D9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częstotliwość wykonywania,</w:t>
      </w:r>
    </w:p>
    <w:p w14:paraId="2943C8D3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kroki do zrealizowania w procedurze,</w:t>
      </w:r>
    </w:p>
    <w:p w14:paraId="287C1AF3" w14:textId="27ED17D3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informacje (o ile są znane</w:t>
      </w:r>
      <w:r w:rsidR="00D332ED">
        <w:rPr>
          <w:rFonts w:ascii="Calibri" w:eastAsia="Calibri" w:hAnsi="Calibri" w:cs="Calibri"/>
          <w:color w:val="000000"/>
        </w:rPr>
        <w:t>;</w:t>
      </w:r>
      <w:r w:rsidR="00D332ED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jeśli jest ich dużo to przykłady bądź wzorce</w:t>
      </w:r>
      <w:r w:rsidR="00D332ED">
        <w:rPr>
          <w:rFonts w:ascii="Calibri" w:eastAsia="Calibri" w:hAnsi="Calibri" w:cs="Calibri"/>
          <w:color w:val="000000"/>
        </w:rPr>
        <w:t>,</w:t>
      </w:r>
      <w:r w:rsidR="00D332ED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na jakie należy zwrócić uwagę w trakcie wykonywania procedury</w:t>
      </w:r>
      <w:r w:rsidR="00D332ED">
        <w:rPr>
          <w:rFonts w:ascii="Calibri" w:eastAsia="Calibri" w:hAnsi="Calibri" w:cs="Calibri"/>
          <w:color w:val="000000"/>
        </w:rPr>
        <w:t>)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3C229D04" w14:textId="163A8193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omówienie zawartości komunikatów </w:t>
      </w:r>
      <w:r w:rsidR="00D332ED">
        <w:rPr>
          <w:rFonts w:ascii="Calibri" w:eastAsia="Calibri" w:hAnsi="Calibri" w:cs="Calibri"/>
          <w:color w:val="000000"/>
        </w:rPr>
        <w:t>(</w:t>
      </w:r>
      <w:r w:rsidRPr="00C4086F">
        <w:rPr>
          <w:rFonts w:ascii="Calibri" w:eastAsia="Calibri" w:hAnsi="Calibri" w:cs="Calibri"/>
          <w:color w:val="000000"/>
        </w:rPr>
        <w:t>jeśli są prezentowane</w:t>
      </w:r>
      <w:r w:rsidR="00D332ED">
        <w:rPr>
          <w:rFonts w:ascii="Calibri" w:eastAsia="Calibri" w:hAnsi="Calibri" w:cs="Calibri"/>
          <w:color w:val="000000"/>
        </w:rPr>
        <w:t>)</w:t>
      </w:r>
      <w:r w:rsidRPr="00C4086F">
        <w:rPr>
          <w:rFonts w:ascii="Calibri" w:eastAsia="Calibri" w:hAnsi="Calibri" w:cs="Calibri"/>
          <w:color w:val="000000"/>
        </w:rPr>
        <w:t>,</w:t>
      </w:r>
    </w:p>
    <w:p w14:paraId="16EE79E6" w14:textId="77777777" w:rsidR="00C4086F" w:rsidRPr="00C4086F" w:rsidRDefault="00C4086F" w:rsidP="00C4086F">
      <w:pPr>
        <w:numPr>
          <w:ilvl w:val="3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kroki jakie należy podjąć w przypadku natknięcia się na nietypowe sytuacje.</w:t>
      </w:r>
    </w:p>
    <w:p w14:paraId="55C71F0E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Dokumentacja musi być weryfikowana i w razie potrzeby aktualizowana podczas prac serwisowych Wykonawcy określonych w ramach Asysty Technicznej Wykonawcy.</w:t>
      </w:r>
    </w:p>
    <w:p w14:paraId="52FF4642" w14:textId="77777777" w:rsidR="00C4086F" w:rsidRPr="00C4086F" w:rsidRDefault="00C4086F" w:rsidP="00C4086F">
      <w:pPr>
        <w:numPr>
          <w:ilvl w:val="2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Zamawiający wymaga, aby cała dokumentacja, o której mowa powyżej, podlegała jego akceptacji.</w:t>
      </w:r>
    </w:p>
    <w:p w14:paraId="26373A94" w14:textId="77777777" w:rsidR="00C4086F" w:rsidRPr="00C4086F" w:rsidRDefault="00C4086F" w:rsidP="00C4086F">
      <w:pPr>
        <w:numPr>
          <w:ilvl w:val="0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b/>
          <w:bCs/>
          <w:color w:val="000000"/>
        </w:rPr>
      </w:pPr>
      <w:r w:rsidRPr="00C4086F">
        <w:rPr>
          <w:rFonts w:ascii="Calibri" w:eastAsia="Calibri" w:hAnsi="Calibri" w:cs="Calibri"/>
          <w:b/>
          <w:bCs/>
          <w:color w:val="000000"/>
        </w:rPr>
        <w:t xml:space="preserve">W przypadku zaoferowanie rozwiązania równoważnego Wykonawca na swój koszt musi przeprowadzić dla wybranych administratorów będących pracownikami Zamawiającego </w:t>
      </w:r>
    </w:p>
    <w:p w14:paraId="2FCF091F" w14:textId="581F7F70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Wykonawca zorganizuje szkolenie z wdrożonego Systemu, dla jednej grupy administratorów, składającej się maksymalnie 5 osób, w ośrodku szkoleniowym producenta lub Wykonawcy na terenie Warszawy, lub w siedzibie Zamawiającego w Warszawie</w:t>
      </w:r>
      <w:r w:rsidR="003160AD">
        <w:rPr>
          <w:rFonts w:ascii="Calibri" w:eastAsia="Calibri" w:hAnsi="Calibri" w:cs="Calibri"/>
          <w:color w:val="000000"/>
        </w:rPr>
        <w:t xml:space="preserve">, lub </w:t>
      </w:r>
      <w:r w:rsidR="00892EAD">
        <w:rPr>
          <w:rFonts w:ascii="Calibri" w:eastAsia="Calibri" w:hAnsi="Calibri" w:cs="Calibri"/>
          <w:color w:val="000000"/>
        </w:rPr>
        <w:t xml:space="preserve">w warunkach zdalnych wykorzystując platformę Microsoft </w:t>
      </w:r>
      <w:proofErr w:type="spellStart"/>
      <w:r w:rsidR="00892EAD">
        <w:rPr>
          <w:rFonts w:ascii="Calibri" w:eastAsia="Calibri" w:hAnsi="Calibri" w:cs="Calibri"/>
          <w:color w:val="000000"/>
        </w:rPr>
        <w:t>Teams</w:t>
      </w:r>
      <w:proofErr w:type="spellEnd"/>
      <w:r w:rsidR="00892EAD">
        <w:rPr>
          <w:rFonts w:ascii="Calibri" w:eastAsia="Calibri" w:hAnsi="Calibri" w:cs="Calibri"/>
          <w:color w:val="000000"/>
        </w:rPr>
        <w:t>.</w:t>
      </w:r>
    </w:p>
    <w:p w14:paraId="349DBD6F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Termin i miejsce szkolenia zostanie uzgodnione z Zamawiającym z co najmniej dwutygodniowym wyprzedzeniem.</w:t>
      </w:r>
    </w:p>
    <w:p w14:paraId="227916A1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lastRenderedPageBreak/>
        <w:t>Szkolenie musi trwać minimum 3 dni robocze, 6 godzin dziennie efektywnych zajęć prowadzonych w języku polskim.</w:t>
      </w:r>
    </w:p>
    <w:p w14:paraId="1A65E706" w14:textId="77777777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Szkolenie musi być prowadzone przez certyfikowanego inżyniera Wykonawcy lub producenta zaoferowanego rozwiązania równoważnego.</w:t>
      </w:r>
    </w:p>
    <w:p w14:paraId="525C7E10" w14:textId="32BC1B89" w:rsidR="00C4086F" w:rsidRPr="00C4086F" w:rsidRDefault="00C4086F" w:rsidP="00C4086F">
      <w:pPr>
        <w:numPr>
          <w:ilvl w:val="1"/>
          <w:numId w:val="23"/>
        </w:numPr>
        <w:spacing w:after="159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Program szkolenia musi być zgodny z zaoferowaną przez Wykonawcę wersją oraz konfiguracją rozwiązania równoważnego oraz obejmować całość zagadnień związanych z czynnościami administracyjnymi zaoferowanego rozwiązania w </w:t>
      </w:r>
      <w:r w:rsidR="00A87AB9">
        <w:rPr>
          <w:rFonts w:ascii="Calibri" w:eastAsia="Calibri" w:hAnsi="Calibri" w:cs="Calibri"/>
          <w:color w:val="000000"/>
        </w:rPr>
        <w:t>szczególności</w:t>
      </w:r>
      <w:r w:rsidRPr="00C4086F">
        <w:rPr>
          <w:rFonts w:ascii="Calibri" w:eastAsia="Calibri" w:hAnsi="Calibri" w:cs="Calibri"/>
          <w:color w:val="000000"/>
        </w:rPr>
        <w:t>:</w:t>
      </w:r>
    </w:p>
    <w:p w14:paraId="415CFE16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konfiguracją,</w:t>
      </w:r>
    </w:p>
    <w:p w14:paraId="278C5667" w14:textId="145AFDC0" w:rsid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zarządzaniem,</w:t>
      </w:r>
    </w:p>
    <w:p w14:paraId="0C6A3BD7" w14:textId="1836FACD" w:rsidR="00A87AB9" w:rsidRPr="00C4086F" w:rsidRDefault="00A87AB9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implementacją / aktualizacją,</w:t>
      </w:r>
    </w:p>
    <w:p w14:paraId="4DDB810A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monitorowaniem,</w:t>
      </w:r>
    </w:p>
    <w:p w14:paraId="78F22B61" w14:textId="77777777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>raportowaniem,</w:t>
      </w:r>
    </w:p>
    <w:p w14:paraId="7D7724C4" w14:textId="4DB7D31E" w:rsidR="00C4086F" w:rsidRPr="00C4086F" w:rsidRDefault="00C4086F" w:rsidP="00C4086F">
      <w:pPr>
        <w:numPr>
          <w:ilvl w:val="2"/>
          <w:numId w:val="23"/>
        </w:numPr>
        <w:spacing w:after="160" w:line="267" w:lineRule="auto"/>
        <w:ind w:right="43"/>
        <w:jc w:val="both"/>
        <w:rPr>
          <w:rFonts w:ascii="Calibri" w:eastAsia="Calibri" w:hAnsi="Calibri" w:cs="Calibri"/>
          <w:color w:val="000000"/>
        </w:rPr>
      </w:pPr>
      <w:r w:rsidRPr="00C4086F">
        <w:rPr>
          <w:rFonts w:ascii="Calibri" w:eastAsia="Calibri" w:hAnsi="Calibri" w:cs="Calibri"/>
          <w:color w:val="000000"/>
        </w:rPr>
        <w:t xml:space="preserve">omówieniem najczęściej występujących awarii oraz </w:t>
      </w:r>
      <w:r w:rsidR="004A133A" w:rsidRPr="00C4086F">
        <w:rPr>
          <w:rFonts w:ascii="Calibri" w:eastAsia="Calibri" w:hAnsi="Calibri" w:cs="Calibri"/>
          <w:color w:val="000000"/>
        </w:rPr>
        <w:t>sposob</w:t>
      </w:r>
      <w:r w:rsidR="004A133A">
        <w:rPr>
          <w:rFonts w:ascii="Calibri" w:eastAsia="Calibri" w:hAnsi="Calibri" w:cs="Calibri"/>
          <w:color w:val="000000"/>
        </w:rPr>
        <w:t>ów</w:t>
      </w:r>
      <w:r w:rsidR="004A133A" w:rsidRPr="00C4086F">
        <w:rPr>
          <w:rFonts w:ascii="Calibri" w:eastAsia="Calibri" w:hAnsi="Calibri" w:cs="Calibri"/>
          <w:color w:val="000000"/>
        </w:rPr>
        <w:t xml:space="preserve"> </w:t>
      </w:r>
      <w:r w:rsidRPr="00C4086F">
        <w:rPr>
          <w:rFonts w:ascii="Calibri" w:eastAsia="Calibri" w:hAnsi="Calibri" w:cs="Calibri"/>
          <w:color w:val="000000"/>
        </w:rPr>
        <w:t>ich usuwania i zabezpieczania się przed nimi.</w:t>
      </w:r>
    </w:p>
    <w:p w14:paraId="28CBDBC5" w14:textId="77777777" w:rsidR="00346F94" w:rsidRPr="00733C6B" w:rsidRDefault="00346F94" w:rsidP="00336DF1">
      <w:pPr>
        <w:spacing w:line="360" w:lineRule="auto"/>
        <w:rPr>
          <w:rFonts w:asciiTheme="minorHAnsi" w:hAnsiTheme="minorHAnsi" w:cstheme="minorHAnsi"/>
        </w:rPr>
      </w:pPr>
    </w:p>
    <w:p w14:paraId="10DA90A6" w14:textId="77777777" w:rsidR="00AB1C4B" w:rsidRDefault="00AB1C4B" w:rsidP="00336DF1">
      <w:pPr>
        <w:spacing w:line="360" w:lineRule="auto"/>
        <w:rPr>
          <w:rFonts w:asciiTheme="minorHAnsi" w:hAnsiTheme="minorHAnsi" w:cstheme="minorHAnsi"/>
        </w:rPr>
      </w:pPr>
    </w:p>
    <w:p w14:paraId="652A5763" w14:textId="2014C28C" w:rsidR="00AB1C4B" w:rsidRDefault="004050A6" w:rsidP="00336DF1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INNE CZYNNIKI CENOTWÓRCZE:</w:t>
      </w:r>
    </w:p>
    <w:p w14:paraId="1D785EA0" w14:textId="2DD2D720" w:rsidR="004050A6" w:rsidRDefault="004050A6" w:rsidP="00336DF1">
      <w:pPr>
        <w:spacing w:line="360" w:lineRule="auto"/>
        <w:rPr>
          <w:rFonts w:asciiTheme="minorHAnsi" w:hAnsiTheme="minorHAnsi" w:cstheme="minorHAnsi"/>
        </w:rPr>
      </w:pPr>
    </w:p>
    <w:p w14:paraId="52D8FE70" w14:textId="50AF3E42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>W przypadku odstąpienia od Umowy z przyczyn leżących po stronie Wykonawcy, Wykonawca zapłaci Zamawiającemu karę umowną w wysokości  15% wartości zamówienia brutto.</w:t>
      </w:r>
    </w:p>
    <w:p w14:paraId="4EAF8F41" w14:textId="77777777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W przypadku niedotrzymania przez Wykonawcę terminów dostarczenia licencji, Wykonawca zapłaci Zamawiającemu karę w wysokości 1%  wartości zamówienia  brutto za każdy dzień opóźnienia. </w:t>
      </w:r>
    </w:p>
    <w:p w14:paraId="04E3F3C0" w14:textId="17CD639D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W przypadku niedotrzymania przez Wykonawcę terminów dotyczących realizacji zgłoszenia lub czasu przyjęcia zgłoszenia, Wykonawca zapłaci Zamawiającemu karę w wysokości 100 zł za każdą rozpoczętą godzinę roboczą przekroczenia czasu reakcji.  </w:t>
      </w:r>
    </w:p>
    <w:p w14:paraId="380AC998" w14:textId="69A62B4D" w:rsid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>Wykonawca zapłaci Zamawiającemu karę umowną w wysokości 500 zł za każdorazowe naruszenie postanowień.</w:t>
      </w:r>
    </w:p>
    <w:p w14:paraId="26D828A7" w14:textId="431092E9" w:rsidR="00C4086F" w:rsidRPr="004050A6" w:rsidRDefault="00C4086F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stwierdzenia niedotrzymania wymagań związanych z równoważnością Zamawiający jest uprawniony do odstąpienia od umowy oraz naliczenia kary umownej w wysokości 25%</w:t>
      </w:r>
      <w:r w:rsidR="004A133A">
        <w:rPr>
          <w:rFonts w:asciiTheme="minorHAnsi" w:hAnsiTheme="minorHAnsi" w:cstheme="minorHAnsi"/>
        </w:rPr>
        <w:t>.</w:t>
      </w:r>
    </w:p>
    <w:p w14:paraId="10E49294" w14:textId="4006B248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Całkowita wysokość kar umownych nie może przekroczyć 25% łącznego Wynagrodzenia netto Wykonawcy.  </w:t>
      </w:r>
      <w:r w:rsidR="00C4086F">
        <w:rPr>
          <w:rFonts w:asciiTheme="minorHAnsi" w:hAnsiTheme="minorHAnsi" w:cstheme="minorHAnsi"/>
        </w:rPr>
        <w:t>Limit ten nie dotyczy pkt e) powyżej.</w:t>
      </w:r>
    </w:p>
    <w:p w14:paraId="2BD800BF" w14:textId="7D0B25DD" w:rsidR="004050A6" w:rsidRPr="004050A6" w:rsidRDefault="004050A6" w:rsidP="00336DF1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lastRenderedPageBreak/>
        <w:t xml:space="preserve">Zamawiający może dokonać potrącenia kary umownej z wynagrodzenia określonego w fakturze, na co Wykonawca wyraża zgodę. Jeżeli Zamawiający nie dokona potrącenia, kary umowne będą płatne przez Wykonawcę w terminie do 5 dni licząc od dnia dostarczenia Wykonawcy noty księgowej, przelewem na rachunek bankowy Zamawiającego, który wskazany zostanie w nocie księgowej.  </w:t>
      </w:r>
    </w:p>
    <w:p w14:paraId="1959F434" w14:textId="455BB11B" w:rsidR="00C4086F" w:rsidRPr="00C4086F" w:rsidRDefault="004050A6" w:rsidP="00C4086F">
      <w:pPr>
        <w:pStyle w:val="Akapitzlist"/>
        <w:numPr>
          <w:ilvl w:val="0"/>
          <w:numId w:val="21"/>
        </w:numPr>
        <w:spacing w:line="360" w:lineRule="auto"/>
        <w:rPr>
          <w:rFonts w:asciiTheme="minorHAnsi" w:hAnsiTheme="minorHAnsi" w:cstheme="minorHAnsi"/>
        </w:rPr>
      </w:pPr>
      <w:r w:rsidRPr="004050A6">
        <w:rPr>
          <w:rFonts w:asciiTheme="minorHAnsi" w:hAnsiTheme="minorHAnsi" w:cstheme="minorHAnsi"/>
        </w:rPr>
        <w:t xml:space="preserve">Zapłata kar umownych nie wyłącza możliwości dochodzenia przez Zamawiającego od Wykonawcy odszkodowania uzupełniającego ponad wysokość zastrzeżonych kar umownych.  </w:t>
      </w:r>
    </w:p>
    <w:p w14:paraId="5A1DB2B9" w14:textId="77777777" w:rsidR="00AB0BF9" w:rsidRPr="00AB0BF9" w:rsidRDefault="00AB0BF9" w:rsidP="00AB0BF9">
      <w:pPr>
        <w:spacing w:line="360" w:lineRule="auto"/>
        <w:ind w:left="360"/>
        <w:rPr>
          <w:rFonts w:asciiTheme="minorHAnsi" w:hAnsiTheme="minorHAnsi" w:cstheme="minorHAnsi"/>
        </w:rPr>
      </w:pPr>
    </w:p>
    <w:p w14:paraId="17D06F1E" w14:textId="77777777" w:rsidR="00447927" w:rsidRPr="00733C6B" w:rsidRDefault="00771BC5" w:rsidP="00957242">
      <w:pPr>
        <w:spacing w:line="360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Osob</w:t>
      </w:r>
      <w:r w:rsidR="00447927" w:rsidRPr="00733C6B">
        <w:rPr>
          <w:rFonts w:asciiTheme="minorHAnsi" w:hAnsiTheme="minorHAnsi" w:cstheme="minorHAnsi"/>
        </w:rPr>
        <w:t>y</w:t>
      </w:r>
      <w:r w:rsidRPr="00733C6B">
        <w:rPr>
          <w:rFonts w:asciiTheme="minorHAnsi" w:hAnsiTheme="minorHAnsi" w:cstheme="minorHAnsi"/>
        </w:rPr>
        <w:t xml:space="preserve"> do kontaktu:</w:t>
      </w:r>
    </w:p>
    <w:p w14:paraId="39BA7356" w14:textId="6E5826B8" w:rsidR="00740ED5" w:rsidRPr="00733C6B" w:rsidRDefault="000A0D10" w:rsidP="0095724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</w:rPr>
        <w:t>Krystian Perkowski</w:t>
      </w:r>
      <w:r w:rsidR="00771BC5" w:rsidRPr="00733C6B">
        <w:rPr>
          <w:rFonts w:asciiTheme="minorHAnsi" w:hAnsiTheme="minorHAnsi" w:cstheme="minorHAnsi"/>
        </w:rPr>
        <w:t xml:space="preserve"> e-mail</w:t>
      </w:r>
      <w:r w:rsidR="00447927" w:rsidRPr="00733C6B">
        <w:rPr>
          <w:rFonts w:asciiTheme="minorHAnsi" w:hAnsiTheme="minorHAnsi" w:cstheme="minorHAnsi"/>
        </w:rPr>
        <w:t>:</w:t>
      </w:r>
      <w:r w:rsidR="00771BC5" w:rsidRPr="00733C6B">
        <w:rPr>
          <w:rFonts w:asciiTheme="minorHAnsi" w:hAnsiTheme="minorHAnsi" w:cstheme="minorHAnsi"/>
        </w:rPr>
        <w:t xml:space="preserve"> </w:t>
      </w:r>
      <w:r w:rsidRPr="00733C6B">
        <w:rPr>
          <w:rFonts w:asciiTheme="minorHAnsi" w:hAnsiTheme="minorHAnsi" w:cstheme="minorHAnsi"/>
        </w:rPr>
        <w:t>krystian.perkowski</w:t>
      </w:r>
      <w:r w:rsidR="00447927" w:rsidRPr="00733C6B">
        <w:rPr>
          <w:rFonts w:asciiTheme="minorHAnsi" w:hAnsiTheme="minorHAnsi" w:cstheme="minorHAnsi"/>
        </w:rPr>
        <w:t>@pfron.org.pl</w:t>
      </w:r>
    </w:p>
    <w:p w14:paraId="563084AE" w14:textId="37705357" w:rsidR="7C74D525" w:rsidRPr="007C2C97" w:rsidRDefault="00C27E2A" w:rsidP="00957242">
      <w:pPr>
        <w:pStyle w:val="Akapitzlist"/>
        <w:numPr>
          <w:ilvl w:val="0"/>
          <w:numId w:val="10"/>
        </w:numPr>
        <w:spacing w:line="360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7C2C97">
        <w:rPr>
          <w:rFonts w:asciiTheme="minorHAnsi" w:hAnsiTheme="minorHAnsi" w:cstheme="minorHAnsi"/>
          <w:lang w:val="en-US"/>
        </w:rPr>
        <w:t>Robert Walczak</w:t>
      </w:r>
      <w:r w:rsidR="00191C25" w:rsidRPr="007C2C97">
        <w:rPr>
          <w:rFonts w:asciiTheme="minorHAnsi" w:hAnsiTheme="minorHAnsi" w:cstheme="minorHAnsi"/>
          <w:lang w:val="en-US"/>
        </w:rPr>
        <w:t xml:space="preserve"> </w:t>
      </w:r>
      <w:r w:rsidR="008A5DBC" w:rsidRPr="007C2C97">
        <w:rPr>
          <w:rFonts w:asciiTheme="minorHAnsi" w:hAnsiTheme="minorHAnsi" w:cstheme="minorHAnsi"/>
          <w:lang w:val="en-US"/>
        </w:rPr>
        <w:t>e-mail:</w:t>
      </w:r>
      <w:r w:rsidRPr="007C2C97">
        <w:rPr>
          <w:rFonts w:asciiTheme="minorHAnsi" w:hAnsiTheme="minorHAnsi" w:cstheme="minorHAnsi"/>
          <w:lang w:val="en-US"/>
        </w:rPr>
        <w:t xml:space="preserve"> </w:t>
      </w:r>
      <w:r w:rsidR="00191C25" w:rsidRPr="007C2C97">
        <w:rPr>
          <w:rFonts w:asciiTheme="minorHAnsi" w:hAnsiTheme="minorHAnsi" w:cstheme="minorHAnsi"/>
          <w:lang w:val="en-US"/>
        </w:rPr>
        <w:t>r</w:t>
      </w:r>
      <w:r w:rsidRPr="007C2C97">
        <w:rPr>
          <w:rFonts w:asciiTheme="minorHAnsi" w:hAnsiTheme="minorHAnsi" w:cstheme="minorHAnsi"/>
          <w:lang w:val="en-US"/>
        </w:rPr>
        <w:t>walczak</w:t>
      </w:r>
      <w:r w:rsidR="00191C25" w:rsidRPr="007C2C97">
        <w:rPr>
          <w:rFonts w:asciiTheme="minorHAnsi" w:hAnsiTheme="minorHAnsi" w:cstheme="minorHAnsi"/>
          <w:lang w:val="en-US"/>
        </w:rPr>
        <w:t>@pfron.org.pl</w:t>
      </w:r>
    </w:p>
    <w:p w14:paraId="7842E62E" w14:textId="6A3909F4" w:rsidR="318C1AC6" w:rsidRPr="007C2C97" w:rsidRDefault="318C1AC6" w:rsidP="00957242">
      <w:pPr>
        <w:spacing w:line="360" w:lineRule="auto"/>
        <w:rPr>
          <w:rFonts w:asciiTheme="minorHAnsi" w:hAnsiTheme="minorHAnsi" w:cstheme="minorHAnsi"/>
          <w:lang w:val="en-US"/>
        </w:rPr>
      </w:pPr>
    </w:p>
    <w:p w14:paraId="218A1FC2" w14:textId="628CA336" w:rsidR="00740ED5" w:rsidRPr="00733C6B" w:rsidRDefault="00C61A9E" w:rsidP="009572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733C6B">
        <w:rPr>
          <w:rFonts w:asciiTheme="minorHAnsi" w:hAnsiTheme="minorHAnsi" w:cstheme="minorHAnsi"/>
          <w:color w:val="000000" w:themeColor="text1"/>
        </w:rPr>
        <w:t>Oferty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 </w:t>
      </w:r>
      <w:r w:rsidR="000A0D10" w:rsidRPr="00733C6B">
        <w:rPr>
          <w:rFonts w:asciiTheme="minorHAnsi" w:hAnsiTheme="minorHAnsi" w:cstheme="minorHAnsi"/>
          <w:color w:val="000000" w:themeColor="text1"/>
        </w:rPr>
        <w:t xml:space="preserve">szacunkowe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prosimy przesłać drogą elektroniczną - wiadomość wraz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 </w:t>
      </w:r>
      <w:r w:rsidR="00AA29E7" w:rsidRPr="00733C6B">
        <w:rPr>
          <w:rFonts w:asciiTheme="minorHAnsi" w:hAnsiTheme="minorHAnsi" w:cstheme="minorHAnsi"/>
          <w:color w:val="000000" w:themeColor="text1"/>
        </w:rPr>
        <w:t xml:space="preserve">formularzem ofertowym, stanowiącym </w:t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załącznik w formacie PDF - na adres </w:t>
      </w:r>
      <w:r w:rsidRPr="00733C6B">
        <w:rPr>
          <w:rFonts w:asciiTheme="minorHAnsi" w:hAnsiTheme="minorHAnsi" w:cstheme="minorHAnsi"/>
        </w:rPr>
        <w:br/>
      </w:r>
      <w:r w:rsidR="00740ED5" w:rsidRPr="00733C6B">
        <w:rPr>
          <w:rFonts w:asciiTheme="minorHAnsi" w:hAnsiTheme="minorHAnsi" w:cstheme="minorHAnsi"/>
          <w:color w:val="000000" w:themeColor="text1"/>
        </w:rPr>
        <w:t xml:space="preserve">e-mail: </w:t>
      </w:r>
      <w:r w:rsidR="000A0D10" w:rsidRPr="00733C6B">
        <w:rPr>
          <w:rFonts w:asciiTheme="minorHAnsi" w:hAnsiTheme="minorHAnsi" w:cstheme="minorHAnsi"/>
        </w:rPr>
        <w:t>krystian.perkowski@pfron.org.pl</w:t>
      </w:r>
      <w:r w:rsidR="280FBAAE" w:rsidRPr="00733C6B">
        <w:rPr>
          <w:rFonts w:asciiTheme="minorHAnsi" w:hAnsiTheme="minorHAnsi" w:cstheme="minorHAnsi"/>
        </w:rPr>
        <w:t xml:space="preserve"> </w:t>
      </w:r>
      <w:r w:rsidR="00312E17" w:rsidRPr="00733C6B">
        <w:rPr>
          <w:rFonts w:asciiTheme="minorHAnsi" w:hAnsiTheme="minorHAnsi" w:cstheme="minorHAnsi"/>
          <w:color w:val="000000" w:themeColor="text1"/>
        </w:rPr>
        <w:t xml:space="preserve">maksymalnie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do </w:t>
      </w:r>
      <w:r w:rsidR="00F77029">
        <w:rPr>
          <w:rFonts w:asciiTheme="minorHAnsi" w:hAnsiTheme="minorHAnsi" w:cstheme="minorHAnsi"/>
          <w:color w:val="000000" w:themeColor="text1"/>
        </w:rPr>
        <w:t>godziny 1</w:t>
      </w:r>
      <w:r w:rsidR="00A87AB9">
        <w:rPr>
          <w:rFonts w:asciiTheme="minorHAnsi" w:hAnsiTheme="minorHAnsi" w:cstheme="minorHAnsi"/>
          <w:color w:val="000000" w:themeColor="text1"/>
        </w:rPr>
        <w:t>2</w:t>
      </w:r>
      <w:r w:rsidR="00F77029">
        <w:rPr>
          <w:rFonts w:asciiTheme="minorHAnsi" w:hAnsiTheme="minorHAnsi" w:cstheme="minorHAnsi"/>
          <w:color w:val="000000" w:themeColor="text1"/>
        </w:rPr>
        <w:t>:00</w:t>
      </w:r>
      <w:r w:rsidR="00743F6D" w:rsidRPr="00733C6B">
        <w:rPr>
          <w:rFonts w:asciiTheme="minorHAnsi" w:hAnsiTheme="minorHAnsi" w:cstheme="minorHAnsi"/>
          <w:color w:val="000000" w:themeColor="text1"/>
        </w:rPr>
        <w:t xml:space="preserve"> 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dnia </w:t>
      </w:r>
      <w:r w:rsidR="00EE0B50">
        <w:rPr>
          <w:rFonts w:asciiTheme="minorHAnsi" w:hAnsiTheme="minorHAnsi" w:cstheme="minorHAnsi"/>
          <w:color w:val="000000" w:themeColor="text1"/>
        </w:rPr>
        <w:t>11</w:t>
      </w:r>
      <w:r w:rsidR="00657AF1" w:rsidRPr="00733C6B">
        <w:rPr>
          <w:rFonts w:asciiTheme="minorHAnsi" w:hAnsiTheme="minorHAnsi" w:cstheme="minorHAnsi"/>
          <w:color w:val="000000" w:themeColor="text1"/>
        </w:rPr>
        <w:t>.</w:t>
      </w:r>
      <w:r w:rsidR="007C2C97">
        <w:rPr>
          <w:rFonts w:asciiTheme="minorHAnsi" w:hAnsiTheme="minorHAnsi" w:cstheme="minorHAnsi"/>
          <w:color w:val="000000" w:themeColor="text1"/>
        </w:rPr>
        <w:t>12</w:t>
      </w:r>
      <w:r w:rsidR="00953D7A" w:rsidRPr="00733C6B">
        <w:rPr>
          <w:rFonts w:asciiTheme="minorHAnsi" w:hAnsiTheme="minorHAnsi" w:cstheme="minorHAnsi"/>
          <w:color w:val="000000" w:themeColor="text1"/>
        </w:rPr>
        <w:t>.202</w:t>
      </w:r>
      <w:r w:rsidR="007C2C97">
        <w:rPr>
          <w:rFonts w:asciiTheme="minorHAnsi" w:hAnsiTheme="minorHAnsi" w:cstheme="minorHAnsi"/>
          <w:color w:val="000000" w:themeColor="text1"/>
        </w:rPr>
        <w:t>4</w:t>
      </w:r>
      <w:r w:rsidR="00657AF1" w:rsidRPr="00733C6B">
        <w:rPr>
          <w:rFonts w:asciiTheme="minorHAnsi" w:hAnsiTheme="minorHAnsi" w:cstheme="minorHAnsi"/>
          <w:color w:val="000000" w:themeColor="text1"/>
        </w:rPr>
        <w:t xml:space="preserve"> r.</w:t>
      </w:r>
    </w:p>
    <w:p w14:paraId="6A05A809" w14:textId="77777777" w:rsidR="00FB080C" w:rsidRPr="00733C6B" w:rsidRDefault="00FB080C" w:rsidP="009572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769090F9" w14:textId="77777777" w:rsidR="00740ED5" w:rsidRPr="00733C6B" w:rsidRDefault="00740ED5" w:rsidP="0095724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733C6B">
        <w:rPr>
          <w:rFonts w:asciiTheme="minorHAnsi" w:hAnsiTheme="minorHAnsi" w:cstheme="minorHAnsi"/>
          <w:b/>
          <w:bCs/>
          <w:color w:val="000000"/>
        </w:rPr>
        <w:t>Zapytanie ofertowe</w:t>
      </w:r>
      <w:r w:rsidR="00EA7FD3" w:rsidRPr="00733C6B">
        <w:rPr>
          <w:rFonts w:asciiTheme="minorHAnsi" w:hAnsiTheme="minorHAnsi" w:cstheme="minorHAnsi"/>
          <w:b/>
          <w:bCs/>
          <w:color w:val="000000"/>
        </w:rPr>
        <w:t>/szacowanie wartości zamówienia</w:t>
      </w:r>
      <w:r w:rsidRPr="00733C6B">
        <w:rPr>
          <w:rFonts w:asciiTheme="minorHAnsi" w:hAnsiTheme="minorHAnsi" w:cstheme="minorHAnsi"/>
          <w:b/>
          <w:bCs/>
          <w:color w:val="000000"/>
        </w:rPr>
        <w:t xml:space="preserve"> nie stanowi podstaw do roszczeń dotyczących realizacji zamówienia.</w:t>
      </w:r>
    </w:p>
    <w:p w14:paraId="72A3D3EC" w14:textId="77777777" w:rsidR="002221BC" w:rsidRPr="00733C6B" w:rsidRDefault="002221BC" w:rsidP="00957242">
      <w:pPr>
        <w:rPr>
          <w:rFonts w:asciiTheme="minorHAnsi" w:hAnsiTheme="minorHAnsi" w:cstheme="minorHAnsi"/>
          <w:color w:val="000000"/>
        </w:rPr>
      </w:pPr>
    </w:p>
    <w:p w14:paraId="38C077C8" w14:textId="77777777" w:rsidR="00177BDC" w:rsidRPr="00733C6B" w:rsidRDefault="00177BDC" w:rsidP="00957242">
      <w:pPr>
        <w:rPr>
          <w:rFonts w:asciiTheme="minorHAnsi" w:hAnsiTheme="minorHAnsi" w:cstheme="minorHAnsi"/>
          <w:sz w:val="22"/>
          <w:szCs w:val="22"/>
        </w:rPr>
      </w:pPr>
      <w:r w:rsidRPr="00733C6B">
        <w:rPr>
          <w:rFonts w:asciiTheme="minorHAnsi" w:hAnsiTheme="minorHAnsi" w:cstheme="minorHAnsi"/>
        </w:rP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kontaktowe Inspektora Ochrony Danych Osobowych to: adres: al. Jana Pawła II 13, 00-828 Warszawa, e-mail: iod@pfron.org.pl</w:t>
      </w:r>
    </w:p>
    <w:p w14:paraId="63CCB655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Dane przetwarzane są:</w:t>
      </w:r>
    </w:p>
    <w:p w14:paraId="6C98529C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celu zawarcia i wykonywania łączącej Zamawiającego i Wykonawcę umowy (podstawa prawna: art. 6 ust. 1b) RODO,</w:t>
      </w:r>
    </w:p>
    <w:p w14:paraId="68F1B27C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 zakończeniu obowiązywania umowy w czasie niezbędnym do realizacji celów przetwarzania,</w:t>
      </w:r>
    </w:p>
    <w:p w14:paraId="266FD309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Posiada Pani/Pan prawo do</w:t>
      </w:r>
    </w:p>
    <w:p w14:paraId="77DE674E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dostępu do danych osobowych Pana/Pani dotyczących;</w:t>
      </w:r>
    </w:p>
    <w:p w14:paraId="35A37145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sprostowania danych osobowych;</w:t>
      </w:r>
    </w:p>
    <w:p w14:paraId="44D64435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usunięcia w sytuacjach określonych w art. 17 ust. 1 RODO z zastrzeżeniem art. 17 ust. 3 RODO;</w:t>
      </w:r>
    </w:p>
    <w:p w14:paraId="614A7E37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ograniczenia przetwarzania;</w:t>
      </w:r>
    </w:p>
    <w:p w14:paraId="5E94F4C9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lastRenderedPageBreak/>
        <w:t>wniesienia sprzeciwu wobec przetwarzania;</w:t>
      </w:r>
    </w:p>
    <w:p w14:paraId="433054F4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Pr="00733C6B" w:rsidRDefault="00177BDC" w:rsidP="00957242">
      <w:pPr>
        <w:pStyle w:val="Akapitzlist"/>
        <w:numPr>
          <w:ilvl w:val="0"/>
          <w:numId w:val="12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wniesienia skargi do organu, gdy uzna Pani/Pan, że przetwarzanie danych osobowych Pani/Pana dotyczących narusza przepisy RODO;</w:t>
      </w:r>
    </w:p>
    <w:p w14:paraId="7592F59E" w14:textId="77777777" w:rsidR="00177BDC" w:rsidRPr="00733C6B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W odniesieniu do Pani/Pana danych osobowych decyzje nie będą podejmowane w sposób zautomatyzowany, stosowanie do art. 22 RODO;</w:t>
      </w:r>
    </w:p>
    <w:p w14:paraId="2932A3CF" w14:textId="7CBC66DB" w:rsidR="00177BDC" w:rsidRDefault="00177BDC" w:rsidP="00957242">
      <w:pPr>
        <w:pStyle w:val="Akapitzlist"/>
        <w:numPr>
          <w:ilvl w:val="0"/>
          <w:numId w:val="11"/>
        </w:numPr>
        <w:spacing w:after="160" w:line="256" w:lineRule="auto"/>
        <w:rPr>
          <w:rFonts w:asciiTheme="minorHAnsi" w:hAnsiTheme="minorHAnsi" w:cstheme="minorHAnsi"/>
        </w:rPr>
      </w:pPr>
      <w:r w:rsidRPr="00733C6B">
        <w:rPr>
          <w:rFonts w:asciiTheme="minorHAnsi" w:hAnsiTheme="minorHAnsi" w:cstheme="minorHAnsi"/>
        </w:rPr>
        <w:t>Podanie danych osobowych jest dobrowolne w celu zawarcia i wykonywania umowy łączącej Zamawiającego z Wykonawcą, aczkolwiek odmowa ich podania uniemożliwia podjęcie współpracy pomiędzy w/w stronami.</w:t>
      </w:r>
    </w:p>
    <w:p w14:paraId="62C2CB01" w14:textId="644AEDA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98D2991" w14:textId="2780751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618F642" w14:textId="06AC01F8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FD43F38" w14:textId="5C89FCB1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4AFF8BB" w14:textId="5DE5DD06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65D06C5" w14:textId="49D99A5E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C03EA15" w14:textId="7D37EA9D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53071B5" w14:textId="0E872385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16A54F8" w14:textId="174A9C04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4500AEA" w14:textId="2DBF751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4FBFB81" w14:textId="71EC38E9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E503391" w14:textId="35D6EAF6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100BC6E" w14:textId="6449925D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580E1C8" w14:textId="6C62BA5A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22F25ED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D5CA057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152160C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05EDDEB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3F2241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B2FA0AE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5BC65CF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A255FE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0B039A8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8B0278C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16E2573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07C037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1A49B166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9A3B0E5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62CED8B1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47341890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867D943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4F50021" w14:textId="77777777" w:rsidR="000E6139" w:rsidRDefault="000E6139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F5D8007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476C2CD1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4CB4CAD5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6D3F63B" w14:textId="77777777" w:rsidR="001C7590" w:rsidRDefault="001C7590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29402E9" w14:textId="234073FF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7AAEBED2" w14:textId="1CDB7F8B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2BB8B7B6" w14:textId="77777777" w:rsidR="00982DE8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3ED53AC8" w14:textId="77777777" w:rsidR="007A5CEB" w:rsidRDefault="007A5CEB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5F7EFE06" w14:textId="49DE07A6" w:rsidR="00982DE8" w:rsidRPr="002665AE" w:rsidRDefault="00982DE8" w:rsidP="00982DE8">
      <w:pPr>
        <w:pStyle w:val="Nagwek3"/>
        <w:spacing w:after="120" w:line="254" w:lineRule="auto"/>
        <w:ind w:left="-709"/>
        <w:rPr>
          <w:rFonts w:asciiTheme="minorHAnsi" w:hAnsiTheme="minorHAnsi" w:cstheme="minorHAnsi"/>
        </w:rPr>
      </w:pPr>
      <w:r w:rsidRPr="002665AE">
        <w:rPr>
          <w:rFonts w:asciiTheme="minorHAnsi" w:hAnsiTheme="minorHAnsi" w:cstheme="minorHAnsi"/>
        </w:rPr>
        <w:t>Załącznik nr 1 do Zapytania</w:t>
      </w:r>
      <w:r w:rsidR="00FB25A4">
        <w:rPr>
          <w:rFonts w:asciiTheme="minorHAnsi" w:hAnsiTheme="minorHAnsi" w:cstheme="minorHAnsi"/>
        </w:rPr>
        <w:t xml:space="preserve"> Szacunkowego</w:t>
      </w:r>
      <w:r w:rsidRPr="002665AE">
        <w:rPr>
          <w:rFonts w:asciiTheme="minorHAnsi" w:hAnsiTheme="minorHAnsi" w:cstheme="minorHAnsi"/>
        </w:rPr>
        <w:br/>
      </w:r>
    </w:p>
    <w:p w14:paraId="25E40918" w14:textId="7AF13379" w:rsidR="00982DE8" w:rsidRPr="00BD650D" w:rsidRDefault="00982DE8" w:rsidP="00982DE8">
      <w:pPr>
        <w:pStyle w:val="Nagwek3"/>
        <w:spacing w:after="120" w:line="254" w:lineRule="auto"/>
        <w:ind w:left="-1418"/>
        <w:jc w:val="center"/>
        <w:rPr>
          <w:rFonts w:asciiTheme="minorHAnsi" w:hAnsiTheme="minorHAnsi" w:cstheme="minorHAnsi"/>
        </w:rPr>
      </w:pPr>
      <w:r w:rsidRPr="00BD650D">
        <w:rPr>
          <w:rFonts w:asciiTheme="minorHAnsi" w:hAnsiTheme="minorHAnsi" w:cstheme="minorHAnsi"/>
        </w:rPr>
        <w:t xml:space="preserve">Formularz </w:t>
      </w:r>
      <w:r w:rsidR="00FB25A4">
        <w:rPr>
          <w:rFonts w:asciiTheme="minorHAnsi" w:hAnsiTheme="minorHAnsi" w:cstheme="minorHAnsi"/>
        </w:rPr>
        <w:t>Szacunkowy</w:t>
      </w:r>
    </w:p>
    <w:p w14:paraId="383D9A3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Nazwa Wykonawcy:</w:t>
      </w:r>
    </w:p>
    <w:p w14:paraId="2E50ED51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71AD1A02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Siedziba Wykonawcy:</w:t>
      </w:r>
    </w:p>
    <w:p w14:paraId="18CBB9E9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5AA7EACC" w14:textId="77777777" w:rsidR="00982DE8" w:rsidRPr="00635E85" w:rsidRDefault="00982DE8" w:rsidP="00982DE8">
      <w:pPr>
        <w:tabs>
          <w:tab w:val="left" w:leader="dot" w:pos="2410"/>
          <w:tab w:val="left" w:leader="dot" w:pos="5103"/>
        </w:tabs>
        <w:spacing w:after="120" w:line="254" w:lineRule="auto"/>
        <w:rPr>
          <w:rFonts w:asciiTheme="minorHAns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REGON: </w:t>
      </w:r>
      <w:r w:rsidRPr="00635E85">
        <w:rPr>
          <w:rFonts w:asciiTheme="minorHAnsi" w:eastAsia="Calibri" w:hAnsiTheme="minorHAnsi" w:cstheme="minorHAnsi"/>
        </w:rPr>
        <w:tab/>
        <w:t xml:space="preserve"> NIP: </w:t>
      </w:r>
      <w:r w:rsidRPr="00635E85">
        <w:rPr>
          <w:rFonts w:asciiTheme="minorHAnsi" w:eastAsia="Calibri" w:hAnsiTheme="minorHAnsi" w:cstheme="minorHAnsi"/>
        </w:rPr>
        <w:tab/>
      </w:r>
    </w:p>
    <w:p w14:paraId="76E77510" w14:textId="77777777" w:rsidR="00982DE8" w:rsidRPr="00635E85" w:rsidRDefault="00982DE8" w:rsidP="00982DE8">
      <w:pPr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>osoba uprawniona do kontaktu z Zamawiającym (imię i nazwisko):</w:t>
      </w:r>
    </w:p>
    <w:p w14:paraId="2882E8AA" w14:textId="77777777" w:rsidR="00982DE8" w:rsidRPr="00635E85" w:rsidRDefault="00982DE8" w:rsidP="00982DE8">
      <w:pPr>
        <w:tabs>
          <w:tab w:val="left" w:leader="dot" w:pos="6237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ab/>
      </w:r>
    </w:p>
    <w:p w14:paraId="4124935B" w14:textId="77777777" w:rsidR="00982DE8" w:rsidRPr="00635E85" w:rsidRDefault="00982DE8" w:rsidP="00982DE8">
      <w:pPr>
        <w:tabs>
          <w:tab w:val="left" w:leader="dot" w:pos="2694"/>
          <w:tab w:val="left" w:leader="dot" w:pos="5103"/>
        </w:tabs>
        <w:autoSpaceDE w:val="0"/>
        <w:spacing w:after="120" w:line="254" w:lineRule="auto"/>
        <w:rPr>
          <w:rFonts w:asciiTheme="minorHAnsi" w:eastAsia="Calibri" w:hAnsiTheme="minorHAnsi" w:cstheme="minorHAnsi"/>
        </w:rPr>
      </w:pPr>
      <w:r w:rsidRPr="00635E85">
        <w:rPr>
          <w:rFonts w:asciiTheme="minorHAnsi" w:eastAsia="Calibri" w:hAnsiTheme="minorHAnsi" w:cstheme="minorHAnsi"/>
        </w:rPr>
        <w:t xml:space="preserve">nr tel.: </w:t>
      </w:r>
      <w:r w:rsidRPr="00635E85">
        <w:rPr>
          <w:rFonts w:asciiTheme="minorHAnsi" w:eastAsia="Calibri" w:hAnsiTheme="minorHAnsi" w:cstheme="minorHAnsi"/>
        </w:rPr>
        <w:tab/>
        <w:t xml:space="preserve"> e-mail: </w:t>
      </w:r>
      <w:r w:rsidRPr="00635E85">
        <w:rPr>
          <w:rFonts w:asciiTheme="minorHAnsi" w:eastAsia="Calibri" w:hAnsiTheme="minorHAnsi" w:cstheme="minorHAnsi"/>
        </w:rPr>
        <w:tab/>
      </w:r>
    </w:p>
    <w:p w14:paraId="3335DC7B" w14:textId="2BEF8F5A" w:rsidR="00982DE8" w:rsidRDefault="00982DE8" w:rsidP="00982DE8">
      <w:pPr>
        <w:spacing w:before="120" w:after="120" w:line="254" w:lineRule="auto"/>
        <w:rPr>
          <w:rFonts w:asciiTheme="minorHAnsi" w:hAnsiTheme="minorHAnsi" w:cstheme="minorBidi"/>
        </w:rPr>
      </w:pPr>
      <w:r w:rsidRPr="7CB634B2">
        <w:rPr>
          <w:rFonts w:asciiTheme="minorHAnsi" w:hAnsiTheme="minorHAnsi" w:cstheme="minorBidi"/>
        </w:rPr>
        <w:t xml:space="preserve">W nawiązaniu do zapytania </w:t>
      </w:r>
      <w:r w:rsidR="00C56C90" w:rsidRPr="00C56C90">
        <w:rPr>
          <w:rFonts w:asciiTheme="minorHAnsi" w:hAnsiTheme="minorHAnsi" w:cstheme="minorBidi"/>
        </w:rPr>
        <w:t xml:space="preserve">szacowanej wartości dotyczącego dostarczenia subskrypcji dla posiadanego oprogramowania </w:t>
      </w:r>
      <w:proofErr w:type="spellStart"/>
      <w:r w:rsidR="00737C97" w:rsidRPr="00C56C90">
        <w:rPr>
          <w:rFonts w:asciiTheme="minorHAnsi" w:hAnsiTheme="minorHAnsi" w:cstheme="minorBidi"/>
        </w:rPr>
        <w:t>Cyber</w:t>
      </w:r>
      <w:r w:rsidR="00737C97">
        <w:rPr>
          <w:rFonts w:asciiTheme="minorHAnsi" w:hAnsiTheme="minorHAnsi" w:cstheme="minorBidi"/>
        </w:rPr>
        <w:t>A</w:t>
      </w:r>
      <w:r w:rsidR="00737C97" w:rsidRPr="00C56C90">
        <w:rPr>
          <w:rFonts w:asciiTheme="minorHAnsi" w:hAnsiTheme="minorHAnsi" w:cstheme="minorBidi"/>
        </w:rPr>
        <w:t>rk</w:t>
      </w:r>
      <w:proofErr w:type="spellEnd"/>
      <w:r w:rsidR="00737C97" w:rsidRPr="00C56C90">
        <w:rPr>
          <w:rFonts w:asciiTheme="minorHAnsi" w:hAnsiTheme="minorHAnsi" w:cstheme="minorBidi"/>
        </w:rPr>
        <w:t xml:space="preserve"> </w:t>
      </w:r>
      <w:r w:rsidR="00C56C90" w:rsidRPr="00C56C90">
        <w:rPr>
          <w:rFonts w:asciiTheme="minorHAnsi" w:hAnsiTheme="minorHAnsi" w:cstheme="minorBidi"/>
        </w:rPr>
        <w:t xml:space="preserve">oraz usługi asysty technicznej i konserwacji dla systemu </w:t>
      </w:r>
      <w:proofErr w:type="spellStart"/>
      <w:r w:rsidR="00737C97" w:rsidRPr="00C56C90">
        <w:rPr>
          <w:rFonts w:asciiTheme="minorHAnsi" w:hAnsiTheme="minorHAnsi" w:cstheme="minorBidi"/>
        </w:rPr>
        <w:t>Cyber</w:t>
      </w:r>
      <w:r w:rsidR="00737C97">
        <w:rPr>
          <w:rFonts w:asciiTheme="minorHAnsi" w:hAnsiTheme="minorHAnsi" w:cstheme="minorBidi"/>
        </w:rPr>
        <w:t>A</w:t>
      </w:r>
      <w:r w:rsidR="00737C97" w:rsidRPr="00C56C90">
        <w:rPr>
          <w:rFonts w:asciiTheme="minorHAnsi" w:hAnsiTheme="minorHAnsi" w:cstheme="minorBidi"/>
        </w:rPr>
        <w:t>rk</w:t>
      </w:r>
      <w:proofErr w:type="spellEnd"/>
      <w:r w:rsidR="00737C97" w:rsidRPr="00C56C90">
        <w:rPr>
          <w:rFonts w:asciiTheme="minorHAnsi" w:hAnsiTheme="minorHAnsi" w:cstheme="minorBidi"/>
        </w:rPr>
        <w:t xml:space="preserve"> </w:t>
      </w:r>
      <w:r w:rsidR="00C56C90" w:rsidRPr="00C56C90">
        <w:rPr>
          <w:rFonts w:asciiTheme="minorHAnsi" w:hAnsiTheme="minorHAnsi" w:cstheme="minorBidi"/>
        </w:rPr>
        <w:t>przez okres 24 miesięcy</w:t>
      </w:r>
      <w:r w:rsidRPr="7CB634B2">
        <w:rPr>
          <w:rFonts w:asciiTheme="minorHAnsi" w:hAnsiTheme="minorHAnsi" w:cstheme="minorBidi"/>
        </w:rPr>
        <w:t xml:space="preserve">, oferujemy realizację usługi będącej przedmiotem </w:t>
      </w:r>
      <w:r w:rsidR="00071533">
        <w:rPr>
          <w:rFonts w:asciiTheme="minorHAnsi" w:hAnsiTheme="minorHAnsi" w:cstheme="minorBidi"/>
        </w:rPr>
        <w:t>szacowania</w:t>
      </w:r>
      <w:r w:rsidRPr="7CB634B2">
        <w:rPr>
          <w:rFonts w:asciiTheme="minorHAnsi" w:hAnsiTheme="minorHAnsi" w:cstheme="minorBidi"/>
        </w:rPr>
        <w:t xml:space="preserve">, zgodnie z wymogami opisanymi w Zapytaniu </w:t>
      </w:r>
      <w:r w:rsidR="00533309">
        <w:rPr>
          <w:rFonts w:asciiTheme="minorHAnsi" w:hAnsiTheme="minorHAnsi" w:cstheme="minorBidi"/>
        </w:rPr>
        <w:t>Szacunkowym</w:t>
      </w:r>
      <w:r w:rsidRPr="7CB634B2">
        <w:rPr>
          <w:rFonts w:asciiTheme="minorHAnsi" w:hAnsiTheme="minorHAnsi" w:cstheme="minorBidi"/>
        </w:rPr>
        <w:t xml:space="preserve"> wraz z załącznikami za cenę brutto (pozycja 1g wyceny): ………………………………………., zgodnie z poniższą wyceną:</w:t>
      </w:r>
    </w:p>
    <w:p w14:paraId="4E2E16E4" w14:textId="77777777" w:rsidR="00572C67" w:rsidRPr="00635E85" w:rsidRDefault="00572C67" w:rsidP="00982DE8">
      <w:pPr>
        <w:spacing w:before="120" w:after="120" w:line="254" w:lineRule="auto"/>
        <w:rPr>
          <w:rFonts w:asciiTheme="minorHAnsi" w:hAnsiTheme="minorHAnsi" w:cstheme="minorBidi"/>
        </w:rPr>
      </w:pPr>
    </w:p>
    <w:tbl>
      <w:tblPr>
        <w:tblW w:w="898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893"/>
        <w:gridCol w:w="1082"/>
        <w:gridCol w:w="1418"/>
        <w:gridCol w:w="1329"/>
        <w:gridCol w:w="1701"/>
      </w:tblGrid>
      <w:tr w:rsidR="00982DE8" w:rsidRPr="00635E85" w14:paraId="3B7738FE" w14:textId="77777777" w:rsidTr="00982DE8">
        <w:trPr>
          <w:trHeight w:val="7"/>
          <w:tblHeader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82D08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bookmarkStart w:id="1" w:name="_Hlk94610442"/>
            <w:r w:rsidRPr="0D6A174D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45749" w14:textId="77777777" w:rsidR="00982DE8" w:rsidRPr="00635E85" w:rsidRDefault="00982DE8" w:rsidP="00C01A0E">
            <w:pPr>
              <w:widowControl w:val="0"/>
              <w:spacing w:after="120" w:line="254" w:lineRule="auto"/>
              <w:ind w:hanging="95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Przedmiot zamówienia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55B05" w14:textId="1B70C8DD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9DF2" w14:textId="5B7D92A6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Cena jedn. netto w PLN </w:t>
            </w:r>
            <w:r>
              <w:br/>
            </w:r>
          </w:p>
          <w:p w14:paraId="2664F933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4A16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Stawka podatku VAT</w:t>
            </w:r>
            <w:r>
              <w:br/>
            </w:r>
            <w:r w:rsidRPr="0D6A174D">
              <w:rPr>
                <w:rFonts w:asciiTheme="minorHAnsi" w:hAnsiTheme="minorHAnsi" w:cstheme="minorBidi"/>
              </w:rPr>
              <w:t>w 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118EA" w14:textId="77777777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 xml:space="preserve">Wartość </w:t>
            </w:r>
          </w:p>
          <w:p w14:paraId="16C5AA91" w14:textId="2AAD219B" w:rsidR="00982DE8" w:rsidRPr="00635E85" w:rsidRDefault="00982DE8" w:rsidP="00982DE8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brutto w PLN</w:t>
            </w:r>
          </w:p>
          <w:p w14:paraId="382D432F" w14:textId="0EE9A4FA" w:rsidR="00982DE8" w:rsidRPr="00635E85" w:rsidRDefault="00982DE8" w:rsidP="00C01A0E">
            <w:pPr>
              <w:tabs>
                <w:tab w:val="left" w:pos="1980"/>
              </w:tabs>
              <w:autoSpaceDE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62C7E079" w14:textId="77777777" w:rsidTr="00982DE8">
        <w:trPr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36B9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i/>
                <w:iCs/>
              </w:rPr>
            </w:pP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A37DE" w14:textId="77777777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a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DFF42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c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68F5A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EBC13" w14:textId="6CD9BE64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1F59B" w14:textId="126F1581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f</w:t>
            </w:r>
            <w:r w:rsidRPr="0D6A174D"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982DE8" w:rsidRPr="00635E85" w14:paraId="6CD8D53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5F65" w14:textId="6A68ACAD" w:rsidR="00982DE8" w:rsidRPr="00635E85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1</w:t>
            </w:r>
            <w:r w:rsidR="0085026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6C93" w14:textId="46FE3958" w:rsidR="00982DE8" w:rsidRPr="0085026A" w:rsidRDefault="004E7CD6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B02FD9">
              <w:rPr>
                <w:rFonts w:asciiTheme="minorHAnsi" w:hAnsiTheme="minorHAnsi" w:cstheme="minorBidi"/>
                <w:lang w:val="en-US"/>
              </w:rPr>
              <w:t>PRIV-STANDARD-USER-SUBS</w:t>
            </w:r>
            <w:r w:rsidR="00DD03CF" w:rsidRPr="00DD03CF">
              <w:rPr>
                <w:rFonts w:asciiTheme="minorHAnsi" w:hAnsiTheme="minorHAnsi" w:cstheme="minorBidi"/>
                <w:lang w:val="en-US"/>
              </w:rPr>
              <w:t>-CONVERTED</w:t>
            </w:r>
            <w:r w:rsidR="006A4A85" w:rsidRPr="00B02FD9">
              <w:rPr>
                <w:rFonts w:asciiTheme="minorHAnsi" w:hAnsiTheme="minorHAnsi" w:cstheme="minorBidi"/>
                <w:lang w:val="en-US"/>
              </w:rPr>
              <w:t xml:space="preserve"> - 24 </w:t>
            </w:r>
            <w:proofErr w:type="spellStart"/>
            <w:r w:rsidR="006A4A85" w:rsidRPr="00B02FD9">
              <w:rPr>
                <w:rFonts w:asciiTheme="minorHAnsi" w:hAnsiTheme="minorHAnsi" w:cstheme="minorBidi"/>
                <w:lang w:val="en-US"/>
              </w:rPr>
              <w:t>miesiące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D16CC" w14:textId="0BB161DF" w:rsidR="00982DE8" w:rsidRPr="0085026A" w:rsidRDefault="000E613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t>2</w:t>
            </w:r>
            <w:r w:rsidR="00A87AB9">
              <w:rPr>
                <w:rFonts w:asciiTheme="minorHAnsi" w:hAnsiTheme="minorHAnsi" w:cstheme="minorBidi"/>
                <w:lang w:val="en-US"/>
              </w:rPr>
              <w:t>0</w:t>
            </w:r>
            <w:r>
              <w:rPr>
                <w:rFonts w:asciiTheme="minorHAnsi" w:hAnsiTheme="minorHAnsi" w:cstheme="minorBidi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  <w:lang w:val="en-US"/>
              </w:rPr>
              <w:t>szt</w:t>
            </w:r>
            <w:proofErr w:type="spellEnd"/>
            <w:r>
              <w:rPr>
                <w:rFonts w:asciiTheme="minorHAnsi" w:hAnsiTheme="minorHAnsi" w:cstheme="minorBidi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07051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E4C60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….%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C6BB" w14:textId="77777777" w:rsidR="00982DE8" w:rsidRPr="00635E85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 w:rsidRPr="0D6A174D">
              <w:rPr>
                <w:rFonts w:asciiTheme="minorHAnsi" w:hAnsiTheme="minorHAnsi" w:cstheme="minorBidi"/>
              </w:rPr>
              <w:t>….. zł</w:t>
            </w:r>
          </w:p>
        </w:tc>
      </w:tr>
      <w:tr w:rsidR="00982DE8" w:rsidRPr="00635E85" w14:paraId="3F7D6E2F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086AB" w14:textId="1FED3721" w:rsidR="00982DE8" w:rsidRPr="0D6A174D" w:rsidRDefault="00982DE8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2</w:t>
            </w:r>
            <w:r w:rsidR="0085026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B4749" w14:textId="1C11038B" w:rsidR="00982DE8" w:rsidRPr="0085026A" w:rsidRDefault="004E7CD6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B02FD9">
              <w:rPr>
                <w:rFonts w:asciiTheme="minorHAnsi" w:hAnsiTheme="minorHAnsi" w:cstheme="minorBidi"/>
                <w:lang w:val="en-US"/>
              </w:rPr>
              <w:t>PRIV-STANDARD-USER-SUBS</w:t>
            </w:r>
            <w:r w:rsidR="00DD03CF" w:rsidRPr="00DD03CF">
              <w:rPr>
                <w:rFonts w:asciiTheme="minorHAnsi" w:hAnsiTheme="minorHAnsi" w:cstheme="minorBidi"/>
                <w:lang w:val="en-US"/>
              </w:rPr>
              <w:t>-CONVERTED</w:t>
            </w:r>
            <w:r w:rsidRPr="00B02FD9">
              <w:rPr>
                <w:rFonts w:asciiTheme="minorHAnsi" w:hAnsiTheme="minorHAnsi" w:cstheme="minorBidi"/>
                <w:lang w:val="en-US"/>
              </w:rPr>
              <w:t xml:space="preserve"> </w:t>
            </w:r>
            <w:r w:rsidR="006A4A85" w:rsidRPr="00B02FD9">
              <w:rPr>
                <w:rFonts w:asciiTheme="minorHAnsi" w:hAnsiTheme="minorHAnsi" w:cstheme="minorBidi"/>
                <w:lang w:val="en-US"/>
              </w:rPr>
              <w:t xml:space="preserve">- </w:t>
            </w:r>
            <w:r w:rsidRPr="00B02FD9">
              <w:rPr>
                <w:rFonts w:asciiTheme="minorHAnsi" w:hAnsiTheme="minorHAnsi" w:cstheme="minorBidi"/>
                <w:lang w:val="en-US"/>
              </w:rPr>
              <w:t xml:space="preserve">24 </w:t>
            </w:r>
            <w:proofErr w:type="spellStart"/>
            <w:r w:rsidRPr="00B02FD9">
              <w:rPr>
                <w:rFonts w:asciiTheme="minorHAnsi" w:hAnsiTheme="minorHAnsi" w:cstheme="minorBidi"/>
                <w:lang w:val="en-US"/>
              </w:rPr>
              <w:t>miesiące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640F" w14:textId="23E7CEBF" w:rsidR="00982DE8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D513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0A90E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596D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87AB9" w:rsidRPr="00635E85" w14:paraId="31941EA7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343B3" w14:textId="7509A375" w:rsidR="00A87AB9" w:rsidRDefault="00A87AB9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8D184" w14:textId="26A66328" w:rsidR="00A87AB9" w:rsidRPr="00A87AB9" w:rsidRDefault="00A87AB9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A87AB9">
              <w:rPr>
                <w:rFonts w:asciiTheme="minorHAnsi" w:hAnsiTheme="minorHAnsi" w:cstheme="minorBidi"/>
                <w:lang w:val="en-US"/>
              </w:rPr>
              <w:t>PRIV-STANDARD-USER-SUBS</w:t>
            </w:r>
            <w:r w:rsidRPr="00B02FD9">
              <w:rPr>
                <w:rFonts w:asciiTheme="minorHAnsi" w:hAnsiTheme="minorHAnsi" w:cstheme="minorBidi"/>
                <w:lang w:val="en-US"/>
              </w:rPr>
              <w:t xml:space="preserve"> - 24 </w:t>
            </w:r>
            <w:proofErr w:type="spellStart"/>
            <w:r w:rsidRPr="00B02FD9">
              <w:rPr>
                <w:rFonts w:asciiTheme="minorHAnsi" w:hAnsiTheme="minorHAnsi" w:cstheme="minorBidi"/>
                <w:lang w:val="en-US"/>
              </w:rPr>
              <w:t>miesiące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A843A" w14:textId="4E8282A0" w:rsidR="00A87AB9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9CA8" w14:textId="77777777" w:rsidR="00A87AB9" w:rsidRPr="0D6A174D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AEFA" w14:textId="77777777" w:rsidR="00A87AB9" w:rsidRPr="0D6A174D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A6D69" w14:textId="77777777" w:rsidR="00A87AB9" w:rsidRPr="0D6A174D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A87AB9" w:rsidRPr="00635E85" w14:paraId="757C54C4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8AD8" w14:textId="1C2676C7" w:rsidR="00A87AB9" w:rsidRDefault="00A87AB9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140FC" w14:textId="5836C5B4" w:rsidR="00A87AB9" w:rsidRPr="00B02FD9" w:rsidRDefault="00A87AB9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A87AB9">
              <w:rPr>
                <w:rFonts w:asciiTheme="minorHAnsi" w:hAnsiTheme="minorHAnsi" w:cstheme="minorBidi"/>
                <w:lang w:val="en-US"/>
              </w:rPr>
              <w:t>PRIV-STANDARD-USER-SUBS</w:t>
            </w:r>
            <w:r w:rsidRPr="00B02FD9">
              <w:rPr>
                <w:rFonts w:asciiTheme="minorHAnsi" w:hAnsiTheme="minorHAnsi" w:cstheme="minorBidi"/>
                <w:lang w:val="en-US"/>
              </w:rPr>
              <w:t xml:space="preserve"> - 24 </w:t>
            </w:r>
            <w:proofErr w:type="spellStart"/>
            <w:r w:rsidRPr="00B02FD9">
              <w:rPr>
                <w:rFonts w:asciiTheme="minorHAnsi" w:hAnsiTheme="minorHAnsi" w:cstheme="minorBidi"/>
                <w:lang w:val="en-US"/>
              </w:rPr>
              <w:t>miesiące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6C616" w14:textId="18AAB5C7" w:rsidR="00A87AB9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9F8DC" w14:textId="77777777" w:rsidR="00A87AB9" w:rsidRPr="0D6A174D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CD29B" w14:textId="77777777" w:rsidR="00A87AB9" w:rsidRPr="0D6A174D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8777A" w14:textId="77777777" w:rsidR="00A87AB9" w:rsidRPr="0D6A174D" w:rsidRDefault="00A87AB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982DE8" w:rsidRPr="00635E85" w14:paraId="036C30F0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FC6E" w14:textId="53B0E278" w:rsidR="00982DE8" w:rsidRPr="0D6A174D" w:rsidRDefault="00A87AB9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5</w:t>
            </w:r>
            <w:r w:rsidR="0085026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2F4E9" w14:textId="73B693FC" w:rsidR="00982DE8" w:rsidRPr="0085026A" w:rsidRDefault="006A4A85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B02FD9">
              <w:rPr>
                <w:rFonts w:asciiTheme="minorHAnsi" w:hAnsiTheme="minorHAnsi" w:cstheme="minorBidi"/>
                <w:lang w:val="en-US"/>
              </w:rPr>
              <w:t>EXT-VENDOR-USER-SUBS</w:t>
            </w:r>
            <w:r w:rsidR="00E30199" w:rsidRPr="00B02FD9">
              <w:rPr>
                <w:rFonts w:asciiTheme="minorHAnsi" w:hAnsiTheme="minorHAnsi" w:cstheme="minorBidi"/>
                <w:lang w:val="en-US"/>
              </w:rPr>
              <w:t xml:space="preserve"> - 24 </w:t>
            </w:r>
            <w:proofErr w:type="spellStart"/>
            <w:r w:rsidR="00E30199" w:rsidRPr="00B02FD9">
              <w:rPr>
                <w:rFonts w:asciiTheme="minorHAnsi" w:hAnsiTheme="minorHAnsi" w:cstheme="minorBidi"/>
                <w:lang w:val="en-US"/>
              </w:rPr>
              <w:t>miesiące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462B" w14:textId="382AA8C3" w:rsidR="00982DE8" w:rsidRDefault="000E613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95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2A9F3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B050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EA928" w14:textId="77777777" w:rsidR="00982DE8" w:rsidRPr="0D6A174D" w:rsidRDefault="00982DE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5026A" w:rsidRPr="0085026A" w14:paraId="18F5E58A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E91DD" w14:textId="74E398E6" w:rsidR="0085026A" w:rsidRDefault="00A87AB9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6</w:t>
            </w:r>
            <w:r w:rsidR="0085026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9864" w14:textId="3F61A4F6" w:rsidR="0085026A" w:rsidRPr="0085026A" w:rsidRDefault="006A4A85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  <w:lang w:val="en-US"/>
              </w:rPr>
            </w:pPr>
            <w:r w:rsidRPr="006A4A85">
              <w:rPr>
                <w:rFonts w:asciiTheme="minorHAnsi" w:hAnsiTheme="minorHAnsi" w:cstheme="minorBidi"/>
                <w:lang w:val="en-US"/>
              </w:rPr>
              <w:t>EXT-VENDOR-USER-SUBS</w:t>
            </w:r>
            <w:r w:rsidR="00E30199" w:rsidRPr="00B02FD9">
              <w:rPr>
                <w:rFonts w:asciiTheme="minorHAnsi" w:hAnsiTheme="minorHAnsi" w:cstheme="minorBidi"/>
                <w:lang w:val="en-US"/>
              </w:rPr>
              <w:t xml:space="preserve"> - 24 </w:t>
            </w:r>
            <w:proofErr w:type="spellStart"/>
            <w:r w:rsidR="00E30199" w:rsidRPr="00B02FD9">
              <w:rPr>
                <w:rFonts w:asciiTheme="minorHAnsi" w:hAnsiTheme="minorHAnsi" w:cstheme="minorBidi"/>
                <w:lang w:val="en-US"/>
              </w:rPr>
              <w:t>miesiące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8E448" w14:textId="1F09F7CF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</w:rPr>
              <w:t>1 szt.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A8197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A32C1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F917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</w:p>
        </w:tc>
      </w:tr>
      <w:tr w:rsidR="0085026A" w:rsidRPr="0085026A" w14:paraId="2BE973B4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6D258" w14:textId="38D7C705" w:rsidR="0085026A" w:rsidRPr="0085026A" w:rsidRDefault="00A87AB9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  <w:lang w:val="en-US"/>
              </w:rPr>
            </w:pPr>
            <w:r>
              <w:rPr>
                <w:rFonts w:asciiTheme="minorHAnsi" w:hAnsiTheme="minorHAnsi" w:cstheme="minorBidi"/>
                <w:lang w:val="en-US"/>
              </w:rPr>
              <w:lastRenderedPageBreak/>
              <w:t>7</w:t>
            </w:r>
            <w:r w:rsidR="0085026A">
              <w:rPr>
                <w:rFonts w:asciiTheme="minorHAnsi" w:hAnsiTheme="minorHAnsi" w:cstheme="minorBidi"/>
                <w:lang w:val="en-US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03563" w14:textId="0CD9D1AD" w:rsidR="0085026A" w:rsidRPr="0085026A" w:rsidRDefault="0085026A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</w:rPr>
            </w:pPr>
            <w:r w:rsidRPr="0085026A">
              <w:rPr>
                <w:rFonts w:asciiTheme="minorHAnsi" w:hAnsiTheme="minorHAnsi" w:cstheme="minorBidi"/>
              </w:rPr>
              <w:t xml:space="preserve">Usługa Asysty Technicznej i Konfiguracji, dla oprogramowania </w:t>
            </w:r>
            <w:proofErr w:type="spellStart"/>
            <w:r w:rsidRPr="0085026A">
              <w:rPr>
                <w:rFonts w:asciiTheme="minorHAnsi" w:hAnsiTheme="minorHAnsi" w:cstheme="minorBidi"/>
              </w:rPr>
              <w:t>CyberArk</w:t>
            </w:r>
            <w:proofErr w:type="spellEnd"/>
            <w:r w:rsidRPr="0085026A">
              <w:rPr>
                <w:rFonts w:asciiTheme="minorHAnsi" w:hAnsiTheme="minorHAnsi" w:cstheme="minorBidi"/>
              </w:rPr>
              <w:t xml:space="preserve"> obowiązujących przez okres 2</w:t>
            </w:r>
            <w:r w:rsidR="00D1580B">
              <w:rPr>
                <w:rFonts w:asciiTheme="minorHAnsi" w:hAnsiTheme="minorHAnsi" w:cstheme="minorBidi"/>
              </w:rPr>
              <w:t>1</w:t>
            </w:r>
            <w:r w:rsidRPr="0085026A">
              <w:rPr>
                <w:rFonts w:asciiTheme="minorHAnsi" w:hAnsiTheme="minorHAnsi" w:cstheme="minorBidi"/>
              </w:rPr>
              <w:t xml:space="preserve"> miesięcy.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F261" w14:textId="77891EA5" w:rsidR="0085026A" w:rsidRPr="0085026A" w:rsidRDefault="000E6139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1</w:t>
            </w:r>
            <w:r w:rsidR="009C5EB2">
              <w:rPr>
                <w:rFonts w:asciiTheme="minorHAnsi" w:hAnsiTheme="minorHAnsi" w:cstheme="minorBidi"/>
              </w:rPr>
              <w:t>3</w:t>
            </w:r>
            <w:r w:rsidR="00892EAD">
              <w:rPr>
                <w:rFonts w:asciiTheme="minorHAnsi" w:hAnsiTheme="minorHAnsi" w:cstheme="minorBidi"/>
              </w:rPr>
              <w:t>0</w:t>
            </w:r>
            <w:r>
              <w:rPr>
                <w:rFonts w:asciiTheme="minorHAnsi" w:hAnsiTheme="minorHAnsi" w:cstheme="minorBidi"/>
              </w:rPr>
              <w:t xml:space="preserve"> </w:t>
            </w:r>
            <w:proofErr w:type="spellStart"/>
            <w:r>
              <w:rPr>
                <w:rFonts w:asciiTheme="minorHAnsi" w:hAnsiTheme="minorHAnsi" w:cstheme="minorBidi"/>
              </w:rPr>
              <w:t>rbh</w:t>
            </w:r>
            <w:proofErr w:type="spellEnd"/>
            <w:r w:rsidR="003C1F6C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B3DCB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E6451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B73E2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85026A" w:rsidRPr="0085026A" w14:paraId="25EA520F" w14:textId="77777777" w:rsidTr="00982DE8">
        <w:trPr>
          <w:trHeight w:val="697"/>
          <w:jc w:val="center"/>
        </w:trPr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0CDE9" w14:textId="5C147359" w:rsidR="0085026A" w:rsidRPr="0085026A" w:rsidRDefault="00A87AB9" w:rsidP="00C01A0E">
            <w:pPr>
              <w:widowControl w:val="0"/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8</w:t>
            </w:r>
            <w:r w:rsidR="002C650A"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2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81A0B" w14:textId="0A2AAFB5" w:rsidR="0085026A" w:rsidRPr="0085026A" w:rsidRDefault="002C650A" w:rsidP="00440A27">
            <w:pPr>
              <w:widowControl w:val="0"/>
              <w:spacing w:after="120" w:line="254" w:lineRule="auto"/>
              <w:rPr>
                <w:rFonts w:asciiTheme="minorHAnsi" w:hAnsiTheme="minorHAnsi" w:cstheme="minorBidi"/>
              </w:rPr>
            </w:pPr>
            <w:r w:rsidRPr="0085026A">
              <w:rPr>
                <w:rFonts w:asciiTheme="minorHAnsi" w:hAnsiTheme="minorHAnsi" w:cstheme="minorBidi"/>
              </w:rPr>
              <w:t>Usługa Asysty Technicznej i</w:t>
            </w:r>
            <w:r w:rsidR="00440A27">
              <w:rPr>
                <w:rFonts w:asciiTheme="minorHAnsi" w:hAnsiTheme="minorHAnsi" w:cstheme="minorBidi"/>
              </w:rPr>
              <w:t xml:space="preserve"> </w:t>
            </w:r>
            <w:r w:rsidRPr="0085026A">
              <w:rPr>
                <w:rFonts w:asciiTheme="minorHAnsi" w:hAnsiTheme="minorHAnsi" w:cstheme="minorBidi"/>
              </w:rPr>
              <w:t xml:space="preserve">Konfiguracji, dla oprogramowania </w:t>
            </w:r>
            <w:proofErr w:type="spellStart"/>
            <w:r w:rsidRPr="0085026A">
              <w:rPr>
                <w:rFonts w:asciiTheme="minorHAnsi" w:hAnsiTheme="minorHAnsi" w:cstheme="minorBidi"/>
              </w:rPr>
              <w:t>CyberArk</w:t>
            </w:r>
            <w:proofErr w:type="spellEnd"/>
            <w:r w:rsidRPr="0085026A">
              <w:rPr>
                <w:rFonts w:asciiTheme="minorHAnsi" w:hAnsiTheme="minorHAnsi" w:cstheme="minorBidi"/>
              </w:rPr>
              <w:t xml:space="preserve"> obowiązujących przez okres 2</w:t>
            </w:r>
            <w:r w:rsidR="00D1580B">
              <w:rPr>
                <w:rFonts w:asciiTheme="minorHAnsi" w:hAnsiTheme="minorHAnsi" w:cstheme="minorBidi"/>
              </w:rPr>
              <w:t>1</w:t>
            </w:r>
            <w:r w:rsidRPr="0085026A">
              <w:rPr>
                <w:rFonts w:asciiTheme="minorHAnsi" w:hAnsiTheme="minorHAnsi" w:cstheme="minorBidi"/>
              </w:rPr>
              <w:t xml:space="preserve"> miesięcy.</w:t>
            </w:r>
          </w:p>
        </w:tc>
        <w:tc>
          <w:tcPr>
            <w:tcW w:w="10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ECE3" w14:textId="64D5CEC6" w:rsidR="0085026A" w:rsidRPr="0085026A" w:rsidRDefault="00493A28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1 </w:t>
            </w:r>
            <w:proofErr w:type="spellStart"/>
            <w:r>
              <w:rPr>
                <w:rFonts w:asciiTheme="minorHAnsi" w:hAnsiTheme="minorHAnsi" w:cstheme="minorBidi"/>
              </w:rPr>
              <w:t>rbh</w:t>
            </w:r>
            <w:proofErr w:type="spellEnd"/>
            <w:r>
              <w:rPr>
                <w:rFonts w:asciiTheme="minorHAnsi" w:hAnsiTheme="minorHAnsi" w:cstheme="minorBidi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B8F4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31F1D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7766" w14:textId="77777777" w:rsidR="0085026A" w:rsidRPr="0085026A" w:rsidRDefault="0085026A" w:rsidP="00C01A0E">
            <w:pPr>
              <w:spacing w:after="120" w:line="254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bookmarkEnd w:id="1"/>
    </w:tbl>
    <w:p w14:paraId="557789CC" w14:textId="77777777" w:rsidR="00982DE8" w:rsidRPr="0085026A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</w:p>
    <w:p w14:paraId="65EE3E95" w14:textId="77777777" w:rsidR="00982DE8" w:rsidRPr="00635E85" w:rsidRDefault="00982DE8" w:rsidP="00982DE8">
      <w:pPr>
        <w:spacing w:after="120" w:line="254" w:lineRule="auto"/>
        <w:rPr>
          <w:rFonts w:asciiTheme="minorHAnsi" w:eastAsia="Arial Narrow" w:hAnsiTheme="minorHAnsi" w:cstheme="minorBidi"/>
        </w:rPr>
      </w:pPr>
      <w:r w:rsidRPr="1B4222F7">
        <w:rPr>
          <w:rFonts w:asciiTheme="minorHAnsi" w:eastAsia="Arial Narrow" w:hAnsiTheme="minorHAnsi" w:cstheme="minorBidi"/>
        </w:rPr>
        <w:t>Oświadczenia</w:t>
      </w:r>
    </w:p>
    <w:p w14:paraId="05F5B4FC" w14:textId="0D0FB1FE" w:rsidR="00982DE8" w:rsidRPr="00635E85" w:rsidRDefault="00982DE8" w:rsidP="00AC44F2">
      <w:pPr>
        <w:spacing w:after="120" w:line="254" w:lineRule="auto"/>
      </w:pPr>
      <w:r w:rsidRPr="7CB634B2">
        <w:rPr>
          <w:rFonts w:asciiTheme="minorHAnsi" w:eastAsia="Arial Narrow" w:hAnsiTheme="minorHAnsi" w:cstheme="minorBidi"/>
        </w:rPr>
        <w:t xml:space="preserve">1. Oświadczamy, że zapoznaliśmy się z Zapytaniem </w:t>
      </w:r>
      <w:r w:rsidR="00AC44F2">
        <w:rPr>
          <w:rFonts w:asciiTheme="minorHAnsi" w:eastAsia="Arial Narrow" w:hAnsiTheme="minorHAnsi" w:cstheme="minorBidi"/>
        </w:rPr>
        <w:t>Szacunkowym</w:t>
      </w:r>
      <w:r w:rsidRPr="1B4222F7">
        <w:rPr>
          <w:rFonts w:asciiTheme="minorHAnsi" w:eastAsia="Arial Narrow" w:hAnsiTheme="minorHAnsi" w:cstheme="minorBidi"/>
        </w:rPr>
        <w:t>.</w:t>
      </w:r>
    </w:p>
    <w:p w14:paraId="7BB92685" w14:textId="23A9AC38" w:rsidR="00982DE8" w:rsidRPr="00422B1E" w:rsidRDefault="000719F9" w:rsidP="00982DE8">
      <w:pPr>
        <w:spacing w:after="120" w:line="254" w:lineRule="auto"/>
      </w:pPr>
      <w:r>
        <w:rPr>
          <w:rFonts w:asciiTheme="minorHAnsi" w:eastAsia="Arial Narrow" w:hAnsiTheme="minorHAnsi" w:cstheme="minorBidi"/>
        </w:rPr>
        <w:t>2</w:t>
      </w:r>
      <w:r w:rsidR="00982DE8" w:rsidRPr="1B4222F7">
        <w:rPr>
          <w:rFonts w:asciiTheme="minorHAnsi" w:eastAsia="Arial Narrow" w:hAnsiTheme="minorHAnsi" w:cstheme="minorBidi"/>
        </w:rPr>
        <w:t>. Oświadczamy, że zapoznaliśmy się z klauzulą informacyjną oraz na podstawie art. 6 ust. 1 lit a. Rozporządzenia Parlamentu Europejskiego i Rady (UE) 2016/679 z dnia 27 kwietnia 2016 r. w sprawie ochrony osób fizycznych w związku z przetwarzaniem danych osobowych i w sprawie swobodnego przepływu tych danych oraz uchylenia dyrektywy 95/46/WE (ogólne rozporządzenie o ochronie danych osobowych) wyrażamy zgodę na przetwarzanie danych osobowych przez PFRON, w celu przeprowadzenia niniejszego postepowania.</w:t>
      </w:r>
    </w:p>
    <w:p w14:paraId="0907BEB2" w14:textId="77777777" w:rsidR="00982DE8" w:rsidRPr="00635E85" w:rsidRDefault="00982DE8" w:rsidP="00982DE8">
      <w:pPr>
        <w:spacing w:before="960" w:after="120" w:line="254" w:lineRule="auto"/>
        <w:ind w:left="4536"/>
        <w:rPr>
          <w:rFonts w:asciiTheme="minorHAnsi" w:hAnsiTheme="minorHAnsi" w:cstheme="minorHAnsi"/>
        </w:rPr>
      </w:pPr>
      <w:r w:rsidRPr="00635E85">
        <w:rPr>
          <w:rFonts w:asciiTheme="minorHAnsi" w:hAnsiTheme="minorHAnsi" w:cstheme="minorHAnsi"/>
        </w:rPr>
        <w:t xml:space="preserve">Podpis Wykonawcy </w:t>
      </w:r>
      <w:r w:rsidRPr="00635E85">
        <w:rPr>
          <w:rFonts w:asciiTheme="minorHAnsi" w:hAnsiTheme="minorHAnsi" w:cstheme="minorHAnsi"/>
        </w:rPr>
        <w:br/>
        <w:t>lub innej umocowanej przez niego osoby</w:t>
      </w:r>
    </w:p>
    <w:p w14:paraId="2F5B6002" w14:textId="77777777" w:rsidR="00982DE8" w:rsidRPr="00733C6B" w:rsidRDefault="00982DE8" w:rsidP="00982DE8">
      <w:pPr>
        <w:pStyle w:val="Akapitzlist"/>
        <w:spacing w:after="160" w:line="256" w:lineRule="auto"/>
        <w:ind w:left="360"/>
        <w:jc w:val="both"/>
        <w:rPr>
          <w:rFonts w:asciiTheme="minorHAnsi" w:hAnsiTheme="minorHAnsi" w:cstheme="minorHAnsi"/>
        </w:rPr>
      </w:pPr>
    </w:p>
    <w:p w14:paraId="0D0B940D" w14:textId="77777777" w:rsidR="00177BDC" w:rsidRPr="00733C6B" w:rsidRDefault="00177BDC" w:rsidP="00D3027F">
      <w:pPr>
        <w:jc w:val="both"/>
        <w:rPr>
          <w:rFonts w:asciiTheme="minorHAnsi" w:hAnsiTheme="minorHAnsi" w:cstheme="minorHAnsi"/>
          <w:color w:val="000000"/>
        </w:rPr>
      </w:pPr>
    </w:p>
    <w:sectPr w:rsidR="00177BDC" w:rsidRPr="00733C6B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C9C1" w14:textId="77777777" w:rsidR="00607BDF" w:rsidRDefault="00607BDF" w:rsidP="002C68CC">
      <w:r>
        <w:separator/>
      </w:r>
    </w:p>
  </w:endnote>
  <w:endnote w:type="continuationSeparator" w:id="0">
    <w:p w14:paraId="4ECF06B2" w14:textId="77777777" w:rsidR="00607BDF" w:rsidRDefault="00607BDF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E8971" w14:textId="77777777" w:rsidR="00607BDF" w:rsidRDefault="00607BDF" w:rsidP="002C68CC">
      <w:r>
        <w:separator/>
      </w:r>
    </w:p>
  </w:footnote>
  <w:footnote w:type="continuationSeparator" w:id="0">
    <w:p w14:paraId="7E4A72C4" w14:textId="77777777" w:rsidR="00607BDF" w:rsidRDefault="00607BDF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DE6019"/>
    <w:multiLevelType w:val="hybridMultilevel"/>
    <w:tmpl w:val="D4EACE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73D8"/>
    <w:multiLevelType w:val="hybridMultilevel"/>
    <w:tmpl w:val="D2269932"/>
    <w:lvl w:ilvl="0" w:tplc="A9A2202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2D0B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5C9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6EB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6F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4C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C2A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2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4E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101"/>
    <w:multiLevelType w:val="hybridMultilevel"/>
    <w:tmpl w:val="E8A82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5510BC"/>
    <w:multiLevelType w:val="hybridMultilevel"/>
    <w:tmpl w:val="7B887BF4"/>
    <w:lvl w:ilvl="0" w:tplc="03729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1427"/>
    <w:multiLevelType w:val="multilevel"/>
    <w:tmpl w:val="397A6232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42990"/>
    <w:multiLevelType w:val="hybridMultilevel"/>
    <w:tmpl w:val="470621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10D7178"/>
    <w:multiLevelType w:val="hybridMultilevel"/>
    <w:tmpl w:val="C4E62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A222E8"/>
    <w:multiLevelType w:val="hybridMultilevel"/>
    <w:tmpl w:val="C21063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354">
    <w:abstractNumId w:val="13"/>
  </w:num>
  <w:num w:numId="2" w16cid:durableId="236330449">
    <w:abstractNumId w:val="0"/>
  </w:num>
  <w:num w:numId="3" w16cid:durableId="2067950230">
    <w:abstractNumId w:val="5"/>
  </w:num>
  <w:num w:numId="4" w16cid:durableId="1883515815">
    <w:abstractNumId w:val="6"/>
  </w:num>
  <w:num w:numId="5" w16cid:durableId="1998148726">
    <w:abstractNumId w:val="10"/>
  </w:num>
  <w:num w:numId="6" w16cid:durableId="1506433131">
    <w:abstractNumId w:val="18"/>
  </w:num>
  <w:num w:numId="7" w16cid:durableId="1073509150">
    <w:abstractNumId w:val="15"/>
  </w:num>
  <w:num w:numId="8" w16cid:durableId="1031613991">
    <w:abstractNumId w:val="20"/>
  </w:num>
  <w:num w:numId="9" w16cid:durableId="1145512861">
    <w:abstractNumId w:val="21"/>
  </w:num>
  <w:num w:numId="10" w16cid:durableId="203492931">
    <w:abstractNumId w:val="16"/>
  </w:num>
  <w:num w:numId="11" w16cid:durableId="1899127497">
    <w:abstractNumId w:val="11"/>
  </w:num>
  <w:num w:numId="12" w16cid:durableId="7196741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6768582">
    <w:abstractNumId w:val="9"/>
  </w:num>
  <w:num w:numId="14" w16cid:durableId="1142964102">
    <w:abstractNumId w:val="12"/>
  </w:num>
  <w:num w:numId="15" w16cid:durableId="467012244">
    <w:abstractNumId w:val="4"/>
  </w:num>
  <w:num w:numId="16" w16cid:durableId="1900819006">
    <w:abstractNumId w:val="2"/>
  </w:num>
  <w:num w:numId="17" w16cid:durableId="392042932">
    <w:abstractNumId w:val="7"/>
  </w:num>
  <w:num w:numId="18" w16cid:durableId="1440417105">
    <w:abstractNumId w:val="14"/>
  </w:num>
  <w:num w:numId="19" w16cid:durableId="435637378">
    <w:abstractNumId w:val="1"/>
  </w:num>
  <w:num w:numId="20" w16cid:durableId="1223562597">
    <w:abstractNumId w:val="19"/>
  </w:num>
  <w:num w:numId="21" w16cid:durableId="1361083189">
    <w:abstractNumId w:val="17"/>
  </w:num>
  <w:num w:numId="22" w16cid:durableId="92438064">
    <w:abstractNumId w:val="3"/>
  </w:num>
  <w:num w:numId="23" w16cid:durableId="2092892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75A7"/>
    <w:rsid w:val="000141FB"/>
    <w:rsid w:val="00021046"/>
    <w:rsid w:val="00022A91"/>
    <w:rsid w:val="00031B71"/>
    <w:rsid w:val="000333AF"/>
    <w:rsid w:val="000367ED"/>
    <w:rsid w:val="000657FC"/>
    <w:rsid w:val="00071533"/>
    <w:rsid w:val="000719F9"/>
    <w:rsid w:val="00086973"/>
    <w:rsid w:val="00092C90"/>
    <w:rsid w:val="000A0D10"/>
    <w:rsid w:val="000B4F57"/>
    <w:rsid w:val="000B7ACB"/>
    <w:rsid w:val="000C00AF"/>
    <w:rsid w:val="000C487F"/>
    <w:rsid w:val="000D1158"/>
    <w:rsid w:val="000E2A10"/>
    <w:rsid w:val="000E6139"/>
    <w:rsid w:val="000F2B60"/>
    <w:rsid w:val="000F711B"/>
    <w:rsid w:val="00120FB4"/>
    <w:rsid w:val="00132884"/>
    <w:rsid w:val="00135BB3"/>
    <w:rsid w:val="00177BDC"/>
    <w:rsid w:val="0018185B"/>
    <w:rsid w:val="00183A78"/>
    <w:rsid w:val="0018D7B7"/>
    <w:rsid w:val="00191C25"/>
    <w:rsid w:val="00192387"/>
    <w:rsid w:val="00193CB9"/>
    <w:rsid w:val="00196648"/>
    <w:rsid w:val="001C4251"/>
    <w:rsid w:val="001C62D9"/>
    <w:rsid w:val="001C7590"/>
    <w:rsid w:val="001C7EA5"/>
    <w:rsid w:val="001D3270"/>
    <w:rsid w:val="002221BC"/>
    <w:rsid w:val="0023045C"/>
    <w:rsid w:val="00231782"/>
    <w:rsid w:val="00283494"/>
    <w:rsid w:val="002A1817"/>
    <w:rsid w:val="002B25AE"/>
    <w:rsid w:val="002C26CC"/>
    <w:rsid w:val="002C2B72"/>
    <w:rsid w:val="002C6064"/>
    <w:rsid w:val="002C650A"/>
    <w:rsid w:val="002C68CC"/>
    <w:rsid w:val="002E17FA"/>
    <w:rsid w:val="002F2A87"/>
    <w:rsid w:val="00312E17"/>
    <w:rsid w:val="003160AD"/>
    <w:rsid w:val="00321083"/>
    <w:rsid w:val="00322807"/>
    <w:rsid w:val="00336DF1"/>
    <w:rsid w:val="00346F94"/>
    <w:rsid w:val="00360C54"/>
    <w:rsid w:val="00376992"/>
    <w:rsid w:val="003C0D07"/>
    <w:rsid w:val="003C1F6C"/>
    <w:rsid w:val="003F1F05"/>
    <w:rsid w:val="00400B74"/>
    <w:rsid w:val="004028F2"/>
    <w:rsid w:val="004050A6"/>
    <w:rsid w:val="00416E2F"/>
    <w:rsid w:val="00422B1E"/>
    <w:rsid w:val="00427822"/>
    <w:rsid w:val="004406ED"/>
    <w:rsid w:val="00440A27"/>
    <w:rsid w:val="00444B85"/>
    <w:rsid w:val="004465D8"/>
    <w:rsid w:val="00447927"/>
    <w:rsid w:val="00447B4D"/>
    <w:rsid w:val="00450DB6"/>
    <w:rsid w:val="00476E43"/>
    <w:rsid w:val="00480FEA"/>
    <w:rsid w:val="004923D8"/>
    <w:rsid w:val="00493A28"/>
    <w:rsid w:val="004A133A"/>
    <w:rsid w:val="004A2F7B"/>
    <w:rsid w:val="004B7FE8"/>
    <w:rsid w:val="004C003D"/>
    <w:rsid w:val="004C3A8A"/>
    <w:rsid w:val="004C5F7B"/>
    <w:rsid w:val="004E5EBD"/>
    <w:rsid w:val="004E7CD6"/>
    <w:rsid w:val="004F6BD2"/>
    <w:rsid w:val="004F7B3B"/>
    <w:rsid w:val="00531168"/>
    <w:rsid w:val="00533309"/>
    <w:rsid w:val="005433D6"/>
    <w:rsid w:val="0056062A"/>
    <w:rsid w:val="005664B9"/>
    <w:rsid w:val="00567466"/>
    <w:rsid w:val="00570ADA"/>
    <w:rsid w:val="00572C67"/>
    <w:rsid w:val="00573177"/>
    <w:rsid w:val="0057573D"/>
    <w:rsid w:val="00580152"/>
    <w:rsid w:val="005832E5"/>
    <w:rsid w:val="0059331C"/>
    <w:rsid w:val="005C5BD3"/>
    <w:rsid w:val="00603C39"/>
    <w:rsid w:val="00607BDF"/>
    <w:rsid w:val="006149AF"/>
    <w:rsid w:val="00614D1B"/>
    <w:rsid w:val="00625BBD"/>
    <w:rsid w:val="00637E3D"/>
    <w:rsid w:val="00642A20"/>
    <w:rsid w:val="00654023"/>
    <w:rsid w:val="00657AF1"/>
    <w:rsid w:val="00674C5E"/>
    <w:rsid w:val="00674E8E"/>
    <w:rsid w:val="0067722B"/>
    <w:rsid w:val="00677CDF"/>
    <w:rsid w:val="0067C0B0"/>
    <w:rsid w:val="006A0974"/>
    <w:rsid w:val="006A4A85"/>
    <w:rsid w:val="006D61BD"/>
    <w:rsid w:val="006F6DB9"/>
    <w:rsid w:val="007002C0"/>
    <w:rsid w:val="00707394"/>
    <w:rsid w:val="007112EC"/>
    <w:rsid w:val="007318F4"/>
    <w:rsid w:val="00733C6B"/>
    <w:rsid w:val="00736176"/>
    <w:rsid w:val="00737C97"/>
    <w:rsid w:val="00740ED5"/>
    <w:rsid w:val="00743F6D"/>
    <w:rsid w:val="007546AF"/>
    <w:rsid w:val="00765EFD"/>
    <w:rsid w:val="00771443"/>
    <w:rsid w:val="00771BC5"/>
    <w:rsid w:val="00785C5A"/>
    <w:rsid w:val="0078713D"/>
    <w:rsid w:val="00794BC3"/>
    <w:rsid w:val="007A2CF9"/>
    <w:rsid w:val="007A5CEB"/>
    <w:rsid w:val="007B3F9F"/>
    <w:rsid w:val="007B68B6"/>
    <w:rsid w:val="007B742F"/>
    <w:rsid w:val="007C2C97"/>
    <w:rsid w:val="007D4326"/>
    <w:rsid w:val="007E31C8"/>
    <w:rsid w:val="007F4CE8"/>
    <w:rsid w:val="00807CD3"/>
    <w:rsid w:val="0082425C"/>
    <w:rsid w:val="00844177"/>
    <w:rsid w:val="0085026A"/>
    <w:rsid w:val="00850FB7"/>
    <w:rsid w:val="00873E1F"/>
    <w:rsid w:val="0088142F"/>
    <w:rsid w:val="00882DD4"/>
    <w:rsid w:val="00892EAD"/>
    <w:rsid w:val="008963AA"/>
    <w:rsid w:val="008A5DBC"/>
    <w:rsid w:val="008A7CA9"/>
    <w:rsid w:val="008C744D"/>
    <w:rsid w:val="008D624C"/>
    <w:rsid w:val="008D7423"/>
    <w:rsid w:val="008E4D3B"/>
    <w:rsid w:val="008F3277"/>
    <w:rsid w:val="00906445"/>
    <w:rsid w:val="00912BCB"/>
    <w:rsid w:val="009172F6"/>
    <w:rsid w:val="009244B3"/>
    <w:rsid w:val="00942767"/>
    <w:rsid w:val="00943947"/>
    <w:rsid w:val="00951630"/>
    <w:rsid w:val="00953D7A"/>
    <w:rsid w:val="00957242"/>
    <w:rsid w:val="00962F6A"/>
    <w:rsid w:val="00982686"/>
    <w:rsid w:val="00982DE8"/>
    <w:rsid w:val="00984B5D"/>
    <w:rsid w:val="009927B1"/>
    <w:rsid w:val="009A57CD"/>
    <w:rsid w:val="009B6866"/>
    <w:rsid w:val="009C5EB2"/>
    <w:rsid w:val="009C61EA"/>
    <w:rsid w:val="009D77CE"/>
    <w:rsid w:val="009E416A"/>
    <w:rsid w:val="009E5489"/>
    <w:rsid w:val="009F4E0B"/>
    <w:rsid w:val="00A01914"/>
    <w:rsid w:val="00A04539"/>
    <w:rsid w:val="00A06BB9"/>
    <w:rsid w:val="00A12F42"/>
    <w:rsid w:val="00A22B47"/>
    <w:rsid w:val="00A24693"/>
    <w:rsid w:val="00A5701A"/>
    <w:rsid w:val="00A60640"/>
    <w:rsid w:val="00A61AE7"/>
    <w:rsid w:val="00A87AB9"/>
    <w:rsid w:val="00AA29E7"/>
    <w:rsid w:val="00AB0BF9"/>
    <w:rsid w:val="00AB1C4B"/>
    <w:rsid w:val="00AC44F2"/>
    <w:rsid w:val="00AC707D"/>
    <w:rsid w:val="00AD641D"/>
    <w:rsid w:val="00AD6559"/>
    <w:rsid w:val="00B02FD9"/>
    <w:rsid w:val="00B04FC9"/>
    <w:rsid w:val="00B229EC"/>
    <w:rsid w:val="00B2352A"/>
    <w:rsid w:val="00B27B73"/>
    <w:rsid w:val="00B34AC2"/>
    <w:rsid w:val="00B35CDD"/>
    <w:rsid w:val="00B36F62"/>
    <w:rsid w:val="00B44EF2"/>
    <w:rsid w:val="00B5089E"/>
    <w:rsid w:val="00B5521B"/>
    <w:rsid w:val="00B66F08"/>
    <w:rsid w:val="00B716D6"/>
    <w:rsid w:val="00B71905"/>
    <w:rsid w:val="00B72EBB"/>
    <w:rsid w:val="00B840BD"/>
    <w:rsid w:val="00BA5EDA"/>
    <w:rsid w:val="00BA7D6D"/>
    <w:rsid w:val="00BB4BB2"/>
    <w:rsid w:val="00BC3787"/>
    <w:rsid w:val="00BD00E7"/>
    <w:rsid w:val="00BE1A13"/>
    <w:rsid w:val="00BE58A4"/>
    <w:rsid w:val="00C13999"/>
    <w:rsid w:val="00C14B57"/>
    <w:rsid w:val="00C17755"/>
    <w:rsid w:val="00C244DA"/>
    <w:rsid w:val="00C27E2A"/>
    <w:rsid w:val="00C36EAD"/>
    <w:rsid w:val="00C4086F"/>
    <w:rsid w:val="00C41632"/>
    <w:rsid w:val="00C451B6"/>
    <w:rsid w:val="00C518A5"/>
    <w:rsid w:val="00C56C90"/>
    <w:rsid w:val="00C61A9E"/>
    <w:rsid w:val="00C63E40"/>
    <w:rsid w:val="00C65B1B"/>
    <w:rsid w:val="00C94D10"/>
    <w:rsid w:val="00C97F7E"/>
    <w:rsid w:val="00CB0502"/>
    <w:rsid w:val="00CB67FE"/>
    <w:rsid w:val="00CC6D8D"/>
    <w:rsid w:val="00CD4523"/>
    <w:rsid w:val="00CD6712"/>
    <w:rsid w:val="00D0461E"/>
    <w:rsid w:val="00D1580B"/>
    <w:rsid w:val="00D15B24"/>
    <w:rsid w:val="00D228E5"/>
    <w:rsid w:val="00D25F82"/>
    <w:rsid w:val="00D3027F"/>
    <w:rsid w:val="00D332ED"/>
    <w:rsid w:val="00D33A25"/>
    <w:rsid w:val="00D43A43"/>
    <w:rsid w:val="00D45600"/>
    <w:rsid w:val="00D504D4"/>
    <w:rsid w:val="00D6112C"/>
    <w:rsid w:val="00D62D0B"/>
    <w:rsid w:val="00D65B28"/>
    <w:rsid w:val="00D95A88"/>
    <w:rsid w:val="00DA12D9"/>
    <w:rsid w:val="00DB019F"/>
    <w:rsid w:val="00DC7F3B"/>
    <w:rsid w:val="00DD03CF"/>
    <w:rsid w:val="00DD5B0E"/>
    <w:rsid w:val="00DE6422"/>
    <w:rsid w:val="00E06C55"/>
    <w:rsid w:val="00E07DFF"/>
    <w:rsid w:val="00E1006C"/>
    <w:rsid w:val="00E15F13"/>
    <w:rsid w:val="00E20CB7"/>
    <w:rsid w:val="00E30199"/>
    <w:rsid w:val="00E41BBA"/>
    <w:rsid w:val="00E44CDA"/>
    <w:rsid w:val="00E726EC"/>
    <w:rsid w:val="00E84F27"/>
    <w:rsid w:val="00EA7FD3"/>
    <w:rsid w:val="00EB24F9"/>
    <w:rsid w:val="00EC354B"/>
    <w:rsid w:val="00ED1A2F"/>
    <w:rsid w:val="00EE0B50"/>
    <w:rsid w:val="00EE0F82"/>
    <w:rsid w:val="00EE1928"/>
    <w:rsid w:val="00EF3875"/>
    <w:rsid w:val="00EF3E55"/>
    <w:rsid w:val="00EF52BF"/>
    <w:rsid w:val="00EF737B"/>
    <w:rsid w:val="00F171F5"/>
    <w:rsid w:val="00F21D22"/>
    <w:rsid w:val="00F24283"/>
    <w:rsid w:val="00F276E7"/>
    <w:rsid w:val="00F318D8"/>
    <w:rsid w:val="00F46D0B"/>
    <w:rsid w:val="00F53533"/>
    <w:rsid w:val="00F70A74"/>
    <w:rsid w:val="00F71FD4"/>
    <w:rsid w:val="00F77029"/>
    <w:rsid w:val="00F931DA"/>
    <w:rsid w:val="00F93223"/>
    <w:rsid w:val="00FA41D0"/>
    <w:rsid w:val="00FA484B"/>
    <w:rsid w:val="00FA6AE5"/>
    <w:rsid w:val="00FB080C"/>
    <w:rsid w:val="00FB25A4"/>
    <w:rsid w:val="00FD1682"/>
    <w:rsid w:val="00FD756C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6F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F9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08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086F"/>
    <w:pPr>
      <w:spacing w:after="160"/>
    </w:pPr>
    <w:rPr>
      <w:rFonts w:ascii="Calibri" w:eastAsia="Calibri" w:hAnsi="Calibri" w:cs="Calibri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086F"/>
    <w:rPr>
      <w:rFonts w:eastAsia="Calibri"/>
      <w:color w:val="000000"/>
    </w:rPr>
  </w:style>
  <w:style w:type="paragraph" w:styleId="Poprawka">
    <w:name w:val="Revision"/>
    <w:hidden/>
    <w:uiPriority w:val="99"/>
    <w:semiHidden/>
    <w:rsid w:val="001C7E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119BC0-F691-4987-B465-E4DA99D18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16</Pages>
  <Words>4050</Words>
  <Characters>27590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31577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Krystian Person</cp:lastModifiedBy>
  <cp:revision>61</cp:revision>
  <cp:lastPrinted>2016-03-23T09:49:00Z</cp:lastPrinted>
  <dcterms:created xsi:type="dcterms:W3CDTF">2023-01-17T12:54:00Z</dcterms:created>
  <dcterms:modified xsi:type="dcterms:W3CDTF">2024-12-06T09:13:00Z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  <property fmtid="{D5CDD505-2E9C-101B-9397-08002B2CF9AE}" pid="3" name="MSIP_Label_a99a87ef-4d18-4109-add0-821ebc88b416_Enabled">
    <vt:lpwstr>true</vt:lpwstr>
  </property>
  <property fmtid="{D5CDD505-2E9C-101B-9397-08002B2CF9AE}" pid="4" name="MSIP_Label_a99a87ef-4d18-4109-add0-821ebc88b416_SetDate">
    <vt:lpwstr>2024-11-27T10:23:24Z</vt:lpwstr>
  </property>
  <property fmtid="{D5CDD505-2E9C-101B-9397-08002B2CF9AE}" pid="5" name="MSIP_Label_a99a87ef-4d18-4109-add0-821ebc88b416_Method">
    <vt:lpwstr>Standard</vt:lpwstr>
  </property>
  <property fmtid="{D5CDD505-2E9C-101B-9397-08002B2CF9AE}" pid="6" name="MSIP_Label_a99a87ef-4d18-4109-add0-821ebc88b416_Name">
    <vt:lpwstr>Wewnętrzne</vt:lpwstr>
  </property>
  <property fmtid="{D5CDD505-2E9C-101B-9397-08002B2CF9AE}" pid="7" name="MSIP_Label_a99a87ef-4d18-4109-add0-821ebc88b416_SiteId">
    <vt:lpwstr>4e80bc7d-72c3-4455-a15a-165f686713b8</vt:lpwstr>
  </property>
  <property fmtid="{D5CDD505-2E9C-101B-9397-08002B2CF9AE}" pid="8" name="MSIP_Label_a99a87ef-4d18-4109-add0-821ebc88b416_ActionId">
    <vt:lpwstr>e6d8ac83-d2da-45bb-94fa-185cd26bb282</vt:lpwstr>
  </property>
  <property fmtid="{D5CDD505-2E9C-101B-9397-08002B2CF9AE}" pid="9" name="MSIP_Label_a99a87ef-4d18-4109-add0-821ebc88b416_ContentBits">
    <vt:lpwstr>0</vt:lpwstr>
  </property>
</Properties>
</file>