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251B" w14:textId="69CDD488" w:rsidR="00AE79E4" w:rsidRDefault="00AE79E4" w:rsidP="00AE79E4">
      <w:pPr>
        <w:tabs>
          <w:tab w:val="left" w:leader="dot" w:pos="1985"/>
          <w:tab w:val="left" w:leader="dot" w:pos="4111"/>
          <w:tab w:val="right" w:pos="9070"/>
        </w:tabs>
        <w:jc w:val="right"/>
      </w:pPr>
      <w:r w:rsidRPr="0057750F">
        <w:t xml:space="preserve">Warszawa, dnia </w:t>
      </w:r>
      <w:r w:rsidR="00BE60A7">
        <w:t>10.04.</w:t>
      </w:r>
      <w:r>
        <w:t>2</w:t>
      </w:r>
      <w:r w:rsidRPr="0057750F">
        <w:t>02</w:t>
      </w:r>
      <w:r>
        <w:t>6</w:t>
      </w:r>
      <w:r w:rsidRPr="0057750F">
        <w:t xml:space="preserve"> r</w:t>
      </w:r>
      <w:r>
        <w:t>.</w:t>
      </w:r>
    </w:p>
    <w:p w14:paraId="55B6B907" w14:textId="2FE91BEC" w:rsidR="00AE79E4" w:rsidRDefault="00AE79E4" w:rsidP="00AE79E4">
      <w:pPr>
        <w:pStyle w:val="Nagwek1"/>
        <w:rPr>
          <w:b w:val="0"/>
          <w:bCs w:val="0"/>
          <w:sz w:val="24"/>
          <w:szCs w:val="24"/>
        </w:rPr>
      </w:pPr>
      <w:r w:rsidRPr="00AE79E4">
        <w:t>Zapytanie o szacunkową wycenę wartości zamówienia na realizację usługi obejmującej analizę procesów i szacowanie zapotrzebowania etatowego w Oddziałach PFRON.</w:t>
      </w:r>
    </w:p>
    <w:p w14:paraId="5DE52EDD" w14:textId="77777777" w:rsidR="00AE79E4" w:rsidRPr="0057750F" w:rsidRDefault="00AE79E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57750F">
        <w:t>Nazwa i adres Zamawiającego:</w:t>
      </w:r>
    </w:p>
    <w:p w14:paraId="3C43AEA6" w14:textId="77777777" w:rsidR="00AE79E4" w:rsidRPr="0057750F" w:rsidRDefault="00AE79E4" w:rsidP="00AE79E4">
      <w:pPr>
        <w:rPr>
          <w:b/>
          <w:bCs/>
        </w:rPr>
      </w:pPr>
      <w:r w:rsidRPr="0057750F">
        <w:rPr>
          <w:lang w:eastAsia="pl-PL"/>
        </w:rPr>
        <w:t xml:space="preserve">Państwowy Fundusz Rehabilitacji Osób Niepełnosprawnych (PFRON) </w:t>
      </w:r>
    </w:p>
    <w:p w14:paraId="0B8FF265" w14:textId="77777777" w:rsidR="00AE79E4" w:rsidRPr="0057750F" w:rsidRDefault="00AE79E4" w:rsidP="00AE79E4">
      <w:pPr>
        <w:rPr>
          <w:lang w:eastAsia="pl-PL"/>
        </w:rPr>
      </w:pPr>
      <w:r w:rsidRPr="0057750F">
        <w:rPr>
          <w:lang w:eastAsia="pl-PL"/>
        </w:rPr>
        <w:t>al. Jana Pawła II 13</w:t>
      </w:r>
      <w:r>
        <w:rPr>
          <w:lang w:eastAsia="pl-PL"/>
        </w:rPr>
        <w:t xml:space="preserve">, </w:t>
      </w:r>
      <w:r w:rsidRPr="0057750F">
        <w:rPr>
          <w:lang w:eastAsia="pl-PL"/>
        </w:rPr>
        <w:t xml:space="preserve">00-828 Warszawa </w:t>
      </w:r>
    </w:p>
    <w:p w14:paraId="2C52C93C" w14:textId="77777777" w:rsidR="00AE79E4" w:rsidRPr="0057750F" w:rsidRDefault="00AE79E4" w:rsidP="00AE79E4">
      <w:pPr>
        <w:rPr>
          <w:lang w:eastAsia="pl-PL"/>
        </w:rPr>
      </w:pPr>
      <w:r w:rsidRPr="0057750F">
        <w:rPr>
          <w:lang w:eastAsia="pl-PL"/>
        </w:rPr>
        <w:t xml:space="preserve">Tel. 22 50 55 500 </w:t>
      </w:r>
    </w:p>
    <w:p w14:paraId="7EFED3A4" w14:textId="167A4103" w:rsidR="00AE79E4" w:rsidRPr="0057750F" w:rsidRDefault="00AE79E4" w:rsidP="00AE79E4">
      <w:pPr>
        <w:rPr>
          <w:lang w:eastAsia="pl-PL"/>
        </w:rPr>
      </w:pPr>
      <w:r w:rsidRPr="0057750F">
        <w:rPr>
          <w:lang w:eastAsia="pl-PL"/>
        </w:rPr>
        <w:t xml:space="preserve">NIP: 525-10-00-810, REGON: </w:t>
      </w:r>
      <w:r w:rsidR="00D3118A">
        <w:rPr>
          <w:lang w:eastAsia="pl-PL"/>
        </w:rPr>
        <w:t>0</w:t>
      </w:r>
      <w:r w:rsidRPr="0057750F">
        <w:rPr>
          <w:lang w:eastAsia="pl-PL"/>
        </w:rPr>
        <w:t>12059538</w:t>
      </w:r>
    </w:p>
    <w:p w14:paraId="110A3A69" w14:textId="77777777" w:rsidR="00AE79E4" w:rsidRPr="0057750F" w:rsidRDefault="00AE79E4" w:rsidP="00AE79E4">
      <w:pPr>
        <w:rPr>
          <w:lang w:eastAsia="pl-PL"/>
        </w:rPr>
      </w:pPr>
      <w:r>
        <w:t xml:space="preserve">Adres strony internetowej: </w:t>
      </w:r>
      <w:hyperlink r:id="rId6" w:history="1">
        <w:r w:rsidRPr="00EC18F7">
          <w:rPr>
            <w:rStyle w:val="Hipercze"/>
          </w:rPr>
          <w:t>Państwowy Fundusz Rehabilitacji Osób Niepełnosprawnych</w:t>
        </w:r>
      </w:hyperlink>
    </w:p>
    <w:p w14:paraId="03ABCA46" w14:textId="77777777" w:rsidR="00AE79E4" w:rsidRDefault="00AE79E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>
        <w:t>Cel zapytania szacunkowego</w:t>
      </w:r>
    </w:p>
    <w:p w14:paraId="52EDD690" w14:textId="77777777" w:rsidR="00AE79E4" w:rsidRPr="00AE79E4" w:rsidRDefault="00AE79E4" w:rsidP="00AE79E4">
      <w:pPr>
        <w:pStyle w:val="Nagwek2"/>
        <w:tabs>
          <w:tab w:val="num" w:pos="720"/>
        </w:tabs>
        <w:ind w:left="567"/>
        <w:rPr>
          <w:b w:val="0"/>
          <w:bCs w:val="0"/>
          <w:sz w:val="24"/>
          <w:szCs w:val="24"/>
        </w:rPr>
      </w:pPr>
      <w:r w:rsidRPr="00AE79E4">
        <w:rPr>
          <w:b w:val="0"/>
          <w:bCs w:val="0"/>
          <w:sz w:val="24"/>
          <w:szCs w:val="24"/>
        </w:rPr>
        <w:t>1)</w:t>
      </w:r>
      <w:r w:rsidRPr="00AE79E4">
        <w:rPr>
          <w:b w:val="0"/>
          <w:bCs w:val="0"/>
          <w:sz w:val="24"/>
          <w:szCs w:val="24"/>
        </w:rPr>
        <w:tab/>
        <w:t>Celem niniejszego zapytania szacunkowego jest oszacowanie wartości  zamówienia.</w:t>
      </w:r>
    </w:p>
    <w:p w14:paraId="4E443106" w14:textId="094D3C44" w:rsidR="00AE79E4" w:rsidRPr="00AE79E4" w:rsidRDefault="00AE79E4" w:rsidP="00AE79E4">
      <w:pPr>
        <w:pStyle w:val="Nagwek2"/>
        <w:tabs>
          <w:tab w:val="num" w:pos="720"/>
        </w:tabs>
        <w:ind w:left="567"/>
        <w:rPr>
          <w:b w:val="0"/>
          <w:bCs w:val="0"/>
          <w:sz w:val="24"/>
          <w:szCs w:val="24"/>
        </w:rPr>
      </w:pPr>
      <w:r w:rsidRPr="00AE79E4">
        <w:rPr>
          <w:b w:val="0"/>
          <w:bCs w:val="0"/>
          <w:sz w:val="24"/>
          <w:szCs w:val="24"/>
        </w:rPr>
        <w:t>2)</w:t>
      </w:r>
      <w:r w:rsidRPr="00AE79E4">
        <w:rPr>
          <w:b w:val="0"/>
          <w:bCs w:val="0"/>
          <w:sz w:val="24"/>
          <w:szCs w:val="24"/>
        </w:rPr>
        <w:tab/>
        <w:t>Zapytanie ma charakter rozeznania rynku i nie stanowi oferty ani zobowiązania do udzielenia zamówienia.</w:t>
      </w:r>
    </w:p>
    <w:p w14:paraId="506F7D20" w14:textId="2E891C08" w:rsidR="00AE79E4" w:rsidRDefault="002D0781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>
        <w:t>Opis p</w:t>
      </w:r>
      <w:r w:rsidR="00AE79E4" w:rsidRPr="00EC18F7">
        <w:t>rzedmiot</w:t>
      </w:r>
      <w:r>
        <w:t>u</w:t>
      </w:r>
      <w:r w:rsidR="00AE79E4" w:rsidRPr="00EC18F7">
        <w:t xml:space="preserve"> </w:t>
      </w:r>
      <w:r>
        <w:t>zapytania</w:t>
      </w:r>
      <w:r w:rsidR="00AE79E4" w:rsidRPr="00EC18F7">
        <w:t>:</w:t>
      </w:r>
    </w:p>
    <w:p w14:paraId="31FEF77A" w14:textId="32F3EF11" w:rsidR="002D0781" w:rsidRDefault="002D0781" w:rsidP="002D0781">
      <w:r w:rsidRPr="002D0781">
        <w:t>Przedmiotem zamówienia jest następujący zakres prac:</w:t>
      </w:r>
    </w:p>
    <w:p w14:paraId="1FFA4033" w14:textId="77777777" w:rsidR="002D0781" w:rsidRPr="002D0781" w:rsidRDefault="002D0781" w:rsidP="002D0781"/>
    <w:p w14:paraId="7B97DE85" w14:textId="77777777" w:rsidR="00E4038A" w:rsidRPr="00E4038A" w:rsidRDefault="00E4038A" w:rsidP="00E4038A">
      <w:pPr>
        <w:spacing w:before="120" w:after="0"/>
        <w:ind w:left="357"/>
        <w:rPr>
          <w:b/>
          <w:bCs/>
        </w:rPr>
      </w:pPr>
      <w:r w:rsidRPr="00E4038A">
        <w:rPr>
          <w:b/>
          <w:bCs/>
        </w:rPr>
        <w:t>I. Zakres analizy procesowej i porównawczej</w:t>
      </w:r>
    </w:p>
    <w:p w14:paraId="0C4090B3" w14:textId="77777777" w:rsidR="00E4038A" w:rsidRPr="00E4038A" w:rsidRDefault="00E4038A" w:rsidP="00E4038A">
      <w:pPr>
        <w:spacing w:before="120" w:after="0"/>
        <w:ind w:left="357"/>
      </w:pPr>
      <w:r w:rsidRPr="00E4038A">
        <w:t>1. Analiza porównawcza procesów pomiędzy Oddziałami</w:t>
      </w:r>
    </w:p>
    <w:p w14:paraId="23FBEA96" w14:textId="77777777" w:rsidR="00E4038A" w:rsidRPr="00E4038A" w:rsidRDefault="00E4038A" w:rsidP="00E4038A">
      <w:pPr>
        <w:spacing w:before="120" w:after="0"/>
        <w:ind w:left="357"/>
      </w:pPr>
      <w:r w:rsidRPr="00E4038A">
        <w:t>Analiza obejmuje kompleksowe porównanie sposobu realizacji tożsamych procesów w poszczególnych Oddziałach, z uwzględnieniem:</w:t>
      </w:r>
    </w:p>
    <w:p w14:paraId="126341E1" w14:textId="77777777" w:rsidR="00E4038A" w:rsidRPr="00E4038A" w:rsidRDefault="00E4038A" w:rsidP="00E4038A">
      <w:pPr>
        <w:numPr>
          <w:ilvl w:val="0"/>
          <w:numId w:val="17"/>
        </w:numPr>
        <w:spacing w:before="120" w:after="0"/>
      </w:pPr>
      <w:r w:rsidRPr="00E4038A">
        <w:t>mapowania procesów end</w:t>
      </w:r>
      <w:r w:rsidRPr="00E4038A">
        <w:noBreakHyphen/>
        <w:t>to</w:t>
      </w:r>
      <w:r w:rsidRPr="00E4038A">
        <w:noBreakHyphen/>
        <w:t>end (od momentu wpływu sprawy do jej zakończenia),</w:t>
      </w:r>
    </w:p>
    <w:p w14:paraId="04E30FDC" w14:textId="77777777" w:rsidR="00E4038A" w:rsidRPr="00E4038A" w:rsidRDefault="00E4038A" w:rsidP="00E4038A">
      <w:pPr>
        <w:numPr>
          <w:ilvl w:val="0"/>
          <w:numId w:val="17"/>
        </w:numPr>
        <w:spacing w:before="120" w:after="0"/>
      </w:pPr>
      <w:r w:rsidRPr="00E4038A">
        <w:t>identyfikacji etapów składowych procesu oraz punktów decyzyjnych,</w:t>
      </w:r>
    </w:p>
    <w:p w14:paraId="15E42A77" w14:textId="77777777" w:rsidR="00E4038A" w:rsidRPr="00E4038A" w:rsidRDefault="00E4038A" w:rsidP="00E4038A">
      <w:pPr>
        <w:numPr>
          <w:ilvl w:val="0"/>
          <w:numId w:val="17"/>
        </w:numPr>
        <w:spacing w:before="120" w:after="0"/>
      </w:pPr>
      <w:r w:rsidRPr="00E4038A">
        <w:t xml:space="preserve">porównania: </w:t>
      </w:r>
    </w:p>
    <w:p w14:paraId="6D3DCBE7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średnich czasów realizacji spraw,</w:t>
      </w:r>
    </w:p>
    <w:p w14:paraId="76C4515B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czasów minimalnych i maksymalnych,</w:t>
      </w:r>
    </w:p>
    <w:p w14:paraId="6471F463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odchyleń standardowych,</w:t>
      </w:r>
    </w:p>
    <w:p w14:paraId="02B95C33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liczby obsługiwanych spraw na etat / pracownika,</w:t>
      </w:r>
    </w:p>
    <w:p w14:paraId="1C12C907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wskaźników terminowości i jakości (jeśli dostępne),</w:t>
      </w:r>
    </w:p>
    <w:p w14:paraId="17B6C360" w14:textId="77777777" w:rsidR="00E4038A" w:rsidRPr="00E4038A" w:rsidRDefault="00E4038A" w:rsidP="00E4038A">
      <w:pPr>
        <w:numPr>
          <w:ilvl w:val="0"/>
          <w:numId w:val="17"/>
        </w:numPr>
        <w:spacing w:before="120" w:after="0"/>
      </w:pPr>
      <w:r w:rsidRPr="00E4038A">
        <w:t xml:space="preserve">analizy efektywności operacyjnej na poziomie: </w:t>
      </w:r>
    </w:p>
    <w:p w14:paraId="5971FC56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pojedynczego pracownika,</w:t>
      </w:r>
    </w:p>
    <w:p w14:paraId="04EA4D82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zespołu,</w:t>
      </w:r>
    </w:p>
    <w:p w14:paraId="2BAC14AC" w14:textId="77777777" w:rsidR="00E4038A" w:rsidRPr="00E4038A" w:rsidRDefault="00E4038A" w:rsidP="00E4038A">
      <w:pPr>
        <w:numPr>
          <w:ilvl w:val="1"/>
          <w:numId w:val="17"/>
        </w:numPr>
        <w:spacing w:before="120" w:after="0"/>
      </w:pPr>
      <w:r w:rsidRPr="00E4038A">
        <w:t>Oddziału jako całości,</w:t>
      </w:r>
    </w:p>
    <w:p w14:paraId="03A1D6EA" w14:textId="77777777" w:rsidR="00E4038A" w:rsidRPr="00E4038A" w:rsidRDefault="00E4038A" w:rsidP="00E4038A">
      <w:pPr>
        <w:numPr>
          <w:ilvl w:val="0"/>
          <w:numId w:val="17"/>
        </w:numPr>
        <w:spacing w:before="120" w:after="0"/>
      </w:pPr>
      <w:r w:rsidRPr="00E4038A">
        <w:t>identyfikacji różnic w obciążeniu pracą pomiędzy Oddziałami.</w:t>
      </w:r>
    </w:p>
    <w:p w14:paraId="72BE8CF9" w14:textId="77777777" w:rsidR="00E4038A" w:rsidRPr="00E4038A" w:rsidRDefault="00E4038A" w:rsidP="00E4038A">
      <w:pPr>
        <w:spacing w:before="120" w:after="0"/>
        <w:ind w:left="357"/>
      </w:pPr>
      <w:r w:rsidRPr="00E4038A">
        <w:lastRenderedPageBreak/>
        <w:t>Celem analizy jest ustalenie faktycznych dysproporcji wydajności oraz wskazanie Oddziałów referencyjnych (benchmarków wewnętrznych).</w:t>
      </w:r>
    </w:p>
    <w:p w14:paraId="13330E9E" w14:textId="77777777" w:rsidR="00E4038A" w:rsidRPr="00E4038A" w:rsidRDefault="00E4038A" w:rsidP="00E4038A">
      <w:pPr>
        <w:spacing w:before="120" w:after="0"/>
        <w:ind w:left="357"/>
      </w:pPr>
    </w:p>
    <w:p w14:paraId="28C47514" w14:textId="77777777" w:rsidR="00E4038A" w:rsidRPr="00E4038A" w:rsidRDefault="00E4038A" w:rsidP="00E4038A">
      <w:pPr>
        <w:spacing w:before="120" w:after="0"/>
        <w:ind w:left="357"/>
      </w:pPr>
      <w:r w:rsidRPr="00E4038A">
        <w:t>2. Analiza przyczyn różnic oraz identyfikacja wąskich gardeł</w:t>
      </w:r>
    </w:p>
    <w:p w14:paraId="13CC4427" w14:textId="77777777" w:rsidR="00E4038A" w:rsidRPr="00E4038A" w:rsidRDefault="00E4038A" w:rsidP="00E4038A">
      <w:pPr>
        <w:spacing w:before="120" w:after="0"/>
        <w:ind w:left="357"/>
      </w:pPr>
      <w:r w:rsidRPr="00E4038A">
        <w:t>W drugim etapie analizowane są przyczyny zidentyfikowanych różnic, zarówno ilościowych, jak i jakościowych. Analiza prowadzona jest w kilku wymiarach:</w:t>
      </w:r>
    </w:p>
    <w:p w14:paraId="1E5F5560" w14:textId="77777777" w:rsidR="00E4038A" w:rsidRPr="00E4038A" w:rsidRDefault="00E4038A" w:rsidP="00E4038A">
      <w:pPr>
        <w:spacing w:before="120" w:after="0"/>
        <w:ind w:left="357"/>
      </w:pPr>
      <w:r w:rsidRPr="00E4038A">
        <w:t>a) Organizacja pracy</w:t>
      </w:r>
    </w:p>
    <w:p w14:paraId="4A5B091C" w14:textId="77777777" w:rsidR="00E4038A" w:rsidRPr="00E4038A" w:rsidRDefault="00E4038A" w:rsidP="00E4038A">
      <w:pPr>
        <w:numPr>
          <w:ilvl w:val="0"/>
          <w:numId w:val="18"/>
        </w:numPr>
        <w:tabs>
          <w:tab w:val="num" w:pos="720"/>
        </w:tabs>
        <w:spacing w:before="120" w:after="0"/>
      </w:pPr>
      <w:r w:rsidRPr="00E4038A">
        <w:t>struktura zespołów i podział ról,</w:t>
      </w:r>
    </w:p>
    <w:p w14:paraId="21794AB8" w14:textId="77777777" w:rsidR="00E4038A" w:rsidRPr="00E4038A" w:rsidRDefault="00E4038A" w:rsidP="00E4038A">
      <w:pPr>
        <w:numPr>
          <w:ilvl w:val="0"/>
          <w:numId w:val="18"/>
        </w:numPr>
        <w:tabs>
          <w:tab w:val="num" w:pos="720"/>
        </w:tabs>
        <w:spacing w:before="120" w:after="0"/>
      </w:pPr>
      <w:r w:rsidRPr="00E4038A">
        <w:t>zakres obowiązków na stanowiskach,</w:t>
      </w:r>
    </w:p>
    <w:p w14:paraId="45343CA0" w14:textId="77777777" w:rsidR="00E4038A" w:rsidRPr="00E4038A" w:rsidRDefault="00E4038A" w:rsidP="00E4038A">
      <w:pPr>
        <w:numPr>
          <w:ilvl w:val="0"/>
          <w:numId w:val="18"/>
        </w:numPr>
        <w:tabs>
          <w:tab w:val="num" w:pos="720"/>
        </w:tabs>
        <w:spacing w:before="120" w:after="0"/>
      </w:pPr>
      <w:r w:rsidRPr="00E4038A">
        <w:t>stopień specjalizacji vs. uniwersalności pracowników,</w:t>
      </w:r>
    </w:p>
    <w:p w14:paraId="0006A06B" w14:textId="77777777" w:rsidR="00E4038A" w:rsidRPr="00E4038A" w:rsidRDefault="00E4038A" w:rsidP="00E4038A">
      <w:pPr>
        <w:numPr>
          <w:ilvl w:val="0"/>
          <w:numId w:val="18"/>
        </w:numPr>
        <w:tabs>
          <w:tab w:val="num" w:pos="720"/>
        </w:tabs>
        <w:spacing w:before="120" w:after="0"/>
      </w:pPr>
      <w:r w:rsidRPr="00E4038A">
        <w:t>sposób zarządzania kolejką spraw.</w:t>
      </w:r>
    </w:p>
    <w:p w14:paraId="1944D7A1" w14:textId="77777777" w:rsidR="00E4038A" w:rsidRPr="00E4038A" w:rsidRDefault="00E4038A" w:rsidP="00E4038A">
      <w:pPr>
        <w:spacing w:before="120" w:after="0"/>
        <w:ind w:left="357"/>
      </w:pPr>
      <w:r w:rsidRPr="00E4038A">
        <w:t>b) Wykorzystywane systemy i narzędzia</w:t>
      </w:r>
    </w:p>
    <w:p w14:paraId="0110FC28" w14:textId="77777777" w:rsidR="00E4038A" w:rsidRPr="00E4038A" w:rsidRDefault="00E4038A" w:rsidP="00E4038A">
      <w:pPr>
        <w:numPr>
          <w:ilvl w:val="0"/>
          <w:numId w:val="19"/>
        </w:numPr>
        <w:spacing w:before="120" w:after="0"/>
      </w:pPr>
      <w:r w:rsidRPr="00E4038A">
        <w:t>liczba systemów wspierających proces,</w:t>
      </w:r>
    </w:p>
    <w:p w14:paraId="03A6424D" w14:textId="77777777" w:rsidR="00E4038A" w:rsidRPr="00E4038A" w:rsidRDefault="00E4038A" w:rsidP="00E4038A">
      <w:pPr>
        <w:numPr>
          <w:ilvl w:val="0"/>
          <w:numId w:val="19"/>
        </w:numPr>
        <w:spacing w:before="120" w:after="0"/>
      </w:pPr>
      <w:r w:rsidRPr="00E4038A">
        <w:t>czasochłonność operacji manualnych,</w:t>
      </w:r>
    </w:p>
    <w:p w14:paraId="1C4A3500" w14:textId="77777777" w:rsidR="00E4038A" w:rsidRPr="00E4038A" w:rsidRDefault="00E4038A" w:rsidP="00E4038A">
      <w:pPr>
        <w:numPr>
          <w:ilvl w:val="0"/>
          <w:numId w:val="19"/>
        </w:numPr>
        <w:spacing w:before="120" w:after="0"/>
      </w:pPr>
      <w:r w:rsidRPr="00E4038A">
        <w:t>występowanie dublowania czynności,</w:t>
      </w:r>
    </w:p>
    <w:p w14:paraId="65DFF02E" w14:textId="77777777" w:rsidR="00E4038A" w:rsidRPr="00E4038A" w:rsidRDefault="00E4038A" w:rsidP="00E4038A">
      <w:pPr>
        <w:numPr>
          <w:ilvl w:val="0"/>
          <w:numId w:val="19"/>
        </w:numPr>
        <w:spacing w:before="120" w:after="0"/>
      </w:pPr>
      <w:r w:rsidRPr="00E4038A">
        <w:t>dostępność raportów i danych operacyjnych.</w:t>
      </w:r>
    </w:p>
    <w:p w14:paraId="5B0DFF68" w14:textId="77777777" w:rsidR="00E4038A" w:rsidRPr="00E4038A" w:rsidRDefault="00E4038A" w:rsidP="00E4038A">
      <w:pPr>
        <w:spacing w:before="120" w:after="0"/>
        <w:ind w:left="357"/>
      </w:pPr>
      <w:r w:rsidRPr="00E4038A">
        <w:t>c) Doświadczenie i kompetencje</w:t>
      </w:r>
    </w:p>
    <w:p w14:paraId="430C2BCC" w14:textId="77777777" w:rsidR="00E4038A" w:rsidRPr="00E4038A" w:rsidRDefault="00E4038A" w:rsidP="00E4038A">
      <w:pPr>
        <w:numPr>
          <w:ilvl w:val="0"/>
          <w:numId w:val="20"/>
        </w:numPr>
        <w:spacing w:before="120" w:after="0"/>
      </w:pPr>
      <w:r w:rsidRPr="00E4038A">
        <w:t>staż pracy i rotacja personelu,</w:t>
      </w:r>
    </w:p>
    <w:p w14:paraId="44F903FB" w14:textId="77777777" w:rsidR="00E4038A" w:rsidRPr="00E4038A" w:rsidRDefault="00E4038A" w:rsidP="00E4038A">
      <w:pPr>
        <w:numPr>
          <w:ilvl w:val="0"/>
          <w:numId w:val="20"/>
        </w:numPr>
        <w:spacing w:before="120" w:after="0"/>
      </w:pPr>
      <w:r w:rsidRPr="00E4038A">
        <w:t>poziom przeszkolenia,</w:t>
      </w:r>
    </w:p>
    <w:p w14:paraId="201A89FB" w14:textId="77777777" w:rsidR="00E4038A" w:rsidRPr="00E4038A" w:rsidRDefault="00E4038A" w:rsidP="00E4038A">
      <w:pPr>
        <w:numPr>
          <w:ilvl w:val="0"/>
          <w:numId w:val="20"/>
        </w:numPr>
        <w:spacing w:before="120" w:after="0"/>
      </w:pPr>
      <w:r w:rsidRPr="00E4038A">
        <w:t>dostęp do instrukcji i procedur,</w:t>
      </w:r>
    </w:p>
    <w:p w14:paraId="352C14D6" w14:textId="77777777" w:rsidR="00E4038A" w:rsidRPr="00E4038A" w:rsidRDefault="00E4038A" w:rsidP="00E4038A">
      <w:pPr>
        <w:numPr>
          <w:ilvl w:val="0"/>
          <w:numId w:val="20"/>
        </w:numPr>
        <w:spacing w:before="120" w:after="0"/>
      </w:pPr>
      <w:r w:rsidRPr="00E4038A">
        <w:t>skala wsparcia merytorycznego (np. konsultacje).</w:t>
      </w:r>
    </w:p>
    <w:p w14:paraId="7728277C" w14:textId="77777777" w:rsidR="00E4038A" w:rsidRPr="00E4038A" w:rsidRDefault="00E4038A" w:rsidP="00E4038A">
      <w:pPr>
        <w:spacing w:before="120" w:after="0"/>
        <w:ind w:left="357"/>
      </w:pPr>
      <w:r w:rsidRPr="00E4038A">
        <w:t>d) Identyfikacja wąskich gardeł i potencjału usprawnień</w:t>
      </w:r>
    </w:p>
    <w:p w14:paraId="5A7FC6C4" w14:textId="77777777" w:rsidR="00E4038A" w:rsidRPr="00E4038A" w:rsidRDefault="00E4038A" w:rsidP="00E4038A">
      <w:pPr>
        <w:numPr>
          <w:ilvl w:val="0"/>
          <w:numId w:val="21"/>
        </w:numPr>
        <w:tabs>
          <w:tab w:val="num" w:pos="720"/>
        </w:tabs>
        <w:spacing w:before="120" w:after="0"/>
      </w:pPr>
      <w:r w:rsidRPr="00E4038A">
        <w:t>etapy procesu generujące największe opóźnienia,</w:t>
      </w:r>
    </w:p>
    <w:p w14:paraId="72F93DD1" w14:textId="77777777" w:rsidR="00E4038A" w:rsidRPr="00E4038A" w:rsidRDefault="00E4038A" w:rsidP="00E4038A">
      <w:pPr>
        <w:numPr>
          <w:ilvl w:val="0"/>
          <w:numId w:val="21"/>
        </w:numPr>
        <w:tabs>
          <w:tab w:val="num" w:pos="720"/>
        </w:tabs>
        <w:spacing w:before="120" w:after="0"/>
      </w:pPr>
      <w:r w:rsidRPr="00E4038A">
        <w:t>czynności o niskiej wartości dodanej,</w:t>
      </w:r>
    </w:p>
    <w:p w14:paraId="5EC57B5A" w14:textId="77777777" w:rsidR="00E4038A" w:rsidRPr="00E4038A" w:rsidRDefault="00E4038A" w:rsidP="00E4038A">
      <w:pPr>
        <w:numPr>
          <w:ilvl w:val="0"/>
          <w:numId w:val="21"/>
        </w:numPr>
        <w:tabs>
          <w:tab w:val="num" w:pos="720"/>
        </w:tabs>
        <w:spacing w:before="120" w:after="0"/>
      </w:pPr>
      <w:r w:rsidRPr="00E4038A">
        <w:t>miejsca kumulowania się spraw,</w:t>
      </w:r>
    </w:p>
    <w:p w14:paraId="591A126C" w14:textId="77777777" w:rsidR="00E4038A" w:rsidRPr="00E4038A" w:rsidRDefault="00E4038A" w:rsidP="00E4038A">
      <w:pPr>
        <w:numPr>
          <w:ilvl w:val="0"/>
          <w:numId w:val="21"/>
        </w:numPr>
        <w:tabs>
          <w:tab w:val="num" w:pos="720"/>
        </w:tabs>
        <w:spacing w:before="120" w:after="0"/>
      </w:pPr>
      <w:r w:rsidRPr="00E4038A">
        <w:t>obszary o wysokim nakładzie pracy manualnej,</w:t>
      </w:r>
    </w:p>
    <w:p w14:paraId="58419432" w14:textId="77777777" w:rsidR="00E4038A" w:rsidRPr="00E4038A" w:rsidRDefault="00E4038A" w:rsidP="00E4038A">
      <w:pPr>
        <w:numPr>
          <w:ilvl w:val="0"/>
          <w:numId w:val="21"/>
        </w:numPr>
        <w:tabs>
          <w:tab w:val="num" w:pos="720"/>
        </w:tabs>
        <w:spacing w:before="120" w:after="0"/>
      </w:pPr>
      <w:r w:rsidRPr="00E4038A">
        <w:t xml:space="preserve">potencjał do: </w:t>
      </w:r>
    </w:p>
    <w:p w14:paraId="66DF2FA2" w14:textId="77777777" w:rsidR="00E4038A" w:rsidRPr="00E4038A" w:rsidRDefault="00E4038A" w:rsidP="00E4038A">
      <w:pPr>
        <w:numPr>
          <w:ilvl w:val="1"/>
          <w:numId w:val="21"/>
        </w:numPr>
        <w:tabs>
          <w:tab w:val="num" w:pos="1440"/>
        </w:tabs>
        <w:spacing w:before="120" w:after="0"/>
      </w:pPr>
      <w:r w:rsidRPr="00E4038A">
        <w:t>automatyzacji,</w:t>
      </w:r>
    </w:p>
    <w:p w14:paraId="1B334228" w14:textId="77777777" w:rsidR="00E4038A" w:rsidRPr="00E4038A" w:rsidRDefault="00E4038A" w:rsidP="00E4038A">
      <w:pPr>
        <w:numPr>
          <w:ilvl w:val="1"/>
          <w:numId w:val="21"/>
        </w:numPr>
        <w:tabs>
          <w:tab w:val="num" w:pos="1440"/>
        </w:tabs>
        <w:spacing w:before="120" w:after="0"/>
      </w:pPr>
      <w:r w:rsidRPr="00E4038A">
        <w:t>robotyzacji (RPA),</w:t>
      </w:r>
    </w:p>
    <w:p w14:paraId="187DA604" w14:textId="77777777" w:rsidR="00E4038A" w:rsidRPr="00E4038A" w:rsidRDefault="00E4038A" w:rsidP="00E4038A">
      <w:pPr>
        <w:numPr>
          <w:ilvl w:val="1"/>
          <w:numId w:val="21"/>
        </w:numPr>
        <w:tabs>
          <w:tab w:val="num" w:pos="1440"/>
        </w:tabs>
        <w:spacing w:before="120" w:after="0"/>
      </w:pPr>
      <w:r w:rsidRPr="00E4038A">
        <w:t>uproszczenia proceduralnego,</w:t>
      </w:r>
    </w:p>
    <w:p w14:paraId="2756A4BF" w14:textId="77777777" w:rsidR="00E4038A" w:rsidRPr="00E4038A" w:rsidRDefault="00E4038A" w:rsidP="00E4038A">
      <w:pPr>
        <w:numPr>
          <w:ilvl w:val="1"/>
          <w:numId w:val="21"/>
        </w:numPr>
        <w:tabs>
          <w:tab w:val="num" w:pos="1440"/>
        </w:tabs>
        <w:spacing w:before="120" w:after="0"/>
      </w:pPr>
      <w:r w:rsidRPr="00E4038A">
        <w:t>eliminacji zbędnych czynności.</w:t>
      </w:r>
    </w:p>
    <w:p w14:paraId="41FAFD31" w14:textId="77777777" w:rsidR="00E4038A" w:rsidRPr="00E4038A" w:rsidRDefault="00E4038A" w:rsidP="00E4038A">
      <w:pPr>
        <w:spacing w:before="120" w:after="0"/>
        <w:ind w:left="357"/>
      </w:pPr>
    </w:p>
    <w:p w14:paraId="54D0176B" w14:textId="77777777" w:rsidR="00E4038A" w:rsidRPr="00E4038A" w:rsidRDefault="00E4038A" w:rsidP="00E4038A">
      <w:pPr>
        <w:spacing w:before="120" w:after="0"/>
        <w:ind w:left="357"/>
      </w:pPr>
      <w:r w:rsidRPr="00E4038A">
        <w:t>3. Wypracowanie standardów czasowych i najlepszych praktyk</w:t>
      </w:r>
    </w:p>
    <w:p w14:paraId="4E1F3CCF" w14:textId="77777777" w:rsidR="00E4038A" w:rsidRPr="00E4038A" w:rsidRDefault="00E4038A" w:rsidP="00E4038A">
      <w:pPr>
        <w:spacing w:before="120" w:after="0"/>
        <w:ind w:left="357"/>
      </w:pPr>
      <w:r w:rsidRPr="00E4038A">
        <w:t>Na podstawie wyników analiz opracowywane są docelowe standardy realizacji procesów, w tym:</w:t>
      </w:r>
    </w:p>
    <w:p w14:paraId="1F6CC258" w14:textId="77777777" w:rsidR="00E4038A" w:rsidRPr="00E4038A" w:rsidRDefault="00E4038A" w:rsidP="00E4038A">
      <w:pPr>
        <w:numPr>
          <w:ilvl w:val="0"/>
          <w:numId w:val="22"/>
        </w:numPr>
        <w:tabs>
          <w:tab w:val="num" w:pos="720"/>
        </w:tabs>
        <w:spacing w:before="120" w:after="0"/>
      </w:pPr>
      <w:r w:rsidRPr="00E4038A">
        <w:t xml:space="preserve">określenie: </w:t>
      </w:r>
    </w:p>
    <w:p w14:paraId="2A686816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średniego standardowego czasu realizacji sprawy,</w:t>
      </w:r>
    </w:p>
    <w:p w14:paraId="026DDDBA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czasu referencyjnego (benchmarkowego) – na bazie najlepszych Oddziałów,</w:t>
      </w:r>
    </w:p>
    <w:p w14:paraId="4BDFD1DB" w14:textId="77777777" w:rsidR="00E4038A" w:rsidRPr="00E4038A" w:rsidRDefault="00E4038A" w:rsidP="00E4038A">
      <w:pPr>
        <w:numPr>
          <w:ilvl w:val="0"/>
          <w:numId w:val="22"/>
        </w:numPr>
        <w:tabs>
          <w:tab w:val="num" w:pos="720"/>
        </w:tabs>
        <w:spacing w:before="120" w:after="0"/>
      </w:pPr>
      <w:r w:rsidRPr="00E4038A">
        <w:t xml:space="preserve">uwzględnienie: </w:t>
      </w:r>
    </w:p>
    <w:p w14:paraId="64829B9F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różnic w złożoności spraw,</w:t>
      </w:r>
    </w:p>
    <w:p w14:paraId="0199042C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lastRenderedPageBreak/>
        <w:t>obsługi wyjątków i spraw niestandardowych,</w:t>
      </w:r>
    </w:p>
    <w:p w14:paraId="6641C48E" w14:textId="77777777" w:rsidR="00E4038A" w:rsidRPr="00E4038A" w:rsidRDefault="00E4038A" w:rsidP="00E4038A">
      <w:pPr>
        <w:numPr>
          <w:ilvl w:val="0"/>
          <w:numId w:val="22"/>
        </w:numPr>
        <w:tabs>
          <w:tab w:val="num" w:pos="720"/>
        </w:tabs>
        <w:spacing w:before="120" w:after="0"/>
      </w:pPr>
      <w:r w:rsidRPr="00E4038A">
        <w:t xml:space="preserve">identyfikacja i opis najlepszych praktyk organizacyjnych i procesowych, m.in.: </w:t>
      </w:r>
    </w:p>
    <w:p w14:paraId="041E5AC0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optymalny podział zadań,</w:t>
      </w:r>
    </w:p>
    <w:p w14:paraId="1B8C2A8E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najbardziej efektywny model pracy zespołowej,</w:t>
      </w:r>
    </w:p>
    <w:p w14:paraId="6B4942E7" w14:textId="77777777" w:rsidR="00E4038A" w:rsidRPr="00E4038A" w:rsidRDefault="00E4038A" w:rsidP="00E4038A">
      <w:pPr>
        <w:numPr>
          <w:ilvl w:val="1"/>
          <w:numId w:val="22"/>
        </w:numPr>
        <w:tabs>
          <w:tab w:val="num" w:pos="1440"/>
        </w:tabs>
        <w:spacing w:before="120" w:after="0"/>
      </w:pPr>
      <w:r w:rsidRPr="00E4038A">
        <w:t>skuteczne wykorzystanie narzędzi IT.</w:t>
      </w:r>
    </w:p>
    <w:p w14:paraId="74989665" w14:textId="77777777" w:rsidR="00E4038A" w:rsidRPr="00E4038A" w:rsidRDefault="00E4038A" w:rsidP="00E4038A">
      <w:pPr>
        <w:spacing w:before="120" w:after="0"/>
        <w:ind w:left="357"/>
      </w:pPr>
      <w:r w:rsidRPr="00E4038A">
        <w:t>4. Przygotowanie rekomendacji standaryzacyjnych</w:t>
      </w:r>
    </w:p>
    <w:p w14:paraId="1CCE91E9" w14:textId="77777777" w:rsidR="00E4038A" w:rsidRPr="00E4038A" w:rsidRDefault="00E4038A" w:rsidP="00E4038A">
      <w:pPr>
        <w:spacing w:before="120" w:after="0"/>
        <w:ind w:left="357"/>
      </w:pPr>
      <w:r w:rsidRPr="00E4038A">
        <w:t>W oparciu o wypracowane standardy formułowane są rekomendacje obejmujące:</w:t>
      </w:r>
    </w:p>
    <w:p w14:paraId="3BC05CCE" w14:textId="77777777" w:rsidR="00E4038A" w:rsidRPr="00E4038A" w:rsidRDefault="00E4038A" w:rsidP="00E4038A">
      <w:pPr>
        <w:numPr>
          <w:ilvl w:val="0"/>
          <w:numId w:val="23"/>
        </w:numPr>
        <w:tabs>
          <w:tab w:val="num" w:pos="720"/>
        </w:tabs>
        <w:spacing w:before="120" w:after="0"/>
      </w:pPr>
      <w:r w:rsidRPr="00E4038A">
        <w:t>wdrożenie wspólnych standardów czasowych i jakościowych,</w:t>
      </w:r>
    </w:p>
    <w:p w14:paraId="5DB51769" w14:textId="77777777" w:rsidR="00E4038A" w:rsidRPr="00E4038A" w:rsidRDefault="00E4038A" w:rsidP="00E4038A">
      <w:pPr>
        <w:numPr>
          <w:ilvl w:val="0"/>
          <w:numId w:val="23"/>
        </w:numPr>
        <w:tabs>
          <w:tab w:val="num" w:pos="720"/>
        </w:tabs>
        <w:spacing w:before="120" w:after="0"/>
      </w:pPr>
      <w:r w:rsidRPr="00E4038A">
        <w:t xml:space="preserve">standaryzację: </w:t>
      </w:r>
    </w:p>
    <w:p w14:paraId="0750096A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zakresów obowiązków,</w:t>
      </w:r>
    </w:p>
    <w:p w14:paraId="2485DB0F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sposobu ewidencji czasu pracy,</w:t>
      </w:r>
    </w:p>
    <w:p w14:paraId="3E31A717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raportowania wydajności,</w:t>
      </w:r>
    </w:p>
    <w:p w14:paraId="11E3F2A1" w14:textId="77777777" w:rsidR="00E4038A" w:rsidRPr="00E4038A" w:rsidRDefault="00E4038A" w:rsidP="00E4038A">
      <w:pPr>
        <w:numPr>
          <w:ilvl w:val="0"/>
          <w:numId w:val="23"/>
        </w:numPr>
        <w:tabs>
          <w:tab w:val="num" w:pos="720"/>
        </w:tabs>
        <w:spacing w:before="120" w:after="0"/>
      </w:pPr>
      <w:r w:rsidRPr="00E4038A">
        <w:t xml:space="preserve">rekomendacje dotyczące: </w:t>
      </w:r>
    </w:p>
    <w:p w14:paraId="70DFB2B9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automatyzacji wybranych czynności,</w:t>
      </w:r>
    </w:p>
    <w:p w14:paraId="50D851CD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centralizacji lub redystrybucji zadań,</w:t>
      </w:r>
    </w:p>
    <w:p w14:paraId="15C70336" w14:textId="77777777" w:rsidR="00E4038A" w:rsidRPr="00E4038A" w:rsidRDefault="00E4038A" w:rsidP="00E4038A">
      <w:pPr>
        <w:numPr>
          <w:ilvl w:val="1"/>
          <w:numId w:val="23"/>
        </w:numPr>
        <w:tabs>
          <w:tab w:val="num" w:pos="1440"/>
        </w:tabs>
        <w:spacing w:before="120" w:after="0"/>
      </w:pPr>
      <w:r w:rsidRPr="00E4038A">
        <w:t>zmian w strukturze zespołów,</w:t>
      </w:r>
    </w:p>
    <w:p w14:paraId="0ED2EB03" w14:textId="77777777" w:rsidR="00E4038A" w:rsidRPr="00E4038A" w:rsidRDefault="00E4038A" w:rsidP="00E4038A">
      <w:pPr>
        <w:numPr>
          <w:ilvl w:val="0"/>
          <w:numId w:val="23"/>
        </w:numPr>
        <w:tabs>
          <w:tab w:val="num" w:pos="720"/>
        </w:tabs>
        <w:spacing w:before="120" w:after="0"/>
      </w:pPr>
      <w:r w:rsidRPr="00E4038A">
        <w:t>wskazanie priorytetów wdrożeniowych (quick wins vs. działania długofalowe).</w:t>
      </w:r>
    </w:p>
    <w:p w14:paraId="4C8E9500" w14:textId="77777777" w:rsidR="00E4038A" w:rsidRPr="00E4038A" w:rsidRDefault="00E4038A" w:rsidP="00E4038A">
      <w:pPr>
        <w:spacing w:before="120" w:after="0"/>
        <w:ind w:left="357"/>
      </w:pPr>
    </w:p>
    <w:p w14:paraId="14F702B6" w14:textId="77777777" w:rsidR="00E4038A" w:rsidRPr="00E4038A" w:rsidRDefault="00E4038A" w:rsidP="00E4038A">
      <w:pPr>
        <w:spacing w:before="120" w:after="0"/>
        <w:ind w:left="357"/>
      </w:pPr>
      <w:r w:rsidRPr="00E4038A">
        <w:t>5. Opracowanie wyników w formie kompleksowego raportu</w:t>
      </w:r>
    </w:p>
    <w:p w14:paraId="632FAE32" w14:textId="77777777" w:rsidR="00E4038A" w:rsidRPr="00E4038A" w:rsidRDefault="00E4038A" w:rsidP="00E4038A">
      <w:pPr>
        <w:spacing w:before="120" w:after="0"/>
        <w:ind w:left="357"/>
      </w:pPr>
      <w:r w:rsidRPr="00E4038A">
        <w:t>Wyniki analiz zostaną przedstawione w formie spójnego, całościowego raportu zawierającego:</w:t>
      </w:r>
    </w:p>
    <w:p w14:paraId="373AA934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opis celu i metodyki badania,</w:t>
      </w:r>
    </w:p>
    <w:p w14:paraId="6079FF17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zestawienia porównawcze pomiędzy Oddziałami,</w:t>
      </w:r>
    </w:p>
    <w:p w14:paraId="433BEEF8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analizy ilościowe i jakościowe,</w:t>
      </w:r>
    </w:p>
    <w:p w14:paraId="6D4B8339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wizualizacje (mapy procesów, wykresy, tabele),</w:t>
      </w:r>
    </w:p>
    <w:p w14:paraId="04F60777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wnioski i rekomendacje,</w:t>
      </w:r>
    </w:p>
    <w:p w14:paraId="6D89071E" w14:textId="77777777" w:rsidR="00E4038A" w:rsidRPr="00E4038A" w:rsidRDefault="00E4038A" w:rsidP="00E4038A">
      <w:pPr>
        <w:numPr>
          <w:ilvl w:val="0"/>
          <w:numId w:val="24"/>
        </w:numPr>
        <w:tabs>
          <w:tab w:val="num" w:pos="720"/>
        </w:tabs>
        <w:spacing w:before="120" w:after="0"/>
      </w:pPr>
      <w:r w:rsidRPr="00E4038A">
        <w:t>propozycję planu wdrożenia zmian.</w:t>
      </w:r>
    </w:p>
    <w:p w14:paraId="3CE2EE27" w14:textId="77777777" w:rsidR="00E4038A" w:rsidRPr="00E4038A" w:rsidRDefault="00E4038A" w:rsidP="00E4038A">
      <w:pPr>
        <w:spacing w:before="120" w:after="0"/>
        <w:ind w:left="357"/>
      </w:pPr>
    </w:p>
    <w:p w14:paraId="68D72981" w14:textId="77777777" w:rsidR="00E4038A" w:rsidRPr="00E4038A" w:rsidRDefault="00E4038A" w:rsidP="00E4038A">
      <w:pPr>
        <w:spacing w:before="120" w:after="0"/>
        <w:ind w:left="357"/>
        <w:rPr>
          <w:b/>
          <w:bCs/>
        </w:rPr>
      </w:pPr>
      <w:r w:rsidRPr="00E4038A">
        <w:rPr>
          <w:b/>
          <w:bCs/>
        </w:rPr>
        <w:t>II. Analiza etatyzacji i struktury zatrudnienia</w:t>
      </w:r>
    </w:p>
    <w:p w14:paraId="216023D0" w14:textId="77777777" w:rsidR="00E4038A" w:rsidRPr="00E4038A" w:rsidRDefault="00E4038A" w:rsidP="00E4038A">
      <w:pPr>
        <w:spacing w:before="120" w:after="0"/>
        <w:ind w:left="357"/>
      </w:pPr>
      <w:r w:rsidRPr="00E4038A">
        <w:t>1. Obliczenie zapotrzebowania etatowego</w:t>
      </w:r>
    </w:p>
    <w:p w14:paraId="004AB643" w14:textId="77777777" w:rsidR="00E4038A" w:rsidRPr="00E4038A" w:rsidRDefault="00E4038A" w:rsidP="00E4038A">
      <w:pPr>
        <w:spacing w:before="120" w:after="0"/>
        <w:ind w:left="357"/>
      </w:pPr>
      <w:r w:rsidRPr="00E4038A">
        <w:t>Analiza obejmuje wyliczenie docelowej liczby etatów w oparciu o:</w:t>
      </w:r>
    </w:p>
    <w:p w14:paraId="4D3ED7B2" w14:textId="77777777" w:rsidR="00E4038A" w:rsidRPr="00E4038A" w:rsidRDefault="00E4038A" w:rsidP="00E4038A">
      <w:pPr>
        <w:numPr>
          <w:ilvl w:val="0"/>
          <w:numId w:val="25"/>
        </w:numPr>
        <w:spacing w:before="120" w:after="0"/>
      </w:pPr>
      <w:r w:rsidRPr="00E4038A">
        <w:t>wolumen realizowanych spraw,</w:t>
      </w:r>
    </w:p>
    <w:p w14:paraId="7EE599B5" w14:textId="77777777" w:rsidR="00E4038A" w:rsidRPr="00E4038A" w:rsidRDefault="00E4038A" w:rsidP="00E4038A">
      <w:pPr>
        <w:numPr>
          <w:ilvl w:val="0"/>
          <w:numId w:val="25"/>
        </w:numPr>
        <w:spacing w:before="120" w:after="0"/>
      </w:pPr>
      <w:r w:rsidRPr="00E4038A">
        <w:t>standardowe czasy realizacji procesów,</w:t>
      </w:r>
    </w:p>
    <w:p w14:paraId="4946BF5F" w14:textId="77777777" w:rsidR="00E4038A" w:rsidRPr="00E4038A" w:rsidRDefault="00E4038A" w:rsidP="00E4038A">
      <w:pPr>
        <w:numPr>
          <w:ilvl w:val="0"/>
          <w:numId w:val="25"/>
        </w:numPr>
        <w:spacing w:before="120" w:after="0"/>
      </w:pPr>
      <w:r w:rsidRPr="00E4038A">
        <w:t>dostępny czas pracy netto (po uwzględnieniu absencji, szkoleń, przerw),</w:t>
      </w:r>
    </w:p>
    <w:p w14:paraId="3A287ADA" w14:textId="77777777" w:rsidR="00E4038A" w:rsidRPr="00E4038A" w:rsidRDefault="00E4038A" w:rsidP="00E4038A">
      <w:pPr>
        <w:numPr>
          <w:ilvl w:val="0"/>
          <w:numId w:val="25"/>
        </w:numPr>
        <w:spacing w:before="120" w:after="0"/>
      </w:pPr>
      <w:r w:rsidRPr="00E4038A">
        <w:t>faktyczne obciążenie poszczególnych zespołów.</w:t>
      </w:r>
    </w:p>
    <w:p w14:paraId="3DFDC0C8" w14:textId="77777777" w:rsidR="00E4038A" w:rsidRPr="00E4038A" w:rsidRDefault="00E4038A" w:rsidP="00E4038A">
      <w:pPr>
        <w:spacing w:before="120" w:after="0"/>
        <w:ind w:left="357"/>
      </w:pPr>
      <w:r w:rsidRPr="00E4038A">
        <w:t>Wynikiem będzie:</w:t>
      </w:r>
    </w:p>
    <w:p w14:paraId="4AD98C5A" w14:textId="77777777" w:rsidR="00E4038A" w:rsidRPr="00E4038A" w:rsidRDefault="00E4038A" w:rsidP="00E4038A">
      <w:pPr>
        <w:numPr>
          <w:ilvl w:val="0"/>
          <w:numId w:val="26"/>
        </w:numPr>
        <w:spacing w:before="120" w:after="0"/>
      </w:pPr>
      <w:r w:rsidRPr="00E4038A">
        <w:t xml:space="preserve">zapotrzebowanie etatowe na poziomie: </w:t>
      </w:r>
    </w:p>
    <w:p w14:paraId="16EA2E6B" w14:textId="77777777" w:rsidR="00E4038A" w:rsidRPr="00E4038A" w:rsidRDefault="00E4038A" w:rsidP="00E4038A">
      <w:pPr>
        <w:numPr>
          <w:ilvl w:val="1"/>
          <w:numId w:val="26"/>
        </w:numPr>
        <w:spacing w:before="120" w:after="0"/>
      </w:pPr>
      <w:r w:rsidRPr="00E4038A">
        <w:t>procesu,</w:t>
      </w:r>
    </w:p>
    <w:p w14:paraId="31036A8E" w14:textId="77777777" w:rsidR="00E4038A" w:rsidRPr="00E4038A" w:rsidRDefault="00E4038A" w:rsidP="00E4038A">
      <w:pPr>
        <w:numPr>
          <w:ilvl w:val="1"/>
          <w:numId w:val="26"/>
        </w:numPr>
        <w:spacing w:before="120" w:after="0"/>
      </w:pPr>
      <w:r w:rsidRPr="00E4038A">
        <w:t>zespołu,</w:t>
      </w:r>
    </w:p>
    <w:p w14:paraId="6B1B9F74" w14:textId="77777777" w:rsidR="00E4038A" w:rsidRPr="00E4038A" w:rsidRDefault="00E4038A" w:rsidP="00E4038A">
      <w:pPr>
        <w:numPr>
          <w:ilvl w:val="1"/>
          <w:numId w:val="26"/>
        </w:numPr>
        <w:spacing w:before="120" w:after="0"/>
      </w:pPr>
      <w:r w:rsidRPr="00E4038A">
        <w:t>Oddziału,</w:t>
      </w:r>
    </w:p>
    <w:p w14:paraId="1DC10520" w14:textId="77777777" w:rsidR="00E4038A" w:rsidRPr="00E4038A" w:rsidRDefault="00E4038A" w:rsidP="00E4038A">
      <w:pPr>
        <w:numPr>
          <w:ilvl w:val="0"/>
          <w:numId w:val="26"/>
        </w:numPr>
        <w:spacing w:before="120" w:after="0"/>
      </w:pPr>
      <w:r w:rsidRPr="00E4038A">
        <w:t>identyfikacja obszarów niedoboru lub nadmiaru zasobów.</w:t>
      </w:r>
    </w:p>
    <w:p w14:paraId="10EE6A54" w14:textId="77777777" w:rsidR="00E4038A" w:rsidRPr="00E4038A" w:rsidRDefault="00E4038A" w:rsidP="00E4038A">
      <w:pPr>
        <w:spacing w:before="120" w:after="0"/>
        <w:ind w:left="357"/>
      </w:pPr>
    </w:p>
    <w:p w14:paraId="3C3F38DA" w14:textId="77777777" w:rsidR="00E4038A" w:rsidRDefault="00E4038A" w:rsidP="00E4038A">
      <w:pPr>
        <w:spacing w:before="120" w:after="0"/>
        <w:ind w:left="357"/>
      </w:pPr>
    </w:p>
    <w:p w14:paraId="2571D9DB" w14:textId="2983B18D" w:rsidR="00E4038A" w:rsidRPr="00E4038A" w:rsidRDefault="00E4038A" w:rsidP="00E4038A">
      <w:pPr>
        <w:spacing w:before="120" w:after="0"/>
        <w:ind w:left="357"/>
      </w:pPr>
      <w:r w:rsidRPr="00E4038A">
        <w:t>2. Analiza odchyleń etatowych</w:t>
      </w:r>
    </w:p>
    <w:p w14:paraId="1BBF6906" w14:textId="77777777" w:rsidR="00E4038A" w:rsidRPr="00E4038A" w:rsidRDefault="00E4038A" w:rsidP="00E4038A">
      <w:pPr>
        <w:spacing w:before="120" w:after="0"/>
        <w:ind w:left="357"/>
      </w:pPr>
      <w:r w:rsidRPr="00E4038A">
        <w:t>Etap obejmuje porównanie:</w:t>
      </w:r>
    </w:p>
    <w:p w14:paraId="192CC314" w14:textId="77777777" w:rsidR="00E4038A" w:rsidRPr="00E4038A" w:rsidRDefault="00E4038A" w:rsidP="00E4038A">
      <w:pPr>
        <w:numPr>
          <w:ilvl w:val="0"/>
          <w:numId w:val="27"/>
        </w:numPr>
        <w:tabs>
          <w:tab w:val="num" w:pos="720"/>
        </w:tabs>
        <w:spacing w:before="120" w:after="0"/>
      </w:pPr>
      <w:r w:rsidRPr="00E4038A">
        <w:t>wyliczonego zapotrzebowania etatowego</w:t>
      </w:r>
    </w:p>
    <w:p w14:paraId="65449D12" w14:textId="77777777" w:rsidR="00E4038A" w:rsidRPr="00E4038A" w:rsidRDefault="00E4038A" w:rsidP="00E4038A">
      <w:pPr>
        <w:numPr>
          <w:ilvl w:val="0"/>
          <w:numId w:val="27"/>
        </w:numPr>
        <w:tabs>
          <w:tab w:val="num" w:pos="720"/>
        </w:tabs>
        <w:spacing w:before="120" w:after="0"/>
      </w:pPr>
      <w:r w:rsidRPr="00E4038A">
        <w:t>z obowiązującymi normami etatyzacyjnymi oraz stanem zatrudnienia</w:t>
      </w:r>
    </w:p>
    <w:p w14:paraId="144AAE55" w14:textId="77777777" w:rsidR="00E4038A" w:rsidRPr="00E4038A" w:rsidRDefault="00E4038A" w:rsidP="00E4038A">
      <w:pPr>
        <w:spacing w:before="120" w:after="0"/>
        <w:ind w:left="357"/>
      </w:pPr>
      <w:r w:rsidRPr="00E4038A">
        <w:t>Analiza uwzględnia:</w:t>
      </w:r>
    </w:p>
    <w:p w14:paraId="100EB0D9" w14:textId="77777777" w:rsidR="00E4038A" w:rsidRPr="00E4038A" w:rsidRDefault="00E4038A" w:rsidP="00E4038A">
      <w:pPr>
        <w:numPr>
          <w:ilvl w:val="0"/>
          <w:numId w:val="28"/>
        </w:numPr>
        <w:tabs>
          <w:tab w:val="num" w:pos="720"/>
        </w:tabs>
        <w:spacing w:before="120" w:after="0"/>
      </w:pPr>
      <w:r w:rsidRPr="00E4038A">
        <w:t>odchylenia ilościowe (nadwyżki / niedobory),</w:t>
      </w:r>
    </w:p>
    <w:p w14:paraId="1EA330A1" w14:textId="77777777" w:rsidR="00E4038A" w:rsidRPr="00E4038A" w:rsidRDefault="00E4038A" w:rsidP="00E4038A">
      <w:pPr>
        <w:numPr>
          <w:ilvl w:val="0"/>
          <w:numId w:val="28"/>
        </w:numPr>
        <w:tabs>
          <w:tab w:val="num" w:pos="720"/>
        </w:tabs>
        <w:spacing w:before="120" w:after="0"/>
      </w:pPr>
      <w:r w:rsidRPr="00E4038A">
        <w:t>przyczyny odchyleń (organizacyjne, procesowe, historyczne),</w:t>
      </w:r>
    </w:p>
    <w:p w14:paraId="758D4203" w14:textId="77777777" w:rsidR="00E4038A" w:rsidRPr="00E4038A" w:rsidRDefault="00E4038A" w:rsidP="00E4038A">
      <w:pPr>
        <w:numPr>
          <w:ilvl w:val="0"/>
          <w:numId w:val="28"/>
        </w:numPr>
        <w:tabs>
          <w:tab w:val="num" w:pos="720"/>
        </w:tabs>
        <w:spacing w:before="120" w:after="0"/>
      </w:pPr>
      <w:r w:rsidRPr="00E4038A">
        <w:t xml:space="preserve">wpływ odchyleń na: </w:t>
      </w:r>
    </w:p>
    <w:p w14:paraId="472A6FC4" w14:textId="77777777" w:rsidR="00E4038A" w:rsidRPr="00E4038A" w:rsidRDefault="00E4038A" w:rsidP="00E4038A">
      <w:pPr>
        <w:numPr>
          <w:ilvl w:val="1"/>
          <w:numId w:val="28"/>
        </w:numPr>
        <w:tabs>
          <w:tab w:val="num" w:pos="1440"/>
        </w:tabs>
        <w:spacing w:before="120" w:after="0"/>
      </w:pPr>
      <w:r w:rsidRPr="00E4038A">
        <w:t>terminowość realizacji spraw,</w:t>
      </w:r>
    </w:p>
    <w:p w14:paraId="420E83A6" w14:textId="77777777" w:rsidR="00E4038A" w:rsidRPr="00E4038A" w:rsidRDefault="00E4038A" w:rsidP="00E4038A">
      <w:pPr>
        <w:numPr>
          <w:ilvl w:val="1"/>
          <w:numId w:val="28"/>
        </w:numPr>
        <w:tabs>
          <w:tab w:val="num" w:pos="1440"/>
        </w:tabs>
        <w:spacing w:before="120" w:after="0"/>
      </w:pPr>
      <w:r w:rsidRPr="00E4038A">
        <w:t>jakość obsługi,</w:t>
      </w:r>
    </w:p>
    <w:p w14:paraId="41DD6227" w14:textId="77777777" w:rsidR="00E4038A" w:rsidRPr="00E4038A" w:rsidRDefault="00E4038A" w:rsidP="00E4038A">
      <w:pPr>
        <w:numPr>
          <w:ilvl w:val="1"/>
          <w:numId w:val="28"/>
        </w:numPr>
        <w:tabs>
          <w:tab w:val="num" w:pos="1440"/>
        </w:tabs>
        <w:spacing w:before="120" w:after="0"/>
      </w:pPr>
      <w:r w:rsidRPr="00E4038A">
        <w:t>ryzyka operacyjne.</w:t>
      </w:r>
    </w:p>
    <w:p w14:paraId="650B4CC1" w14:textId="77777777" w:rsidR="00E4038A" w:rsidRPr="00E4038A" w:rsidRDefault="00E4038A" w:rsidP="00E4038A">
      <w:pPr>
        <w:spacing w:before="120" w:after="0"/>
        <w:ind w:left="357"/>
      </w:pPr>
    </w:p>
    <w:p w14:paraId="7D8C791A" w14:textId="77777777" w:rsidR="00E4038A" w:rsidRPr="00E4038A" w:rsidRDefault="00E4038A" w:rsidP="00E4038A">
      <w:pPr>
        <w:spacing w:before="120" w:after="0"/>
        <w:ind w:left="357"/>
      </w:pPr>
      <w:r w:rsidRPr="00E4038A">
        <w:t>3. Rekomendacje zmian organizacyjnych i procesowych</w:t>
      </w:r>
    </w:p>
    <w:p w14:paraId="110ED75B" w14:textId="77777777" w:rsidR="00E4038A" w:rsidRPr="00E4038A" w:rsidRDefault="00E4038A" w:rsidP="00E4038A">
      <w:pPr>
        <w:spacing w:before="120" w:after="0"/>
        <w:ind w:left="357"/>
      </w:pPr>
      <w:r w:rsidRPr="00E4038A">
        <w:t>Końcowy etap obejmuje sformułowanie rekomendacji obejmujących m.in.:</w:t>
      </w:r>
    </w:p>
    <w:p w14:paraId="016869BF" w14:textId="77777777" w:rsidR="00E4038A" w:rsidRPr="00E4038A" w:rsidRDefault="00E4038A" w:rsidP="00E4038A">
      <w:pPr>
        <w:numPr>
          <w:ilvl w:val="0"/>
          <w:numId w:val="29"/>
        </w:numPr>
        <w:tabs>
          <w:tab w:val="num" w:pos="720"/>
        </w:tabs>
        <w:spacing w:before="120" w:after="0"/>
      </w:pPr>
      <w:r w:rsidRPr="00E4038A">
        <w:t>korektę norm etatyzacyjnych (jeśli uzasadnione),</w:t>
      </w:r>
    </w:p>
    <w:p w14:paraId="1DAD73E5" w14:textId="77777777" w:rsidR="00E4038A" w:rsidRPr="00E4038A" w:rsidRDefault="00E4038A" w:rsidP="00E4038A">
      <w:pPr>
        <w:numPr>
          <w:ilvl w:val="0"/>
          <w:numId w:val="29"/>
        </w:numPr>
        <w:tabs>
          <w:tab w:val="num" w:pos="720"/>
        </w:tabs>
        <w:spacing w:before="120" w:after="0"/>
      </w:pPr>
      <w:r w:rsidRPr="00E4038A">
        <w:t>przesunięcia etatowe pomiędzy jednostkami,</w:t>
      </w:r>
    </w:p>
    <w:p w14:paraId="2243D1D1" w14:textId="77777777" w:rsidR="00E4038A" w:rsidRPr="00E4038A" w:rsidRDefault="00E4038A" w:rsidP="00E4038A">
      <w:pPr>
        <w:numPr>
          <w:ilvl w:val="0"/>
          <w:numId w:val="29"/>
        </w:numPr>
        <w:tabs>
          <w:tab w:val="num" w:pos="720"/>
        </w:tabs>
        <w:spacing w:before="120" w:after="0"/>
      </w:pPr>
      <w:r w:rsidRPr="00E4038A">
        <w:t>zmiany w strukturze organizacyjnej,</w:t>
      </w:r>
    </w:p>
    <w:p w14:paraId="1ED4F1B1" w14:textId="77777777" w:rsidR="00E4038A" w:rsidRPr="00E4038A" w:rsidRDefault="00E4038A" w:rsidP="00E4038A">
      <w:pPr>
        <w:numPr>
          <w:ilvl w:val="0"/>
          <w:numId w:val="29"/>
        </w:numPr>
        <w:tabs>
          <w:tab w:val="num" w:pos="720"/>
        </w:tabs>
        <w:spacing w:before="120" w:after="0"/>
      </w:pPr>
      <w:r w:rsidRPr="00E4038A">
        <w:t xml:space="preserve">zwiększenie efektywności poprzez: </w:t>
      </w:r>
    </w:p>
    <w:p w14:paraId="6A48DC51" w14:textId="77777777" w:rsidR="00E4038A" w:rsidRPr="00E4038A" w:rsidRDefault="00E4038A" w:rsidP="00E4038A">
      <w:pPr>
        <w:numPr>
          <w:ilvl w:val="1"/>
          <w:numId w:val="29"/>
        </w:numPr>
        <w:tabs>
          <w:tab w:val="num" w:pos="1440"/>
        </w:tabs>
        <w:spacing w:before="120" w:after="0"/>
      </w:pPr>
      <w:r w:rsidRPr="00E4038A">
        <w:t>optymalizację procesów,</w:t>
      </w:r>
    </w:p>
    <w:p w14:paraId="0838FCCA" w14:textId="77777777" w:rsidR="00E4038A" w:rsidRPr="00E4038A" w:rsidRDefault="00E4038A" w:rsidP="00E4038A">
      <w:pPr>
        <w:numPr>
          <w:ilvl w:val="1"/>
          <w:numId w:val="29"/>
        </w:numPr>
        <w:tabs>
          <w:tab w:val="num" w:pos="1440"/>
        </w:tabs>
        <w:spacing w:before="120" w:after="0"/>
      </w:pPr>
      <w:r w:rsidRPr="00E4038A">
        <w:t>automatyzację,</w:t>
      </w:r>
    </w:p>
    <w:p w14:paraId="0D4675A7" w14:textId="77777777" w:rsidR="00E4038A" w:rsidRPr="00E4038A" w:rsidRDefault="00E4038A" w:rsidP="00E4038A">
      <w:pPr>
        <w:numPr>
          <w:ilvl w:val="1"/>
          <w:numId w:val="29"/>
        </w:numPr>
        <w:tabs>
          <w:tab w:val="num" w:pos="1440"/>
        </w:tabs>
        <w:spacing w:before="120" w:after="0"/>
      </w:pPr>
      <w:r w:rsidRPr="00E4038A">
        <w:t>standaryzację pracy.</w:t>
      </w:r>
    </w:p>
    <w:p w14:paraId="46FBF960" w14:textId="77777777" w:rsidR="00AE79E4" w:rsidRDefault="00AE79E4" w:rsidP="00AE79E4">
      <w:pPr>
        <w:spacing w:before="120" w:after="0"/>
        <w:ind w:left="357"/>
      </w:pPr>
    </w:p>
    <w:p w14:paraId="0631A05F" w14:textId="77777777" w:rsidR="00AE79E4" w:rsidRPr="00D06567" w:rsidRDefault="00AE79E4" w:rsidP="007946FE">
      <w:pPr>
        <w:pStyle w:val="Nagwek2"/>
        <w:numPr>
          <w:ilvl w:val="0"/>
          <w:numId w:val="32"/>
        </w:numPr>
        <w:tabs>
          <w:tab w:val="num" w:pos="720"/>
        </w:tabs>
        <w:spacing w:before="0"/>
        <w:ind w:left="567" w:hanging="283"/>
        <w:rPr>
          <w:b w:val="0"/>
          <w:bCs w:val="0"/>
        </w:rPr>
      </w:pPr>
      <w:r w:rsidRPr="00836133">
        <w:t xml:space="preserve">Termin </w:t>
      </w:r>
      <w:r w:rsidRPr="004E5D5D">
        <w:t>realizacji</w:t>
      </w:r>
      <w:r w:rsidRPr="00836133">
        <w:t xml:space="preserve"> zamówienia: </w:t>
      </w:r>
    </w:p>
    <w:p w14:paraId="38E20AD1" w14:textId="482AEA1E" w:rsidR="00AE79E4" w:rsidRDefault="00E4038A" w:rsidP="007946FE">
      <w:pPr>
        <w:ind w:left="567"/>
      </w:pPr>
      <w:r>
        <w:t>Od 1 czerwca do 3</w:t>
      </w:r>
      <w:r w:rsidR="00BE60A7">
        <w:t>0</w:t>
      </w:r>
      <w:r>
        <w:t xml:space="preserve"> </w:t>
      </w:r>
      <w:r w:rsidR="00BE60A7">
        <w:t>września</w:t>
      </w:r>
      <w:r>
        <w:t xml:space="preserve"> 2026 roku</w:t>
      </w:r>
      <w:r w:rsidR="00AE79E4">
        <w:t>.</w:t>
      </w:r>
    </w:p>
    <w:p w14:paraId="0E26796A" w14:textId="77777777" w:rsidR="00E4038A" w:rsidRDefault="00E4038A" w:rsidP="007946FE">
      <w:pPr>
        <w:ind w:left="567"/>
      </w:pPr>
    </w:p>
    <w:p w14:paraId="1D6C3BF5" w14:textId="77777777" w:rsidR="00E4038A" w:rsidRPr="00E4038A" w:rsidRDefault="00E4038A" w:rsidP="007946FE">
      <w:pPr>
        <w:pStyle w:val="Nagwek2"/>
        <w:numPr>
          <w:ilvl w:val="0"/>
          <w:numId w:val="32"/>
        </w:numPr>
        <w:tabs>
          <w:tab w:val="num" w:pos="720"/>
        </w:tabs>
        <w:spacing w:before="0"/>
        <w:ind w:left="567" w:hanging="283"/>
        <w:rPr>
          <w:b w:val="0"/>
          <w:bCs w:val="0"/>
        </w:rPr>
      </w:pPr>
      <w:r>
        <w:t>Informacje organizacyjne:</w:t>
      </w:r>
    </w:p>
    <w:p w14:paraId="154BD74D" w14:textId="36973CD9" w:rsidR="006E2DB4" w:rsidRPr="006E2DB4" w:rsidRDefault="006E2DB4" w:rsidP="006E2DB4">
      <w:pPr>
        <w:pStyle w:val="Akapitzlist"/>
        <w:numPr>
          <w:ilvl w:val="0"/>
          <w:numId w:val="34"/>
        </w:numPr>
        <w:rPr>
          <w:rFonts w:eastAsiaTheme="minorHAnsi" w:cstheme="minorHAnsi"/>
          <w:kern w:val="2"/>
          <w14:ligatures w14:val="standardContextual"/>
        </w:rPr>
      </w:pPr>
      <w:r w:rsidRPr="006E2DB4">
        <w:rPr>
          <w:rFonts w:eastAsiaTheme="minorHAnsi" w:cstheme="minorHAnsi"/>
          <w:kern w:val="2"/>
          <w14:ligatures w14:val="standardContextual"/>
        </w:rPr>
        <w:t xml:space="preserve">Zamówienie realizowane będzie przez 2 odrębnych </w:t>
      </w:r>
      <w:r w:rsidR="00393C6C">
        <w:rPr>
          <w:rFonts w:eastAsiaTheme="minorHAnsi" w:cstheme="minorHAnsi"/>
          <w:kern w:val="2"/>
          <w14:ligatures w14:val="standardContextual"/>
        </w:rPr>
        <w:t>wykonawców</w:t>
      </w:r>
      <w:r w:rsidRPr="006E2DB4">
        <w:rPr>
          <w:rFonts w:eastAsiaTheme="minorHAnsi" w:cstheme="minorHAnsi"/>
          <w:kern w:val="2"/>
          <w14:ligatures w14:val="standardContextual"/>
        </w:rPr>
        <w:t>.</w:t>
      </w:r>
    </w:p>
    <w:p w14:paraId="599FC69C" w14:textId="11EAF775" w:rsidR="00E4038A" w:rsidRPr="006E2DB4" w:rsidRDefault="006E2DB4" w:rsidP="006E2DB4">
      <w:pPr>
        <w:pStyle w:val="Akapitzlist"/>
        <w:numPr>
          <w:ilvl w:val="0"/>
          <w:numId w:val="34"/>
        </w:numPr>
        <w:rPr>
          <w:rFonts w:eastAsiaTheme="minorHAnsi" w:cstheme="minorHAnsi"/>
          <w:kern w:val="2"/>
          <w14:ligatures w14:val="standardContextual"/>
        </w:rPr>
      </w:pPr>
      <w:r w:rsidRPr="006E2DB4">
        <w:rPr>
          <w:rFonts w:eastAsiaTheme="minorHAnsi" w:cstheme="minorHAnsi"/>
          <w:kern w:val="2"/>
          <w14:ligatures w14:val="standardContextual"/>
        </w:rPr>
        <w:t xml:space="preserve">Szacowany nakład pracy: </w:t>
      </w:r>
      <w:r w:rsidR="00BE60A7">
        <w:rPr>
          <w:rFonts w:eastAsiaTheme="minorHAnsi" w:cstheme="minorHAnsi"/>
          <w:kern w:val="2"/>
          <w14:ligatures w14:val="standardContextual"/>
        </w:rPr>
        <w:t>160</w:t>
      </w:r>
      <w:r w:rsidRPr="006E2DB4">
        <w:rPr>
          <w:rFonts w:eastAsiaTheme="minorHAnsi" w:cstheme="minorHAnsi"/>
          <w:kern w:val="2"/>
          <w14:ligatures w14:val="standardContextual"/>
        </w:rPr>
        <w:t xml:space="preserve"> godzin </w:t>
      </w:r>
      <w:r w:rsidR="00BE60A7">
        <w:rPr>
          <w:rFonts w:eastAsiaTheme="minorHAnsi" w:cstheme="minorHAnsi"/>
          <w:kern w:val="2"/>
          <w14:ligatures w14:val="standardContextual"/>
        </w:rPr>
        <w:t>w okresie 4</w:t>
      </w:r>
      <w:r w:rsidRPr="006E2DB4">
        <w:rPr>
          <w:rFonts w:eastAsiaTheme="minorHAnsi" w:cstheme="minorHAnsi"/>
          <w:kern w:val="2"/>
          <w14:ligatures w14:val="standardContextual"/>
        </w:rPr>
        <w:t xml:space="preserve"> miesięcy (łącznie 1</w:t>
      </w:r>
      <w:r w:rsidR="00BE60A7">
        <w:rPr>
          <w:rFonts w:eastAsiaTheme="minorHAnsi" w:cstheme="minorHAnsi"/>
          <w:kern w:val="2"/>
          <w14:ligatures w14:val="standardContextual"/>
        </w:rPr>
        <w:t>6</w:t>
      </w:r>
      <w:r w:rsidRPr="006E2DB4">
        <w:rPr>
          <w:rFonts w:eastAsiaTheme="minorHAnsi" w:cstheme="minorHAnsi"/>
          <w:kern w:val="2"/>
          <w14:ligatures w14:val="standardContextual"/>
        </w:rPr>
        <w:t xml:space="preserve">0 godzin na </w:t>
      </w:r>
      <w:r w:rsidR="00BE60A7">
        <w:rPr>
          <w:rFonts w:eastAsiaTheme="minorHAnsi" w:cstheme="minorHAnsi"/>
          <w:kern w:val="2"/>
          <w14:ligatures w14:val="standardContextual"/>
        </w:rPr>
        <w:t xml:space="preserve">1 </w:t>
      </w:r>
      <w:r w:rsidRPr="006E2DB4">
        <w:rPr>
          <w:rFonts w:eastAsiaTheme="minorHAnsi" w:cstheme="minorHAnsi"/>
          <w:kern w:val="2"/>
          <w14:ligatures w14:val="standardContextual"/>
        </w:rPr>
        <w:t>audytora).</w:t>
      </w:r>
    </w:p>
    <w:p w14:paraId="69CA4A1E" w14:textId="59E2BC8A" w:rsidR="00E4038A" w:rsidRPr="006E2DB4" w:rsidRDefault="006E2DB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6E2DB4">
        <w:t>Wymagania wobec wykonawcy:</w:t>
      </w:r>
    </w:p>
    <w:p w14:paraId="63388003" w14:textId="5070CC1A" w:rsidR="006E2DB4" w:rsidRDefault="006E2DB4" w:rsidP="006E2DB4">
      <w:pPr>
        <w:pStyle w:val="Akapitzlist"/>
        <w:numPr>
          <w:ilvl w:val="0"/>
          <w:numId w:val="35"/>
        </w:numPr>
      </w:pPr>
      <w:r>
        <w:t>wykształcenie wyższe (preferowane kierunki: zarządzanie, finanse, audyt),</w:t>
      </w:r>
    </w:p>
    <w:p w14:paraId="0993D939" w14:textId="1E199475" w:rsidR="006E2DB4" w:rsidRDefault="006E2DB4" w:rsidP="006E2DB4">
      <w:pPr>
        <w:pStyle w:val="Akapitzlist"/>
        <w:numPr>
          <w:ilvl w:val="0"/>
          <w:numId w:val="35"/>
        </w:numPr>
      </w:pPr>
      <w:r>
        <w:t>minimum 2-letnie doświadczenie w audycie wewnętrznym i/lub w zarządzaniu procesami,</w:t>
      </w:r>
    </w:p>
    <w:p w14:paraId="302F9B9C" w14:textId="62C1CC6C" w:rsidR="006E2DB4" w:rsidRDefault="006E2DB4" w:rsidP="006E2DB4">
      <w:pPr>
        <w:pStyle w:val="Akapitzlist"/>
        <w:numPr>
          <w:ilvl w:val="0"/>
          <w:numId w:val="35"/>
        </w:numPr>
      </w:pPr>
      <w:r>
        <w:t>praktyka w analizie danych operacyjnych oraz optymalizacji procesów.</w:t>
      </w:r>
    </w:p>
    <w:p w14:paraId="4DA653E2" w14:textId="77777777" w:rsidR="00D3118A" w:rsidRPr="006E2DB4" w:rsidRDefault="00D3118A" w:rsidP="00D3118A">
      <w:pPr>
        <w:pStyle w:val="Akapitzlist"/>
        <w:numPr>
          <w:ilvl w:val="0"/>
          <w:numId w:val="0"/>
        </w:numPr>
        <w:ind w:left="1287"/>
      </w:pPr>
    </w:p>
    <w:p w14:paraId="22F36B36" w14:textId="73D4FACD" w:rsidR="00E4038A" w:rsidRDefault="006E2DB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6E2DB4">
        <w:lastRenderedPageBreak/>
        <w:t>Kryteria oceny ofert:</w:t>
      </w:r>
    </w:p>
    <w:p w14:paraId="57D3EAA8" w14:textId="333B8A10" w:rsidR="002D0781" w:rsidRDefault="002D0781" w:rsidP="002D0781">
      <w:pPr>
        <w:pStyle w:val="Akapitzlist"/>
        <w:numPr>
          <w:ilvl w:val="0"/>
          <w:numId w:val="36"/>
        </w:numPr>
      </w:pPr>
      <w:r>
        <w:t>Cena – 80%,</w:t>
      </w:r>
    </w:p>
    <w:p w14:paraId="77DE226B" w14:textId="5D39713D" w:rsidR="002D0781" w:rsidRDefault="002D0781" w:rsidP="002D0781">
      <w:pPr>
        <w:pStyle w:val="Akapitzlist"/>
        <w:numPr>
          <w:ilvl w:val="0"/>
          <w:numId w:val="36"/>
        </w:numPr>
      </w:pPr>
      <w:r>
        <w:t>Doświadczenie – 20%.</w:t>
      </w:r>
    </w:p>
    <w:p w14:paraId="1FDB5896" w14:textId="77777777" w:rsidR="002D0781" w:rsidRDefault="002D0781" w:rsidP="002D0781">
      <w:r>
        <w:t xml:space="preserve">W kryterium Doświadczenie będzie przyznawana następująca punktacja: </w:t>
      </w:r>
    </w:p>
    <w:p w14:paraId="3CE233C1" w14:textId="733E5B6E" w:rsidR="002D0781" w:rsidRDefault="002D0781" w:rsidP="002D0781">
      <w:pPr>
        <w:pStyle w:val="Akapitzlist"/>
        <w:numPr>
          <w:ilvl w:val="0"/>
          <w:numId w:val="37"/>
        </w:numPr>
      </w:pPr>
      <w:r>
        <w:t>od 2 lat do 4 lat – 5 pkt,</w:t>
      </w:r>
    </w:p>
    <w:p w14:paraId="4CE854F8" w14:textId="3DDA2D13" w:rsidR="002D0781" w:rsidRDefault="002D0781" w:rsidP="002D0781">
      <w:pPr>
        <w:pStyle w:val="Akapitzlist"/>
        <w:numPr>
          <w:ilvl w:val="0"/>
          <w:numId w:val="37"/>
        </w:numPr>
      </w:pPr>
      <w:r>
        <w:t>od 5 lat do 10 lat – 15 pkt,</w:t>
      </w:r>
    </w:p>
    <w:p w14:paraId="45D42B4F" w14:textId="7CD1D28B" w:rsidR="002D0781" w:rsidRPr="002D0781" w:rsidRDefault="002D0781" w:rsidP="002D0781">
      <w:pPr>
        <w:pStyle w:val="Akapitzlist"/>
        <w:numPr>
          <w:ilvl w:val="0"/>
          <w:numId w:val="37"/>
        </w:numPr>
      </w:pPr>
      <w:r>
        <w:t>powyżej 10 lat – 20 pkt.</w:t>
      </w:r>
    </w:p>
    <w:p w14:paraId="0809A172" w14:textId="76033F80" w:rsidR="005162D2" w:rsidRPr="005162D2" w:rsidRDefault="005162D2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</w:pPr>
      <w:r w:rsidRPr="005162D2">
        <w:t>Opis sposobu przygotowania oferty:</w:t>
      </w:r>
    </w:p>
    <w:p w14:paraId="5934DF01" w14:textId="54946FAC" w:rsidR="005162D2" w:rsidRDefault="005162D2" w:rsidP="005162D2">
      <w:pPr>
        <w:pStyle w:val="Akapitzlist"/>
        <w:numPr>
          <w:ilvl w:val="0"/>
          <w:numId w:val="39"/>
        </w:numPr>
        <w:spacing w:after="0" w:line="240" w:lineRule="auto"/>
      </w:pPr>
      <w:r>
        <w:t xml:space="preserve">oferta powinna być podpisana przez osobę upoważnioną do podpisania oferty, </w:t>
      </w:r>
    </w:p>
    <w:p w14:paraId="5C5C09DF" w14:textId="77777777" w:rsidR="005162D2" w:rsidRDefault="005162D2" w:rsidP="005162D2">
      <w:pPr>
        <w:spacing w:after="0" w:line="240" w:lineRule="auto"/>
        <w:ind w:left="1068"/>
      </w:pPr>
      <w:r>
        <w:t>w sposób czytelny imieniem i nazwiskiem lub podpisem opatrzonym pieczęcią imienną,</w:t>
      </w:r>
    </w:p>
    <w:p w14:paraId="51F3880D" w14:textId="0CF0568B" w:rsidR="005162D2" w:rsidRDefault="005162D2" w:rsidP="005162D2">
      <w:pPr>
        <w:pStyle w:val="Akapitzlist"/>
        <w:numPr>
          <w:ilvl w:val="0"/>
          <w:numId w:val="39"/>
        </w:numPr>
        <w:spacing w:after="0" w:line="240" w:lineRule="auto"/>
      </w:pPr>
      <w:r>
        <w:t>wykonawca ponosi wszelkie koszty związane z opracowaniem i złożeniem oferty, niezależnie od wyniku postępowania,</w:t>
      </w:r>
    </w:p>
    <w:p w14:paraId="06B744FA" w14:textId="76A4A80D" w:rsidR="005162D2" w:rsidRDefault="005162D2" w:rsidP="005162D2">
      <w:pPr>
        <w:pStyle w:val="Akapitzlist"/>
        <w:numPr>
          <w:ilvl w:val="0"/>
          <w:numId w:val="39"/>
        </w:numPr>
        <w:spacing w:after="0" w:line="240" w:lineRule="auto"/>
      </w:pPr>
      <w:r>
        <w:t>oferta powinna być sporządzona w języku polskim,</w:t>
      </w:r>
    </w:p>
    <w:p w14:paraId="3FDDCDAA" w14:textId="60C800F1" w:rsidR="005162D2" w:rsidRDefault="005162D2" w:rsidP="005162D2">
      <w:pPr>
        <w:pStyle w:val="Akapitzlist"/>
        <w:numPr>
          <w:ilvl w:val="0"/>
          <w:numId w:val="39"/>
        </w:numPr>
        <w:spacing w:after="0" w:line="240" w:lineRule="auto"/>
      </w:pPr>
      <w:r>
        <w:t>każda poprawka w ofercie musi być skreślona i parafowana przez osobę upoważnioną do podpisywania ofert wraz z datą,</w:t>
      </w:r>
    </w:p>
    <w:p w14:paraId="7DCA5ED1" w14:textId="5E334D32" w:rsidR="005162D2" w:rsidRDefault="005162D2" w:rsidP="005162D2">
      <w:pPr>
        <w:pStyle w:val="Akapitzlist"/>
        <w:numPr>
          <w:ilvl w:val="0"/>
          <w:numId w:val="39"/>
        </w:numPr>
        <w:spacing w:after="0" w:line="240" w:lineRule="auto"/>
      </w:pPr>
      <w:r>
        <w:t>oferta jest jawna, z wyjątkiem informacji stanowiących tajemnice przedsiębiorstwa w rozumieniu przepisów o zwalczaniu nieuczciwej konkurencji, a Wykonawca składając ofertę zastrzegł w odniesieniu do tych informacji, że nie mogą one być udostępnione innym uczestnikom postępowania.</w:t>
      </w:r>
    </w:p>
    <w:p w14:paraId="4C9F0DFF" w14:textId="77777777" w:rsidR="005162D2" w:rsidRPr="005162D2" w:rsidRDefault="005162D2" w:rsidP="005162D2"/>
    <w:p w14:paraId="52C5D781" w14:textId="4E6D22BF" w:rsidR="00AE79E4" w:rsidRPr="00836133" w:rsidRDefault="00AE79E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b w:val="0"/>
          <w:bCs w:val="0"/>
        </w:rPr>
      </w:pPr>
      <w:r w:rsidRPr="00836133">
        <w:t>Dodatkowe</w:t>
      </w:r>
      <w:r w:rsidRPr="00836133">
        <w:rPr>
          <w:rStyle w:val="normaltextrun"/>
        </w:rPr>
        <w:t xml:space="preserve"> </w:t>
      </w:r>
      <w:r w:rsidRPr="00836133">
        <w:t>informacje</w:t>
      </w:r>
      <w:r w:rsidRPr="00836133">
        <w:rPr>
          <w:rStyle w:val="normaltextrun"/>
        </w:rPr>
        <w:t>:</w:t>
      </w:r>
    </w:p>
    <w:p w14:paraId="0AE95911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>Wycena</w:t>
      </w:r>
      <w:r w:rsidRPr="00836133">
        <w:rPr>
          <w:rFonts w:eastAsia="Arial Unicode MS" w:cstheme="minorHAnsi"/>
          <w:lang w:eastAsia="pl-PL"/>
        </w:rPr>
        <w:t xml:space="preserve"> powinna </w:t>
      </w:r>
      <w:r w:rsidRPr="00836133">
        <w:rPr>
          <w:rFonts w:cstheme="minorHAnsi"/>
        </w:rPr>
        <w:t>zostać wyrażona w złotych polskich i po uwzględnieniu podatku VAT.</w:t>
      </w:r>
    </w:p>
    <w:p w14:paraId="350A958D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>Złożona wycena powinna również uwzględniać wszystkie koszty związane z</w:t>
      </w:r>
      <w:r>
        <w:rPr>
          <w:rFonts w:cstheme="minorHAnsi"/>
        </w:rPr>
        <w:t> </w:t>
      </w:r>
      <w:r w:rsidRPr="00836133">
        <w:rPr>
          <w:rFonts w:cstheme="minorHAnsi"/>
        </w:rPr>
        <w:t>realizacją usługi.</w:t>
      </w:r>
    </w:p>
    <w:p w14:paraId="72181AC9" w14:textId="6EC65F4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>Wycena zostanie dokonana z dokładnością do dwóch miejsc po przecinku</w:t>
      </w:r>
      <w:r>
        <w:rPr>
          <w:rFonts w:cstheme="minorHAnsi"/>
        </w:rPr>
        <w:t xml:space="preserve"> </w:t>
      </w:r>
      <w:r w:rsidRPr="00836133">
        <w:rPr>
          <w:rFonts w:cstheme="minorHAnsi"/>
        </w:rPr>
        <w:t xml:space="preserve">i sporządzona na Formularzu stanowiącym załącznik nr </w:t>
      </w:r>
      <w:r w:rsidR="005162D2">
        <w:rPr>
          <w:rFonts w:cstheme="minorHAnsi"/>
        </w:rPr>
        <w:t>1</w:t>
      </w:r>
      <w:r w:rsidRPr="00836133">
        <w:rPr>
          <w:rFonts w:cstheme="minorHAnsi"/>
        </w:rPr>
        <w:t xml:space="preserve"> do zapytania o</w:t>
      </w:r>
      <w:r>
        <w:rPr>
          <w:rFonts w:cstheme="minorHAnsi"/>
        </w:rPr>
        <w:t> </w:t>
      </w:r>
      <w:r w:rsidRPr="00533D6F">
        <w:t>ustalenie wartości szacunkowej zamówienia</w:t>
      </w:r>
      <w:r w:rsidRPr="00836133">
        <w:rPr>
          <w:rFonts w:cstheme="minorHAnsi"/>
        </w:rPr>
        <w:t>.</w:t>
      </w:r>
    </w:p>
    <w:p w14:paraId="21C885AF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>Przedstawiona przez Państwa szacunkowa wycena realizacji usługi nie będzie stanowić podstawy do roszczeń dotyczących udzielenia zamówienia lub jego części, zawarcia i realizacji  umowy.</w:t>
      </w:r>
    </w:p>
    <w:p w14:paraId="24BD5D5F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 xml:space="preserve">Niniejsze </w:t>
      </w:r>
      <w:r>
        <w:rPr>
          <w:rFonts w:cstheme="minorHAnsi"/>
        </w:rPr>
        <w:t>z</w:t>
      </w:r>
      <w:r w:rsidRPr="00836133">
        <w:rPr>
          <w:rFonts w:cstheme="minorHAnsi"/>
        </w:rPr>
        <w:t>apytanie o</w:t>
      </w:r>
      <w:r>
        <w:rPr>
          <w:rFonts w:cstheme="minorHAnsi"/>
        </w:rPr>
        <w:t> </w:t>
      </w:r>
      <w:r w:rsidRPr="00533D6F">
        <w:t>ustalenie wartości szacunkowej zamówienia</w:t>
      </w:r>
      <w:r w:rsidRPr="00836133">
        <w:rPr>
          <w:rFonts w:cstheme="minorHAnsi"/>
        </w:rPr>
        <w:t xml:space="preserve"> nie stanowi także </w:t>
      </w:r>
      <w:r>
        <w:rPr>
          <w:rFonts w:cstheme="minorHAnsi"/>
        </w:rPr>
        <w:t>z</w:t>
      </w:r>
      <w:r w:rsidRPr="00836133">
        <w:rPr>
          <w:rFonts w:cstheme="minorHAnsi"/>
        </w:rPr>
        <w:t>apytania ofertowego ani ogłoszenia w rozumieniu ustawy z dnia 11 września 2019 r. Prawo Zamówień Publicznych</w:t>
      </w:r>
      <w:r>
        <w:rPr>
          <w:rFonts w:cstheme="minorHAnsi"/>
        </w:rPr>
        <w:t>.</w:t>
      </w:r>
    </w:p>
    <w:p w14:paraId="0FB3D457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 xml:space="preserve">Zapytanie </w:t>
      </w:r>
      <w:r>
        <w:rPr>
          <w:rFonts w:cstheme="minorHAnsi"/>
        </w:rPr>
        <w:t>o </w:t>
      </w:r>
      <w:r w:rsidRPr="00533D6F">
        <w:t>ustalenie wartości szacunkowej zamówienia</w:t>
      </w:r>
      <w:r w:rsidRPr="00836133">
        <w:rPr>
          <w:rFonts w:cstheme="minorHAnsi"/>
        </w:rPr>
        <w:t xml:space="preserve"> prowadzone jest tylko w</w:t>
      </w:r>
      <w:r>
        <w:rPr>
          <w:rFonts w:cstheme="minorHAnsi"/>
        </w:rPr>
        <w:t> </w:t>
      </w:r>
      <w:r w:rsidRPr="00836133">
        <w:rPr>
          <w:rFonts w:cstheme="minorHAnsi"/>
        </w:rPr>
        <w:t>celu dokonania właściwego określenia wartości docelowego zamówienia zgodnie z art. 36 cytowanej ustawy.</w:t>
      </w:r>
    </w:p>
    <w:p w14:paraId="00E5C462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lastRenderedPageBreak/>
        <w:t xml:space="preserve">PFRON może unieważnić </w:t>
      </w:r>
      <w:r>
        <w:rPr>
          <w:rFonts w:cstheme="minorHAnsi"/>
        </w:rPr>
        <w:t>z</w:t>
      </w:r>
      <w:r w:rsidRPr="00836133">
        <w:rPr>
          <w:rFonts w:cstheme="minorHAnsi"/>
        </w:rPr>
        <w:t xml:space="preserve">apytanie na każdym etapie bez podania przyczyn. W przypadku unieważnienia </w:t>
      </w:r>
      <w:r>
        <w:rPr>
          <w:rFonts w:cstheme="minorHAnsi"/>
        </w:rPr>
        <w:t>z</w:t>
      </w:r>
      <w:r w:rsidRPr="00836133">
        <w:rPr>
          <w:rFonts w:cstheme="minorHAnsi"/>
        </w:rPr>
        <w:t>apytania PFRON nie ponosi kosztów postępowania.</w:t>
      </w:r>
    </w:p>
    <w:p w14:paraId="09AB8E9D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cstheme="minorHAnsi"/>
        </w:rPr>
      </w:pPr>
      <w:r w:rsidRPr="00836133">
        <w:rPr>
          <w:rFonts w:cstheme="minorHAnsi"/>
        </w:rPr>
        <w:t>Zamawiający zastrzega sobie prawo do prowadzenia korespondencji celem doprecyzowania, wyjaśnienia treści złożonych wycen.</w:t>
      </w:r>
    </w:p>
    <w:p w14:paraId="158ADA8E" w14:textId="77777777" w:rsidR="00AE79E4" w:rsidRPr="00836133" w:rsidRDefault="00AE79E4" w:rsidP="00AE79E4">
      <w:pPr>
        <w:pStyle w:val="Akapitzlist"/>
        <w:numPr>
          <w:ilvl w:val="1"/>
          <w:numId w:val="33"/>
        </w:numPr>
        <w:spacing w:before="120" w:after="0"/>
        <w:ind w:left="993" w:hanging="426"/>
        <w:rPr>
          <w:rFonts w:eastAsia="Arial Unicode MS" w:cstheme="minorHAnsi"/>
          <w:lang w:eastAsia="pl-PL"/>
        </w:rPr>
      </w:pPr>
      <w:r w:rsidRPr="00836133">
        <w:rPr>
          <w:rFonts w:cstheme="minorHAnsi"/>
        </w:rPr>
        <w:t>W przypadku pytań warunkujących przygotowanie przez Wykonawcę wyceny prosimy o przekazanie</w:t>
      </w:r>
      <w:r w:rsidRPr="00D06567">
        <w:rPr>
          <w:rFonts w:cstheme="minorHAnsi"/>
        </w:rPr>
        <w:t xml:space="preserve"> zapytania</w:t>
      </w:r>
      <w:r w:rsidRPr="00836133">
        <w:rPr>
          <w:rFonts w:eastAsia="Arial Unicode MS" w:cstheme="minorHAnsi"/>
          <w:lang w:eastAsia="pl-PL"/>
        </w:rPr>
        <w:t xml:space="preserve"> na adres poczty elektronicznej wskazan</w:t>
      </w:r>
      <w:r>
        <w:rPr>
          <w:rFonts w:eastAsia="Arial Unicode MS" w:cstheme="minorHAnsi"/>
          <w:lang w:eastAsia="pl-PL"/>
        </w:rPr>
        <w:t>y</w:t>
      </w:r>
      <w:r w:rsidRPr="00836133">
        <w:rPr>
          <w:rFonts w:eastAsia="Arial Unicode MS" w:cstheme="minorHAnsi"/>
          <w:lang w:eastAsia="pl-PL"/>
        </w:rPr>
        <w:t xml:space="preserve"> w</w:t>
      </w:r>
      <w:r>
        <w:rPr>
          <w:rFonts w:eastAsia="Arial Unicode MS" w:cstheme="minorHAnsi"/>
          <w:lang w:eastAsia="pl-PL"/>
        </w:rPr>
        <w:t xml:space="preserve"> niniejszym </w:t>
      </w:r>
      <w:r w:rsidRPr="00836133">
        <w:rPr>
          <w:rFonts w:eastAsia="Arial Unicode MS" w:cstheme="minorHAnsi"/>
          <w:lang w:eastAsia="pl-PL"/>
        </w:rPr>
        <w:t>zapytaniu.</w:t>
      </w:r>
    </w:p>
    <w:p w14:paraId="0AEF3D70" w14:textId="77777777" w:rsidR="00AE79E4" w:rsidRPr="00836133" w:rsidRDefault="00AE79E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rStyle w:val="normaltextrun"/>
          <w:b w:val="0"/>
          <w:bCs w:val="0"/>
        </w:rPr>
      </w:pPr>
      <w:r w:rsidRPr="00836133">
        <w:rPr>
          <w:rStyle w:val="normaltextrun"/>
        </w:rPr>
        <w:t xml:space="preserve">Miejsce i </w:t>
      </w:r>
      <w:r w:rsidRPr="00836133">
        <w:t>termin</w:t>
      </w:r>
      <w:r w:rsidRPr="00836133">
        <w:rPr>
          <w:rStyle w:val="normaltextrun"/>
        </w:rPr>
        <w:t xml:space="preserve"> złożenia wyceny</w:t>
      </w:r>
    </w:p>
    <w:p w14:paraId="1714A43B" w14:textId="6425010E" w:rsidR="00AE79E4" w:rsidRDefault="00AE79E4" w:rsidP="00AE79E4">
      <w:pPr>
        <w:spacing w:before="120"/>
        <w:ind w:left="567"/>
        <w:rPr>
          <w:rStyle w:val="normaltextrun"/>
        </w:rPr>
      </w:pPr>
      <w:r w:rsidRPr="00836133">
        <w:rPr>
          <w:rStyle w:val="normaltextrun"/>
        </w:rPr>
        <w:t xml:space="preserve">Wyceny szacunkowe na załączonym Formularzu </w:t>
      </w:r>
      <w:r w:rsidR="00C36652">
        <w:rPr>
          <w:rStyle w:val="normaltextrun"/>
        </w:rPr>
        <w:t xml:space="preserve">oferty </w:t>
      </w:r>
      <w:r w:rsidRPr="00836133">
        <w:rPr>
          <w:rStyle w:val="normaltextrun"/>
        </w:rPr>
        <w:t>należy przesłać drogą e-mailową na adres:</w:t>
      </w:r>
      <w:r>
        <w:rPr>
          <w:rStyle w:val="normaltextrun"/>
        </w:rPr>
        <w:t xml:space="preserve"> </w:t>
      </w:r>
      <w:hyperlink r:id="rId7" w:history="1">
        <w:r w:rsidR="00BE60A7" w:rsidRPr="00417C13">
          <w:rPr>
            <w:rStyle w:val="Hipercze"/>
          </w:rPr>
          <w:t>mdrewniacka@pfron.org.pl</w:t>
        </w:r>
      </w:hyperlink>
      <w:r w:rsidR="00BE60A7">
        <w:rPr>
          <w:rStyle w:val="normaltextrun"/>
        </w:rPr>
        <w:t xml:space="preserve"> oraz </w:t>
      </w:r>
      <w:hyperlink r:id="rId8" w:history="1">
        <w:r w:rsidR="005162D2" w:rsidRPr="00725771">
          <w:rPr>
            <w:rStyle w:val="Hipercze"/>
          </w:rPr>
          <w:t>programy@pfron.org.pl</w:t>
        </w:r>
      </w:hyperlink>
      <w:r w:rsidR="005162D2">
        <w:rPr>
          <w:rStyle w:val="normaltextrun"/>
        </w:rPr>
        <w:t xml:space="preserve"> </w:t>
      </w:r>
      <w:r w:rsidR="00BE60A7">
        <w:rPr>
          <w:rStyle w:val="normaltextrun"/>
        </w:rPr>
        <w:t>d</w:t>
      </w:r>
      <w:r w:rsidRPr="00836133">
        <w:rPr>
          <w:rStyle w:val="normaltextrun"/>
        </w:rPr>
        <w:t xml:space="preserve">o dnia </w:t>
      </w:r>
      <w:r w:rsidR="00BE60A7">
        <w:rPr>
          <w:rStyle w:val="normaltextrun"/>
        </w:rPr>
        <w:t xml:space="preserve">17 </w:t>
      </w:r>
      <w:r w:rsidR="00874C95">
        <w:rPr>
          <w:rStyle w:val="normaltextrun"/>
        </w:rPr>
        <w:t>kwietnia</w:t>
      </w:r>
      <w:r w:rsidRPr="00836133">
        <w:rPr>
          <w:rStyle w:val="normaltextrun"/>
        </w:rPr>
        <w:t xml:space="preserve"> 202</w:t>
      </w:r>
      <w:r w:rsidR="00874C95">
        <w:rPr>
          <w:rStyle w:val="normaltextrun"/>
        </w:rPr>
        <w:t>6</w:t>
      </w:r>
      <w:r w:rsidRPr="00836133">
        <w:rPr>
          <w:rStyle w:val="normaltextrun"/>
        </w:rPr>
        <w:t xml:space="preserve"> r</w:t>
      </w:r>
      <w:r>
        <w:rPr>
          <w:rStyle w:val="normaltextrun"/>
        </w:rPr>
        <w:t>oku</w:t>
      </w:r>
      <w:r w:rsidRPr="00836133">
        <w:rPr>
          <w:rStyle w:val="normaltextrun"/>
        </w:rPr>
        <w:t xml:space="preserve">, do godziny </w:t>
      </w:r>
      <w:r>
        <w:rPr>
          <w:rStyle w:val="normaltextrun"/>
        </w:rPr>
        <w:t>23:59</w:t>
      </w:r>
      <w:r w:rsidRPr="00836133">
        <w:rPr>
          <w:rStyle w:val="normaltextrun"/>
        </w:rPr>
        <w:t>.</w:t>
      </w:r>
    </w:p>
    <w:p w14:paraId="1D732FB8" w14:textId="77777777" w:rsidR="00D3118A" w:rsidRDefault="00D3118A" w:rsidP="00AE79E4">
      <w:pPr>
        <w:spacing w:before="120"/>
        <w:ind w:left="567"/>
        <w:rPr>
          <w:rStyle w:val="normaltextrun"/>
        </w:rPr>
      </w:pPr>
    </w:p>
    <w:p w14:paraId="457DBAD5" w14:textId="76D4D0FD" w:rsidR="007946FE" w:rsidRPr="00F406CB" w:rsidRDefault="007946FE" w:rsidP="00AE79E4">
      <w:pPr>
        <w:spacing w:before="120"/>
        <w:ind w:left="567"/>
        <w:rPr>
          <w:rStyle w:val="normaltextrun"/>
        </w:rPr>
      </w:pPr>
      <w:r w:rsidRPr="007946FE">
        <w:rPr>
          <w:rStyle w:val="normaltextrun"/>
        </w:rPr>
        <w:t xml:space="preserve">Oferty, które wpłyną po wymaganym terminie nie będą brały udziału w </w:t>
      </w:r>
      <w:r w:rsidR="00BE60A7">
        <w:rPr>
          <w:rStyle w:val="normaltextrun"/>
        </w:rPr>
        <w:t>szacowaniu wartości zamówienia.</w:t>
      </w:r>
    </w:p>
    <w:p w14:paraId="0DED1F8D" w14:textId="43E5A7D7" w:rsidR="00AE79E4" w:rsidRDefault="00AE79E4" w:rsidP="00AE79E4">
      <w:pPr>
        <w:pStyle w:val="Nagwek2"/>
        <w:numPr>
          <w:ilvl w:val="0"/>
          <w:numId w:val="32"/>
        </w:numPr>
        <w:tabs>
          <w:tab w:val="num" w:pos="720"/>
        </w:tabs>
        <w:ind w:left="567" w:hanging="283"/>
        <w:rPr>
          <w:rStyle w:val="normaltextrun"/>
        </w:rPr>
      </w:pPr>
      <w:r w:rsidRPr="00836133">
        <w:rPr>
          <w:rStyle w:val="normaltextrun"/>
        </w:rPr>
        <w:t xml:space="preserve">Informacje o </w:t>
      </w:r>
      <w:r w:rsidRPr="004E5D5D">
        <w:t>przetwarzaniu</w:t>
      </w:r>
      <w:r w:rsidRPr="00836133">
        <w:rPr>
          <w:rStyle w:val="normaltextrun"/>
        </w:rPr>
        <w:t xml:space="preserve"> danych osobowych przez Państwowy Fundusz Rehabilitacji Osób Niepełnosprawnych</w:t>
      </w:r>
    </w:p>
    <w:p w14:paraId="773A8A30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Działając na podstawie art. 13 i 14 rozporządzenia Parlamentu Europejskiego i Rady (UE) 2016/679 z dnia 27 kwietnia 2016 r. w sprawie ochrony osób fizycznych w związku</w:t>
      </w:r>
      <w:r w:rsidRPr="00874C95">
        <w:rPr>
          <w:rFonts w:ascii="Calibri" w:eastAsia="Calibri" w:hAnsi="Calibri" w:cs="Calibri"/>
          <w:lang w:eastAsia="pl-PL"/>
        </w:rPr>
        <w:br/>
        <w:t>z przetwarzaniem danych osobowych i w sprawie swobodnego przepływu takich danych oraz uchylenia dyrektywy 95/46/WE (ogólne rozporządzenie o ochronie danych) (Dz. Urz. UE L 119 z 04.05.2016, str. 1), dalej „RODO”, w związku z zapytaniem o ustalenie wartości szacunkowej zamówienia, dalej: „Zapytanie”, Zamawiający przekazuje poniżej informacje dotyczące przetwarzania danych osobowych.</w:t>
      </w:r>
    </w:p>
    <w:p w14:paraId="1BD447CE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Tożsamość administratora</w:t>
      </w:r>
    </w:p>
    <w:p w14:paraId="39D360C2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Administratorem danych osobowych jest Państwowy Fundusz Rehabilitacji Osób Niepełnosprawnych z siedzibą w Warszawie (00-828), przy al. Jana Pawła II 13.</w:t>
      </w:r>
    </w:p>
    <w:p w14:paraId="7D33D1C8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Dane kontaktowe administratora</w:t>
      </w:r>
    </w:p>
    <w:p w14:paraId="4803E7A8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Z administratorem można skontaktować się poprzez adres e-mail: </w:t>
      </w:r>
      <w:hyperlink r:id="rId9" w:history="1">
        <w:r w:rsidRPr="00874C95">
          <w:rPr>
            <w:rFonts w:ascii="Calibri" w:eastAsia="Calibri" w:hAnsi="Calibri" w:cs="Calibri"/>
            <w:color w:val="0000FF"/>
            <w:u w:val="single"/>
            <w:lang w:eastAsia="pl-PL"/>
          </w:rPr>
          <w:t>kancelaria@pfron.org.pl</w:t>
        </w:r>
      </w:hyperlink>
      <w:r w:rsidRPr="00874C95">
        <w:rPr>
          <w:rFonts w:ascii="Calibri" w:eastAsia="Calibri" w:hAnsi="Calibri" w:cs="Calibri"/>
          <w:lang w:eastAsia="pl-PL"/>
        </w:rPr>
        <w:t>, telefonicznie pod numerem +48 22 50 55 500 lub pisemnie na adres siedziby administratora.</w:t>
      </w:r>
    </w:p>
    <w:p w14:paraId="58DAF790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Dane kontaktowe Inspektora Ochrony Danych</w:t>
      </w:r>
    </w:p>
    <w:p w14:paraId="63583FDA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Administrator wyznaczył Inspektora Ochrony Danych, z którym można skontaktować się poprzez e-mail: </w:t>
      </w:r>
      <w:hyperlink r:id="rId10" w:history="1">
        <w:r w:rsidRPr="00874C95">
          <w:rPr>
            <w:rFonts w:ascii="Calibri" w:eastAsia="Calibri" w:hAnsi="Calibri" w:cs="Calibri"/>
            <w:color w:val="0000FF"/>
            <w:u w:val="single"/>
            <w:lang w:eastAsia="pl-PL"/>
          </w:rPr>
          <w:t>iod@pfron.org.pl</w:t>
        </w:r>
      </w:hyperlink>
      <w:r w:rsidRPr="00874C95">
        <w:rPr>
          <w:rFonts w:ascii="Calibri" w:eastAsia="Calibri" w:hAnsi="Calibri" w:cs="Calibri"/>
          <w:lang w:eastAsia="pl-PL"/>
        </w:rPr>
        <w:t xml:space="preserve"> we wszystkich sprawach dotyczących przetwarzania danych osobowych oraz korzystania z praw związanych z przetwarzaniem.</w:t>
      </w:r>
    </w:p>
    <w:p w14:paraId="4B9687A7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Cele przetwarzania</w:t>
      </w:r>
    </w:p>
    <w:p w14:paraId="68DEFC5D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iCs/>
          <w:lang w:eastAsia="pl-PL"/>
        </w:rPr>
      </w:pPr>
      <w:r w:rsidRPr="00874C95">
        <w:rPr>
          <w:rFonts w:ascii="Calibri" w:eastAsia="Calibri" w:hAnsi="Calibri" w:cs="Calibri"/>
          <w:iCs/>
          <w:lang w:eastAsia="pl-PL"/>
        </w:rPr>
        <w:t xml:space="preserve">Celem przetwarzania danych osobowych jest przeprowadzenie Zapytania oraz archiwizacja dokumentacji zgromadzonej w jego wyniku. Dane osobowe mogą być </w:t>
      </w:r>
      <w:r w:rsidRPr="00874C95">
        <w:rPr>
          <w:rFonts w:ascii="Calibri" w:eastAsia="Calibri" w:hAnsi="Calibri" w:cs="Calibri"/>
          <w:iCs/>
          <w:lang w:eastAsia="pl-PL"/>
        </w:rPr>
        <w:lastRenderedPageBreak/>
        <w:t>przetwarzane w celu realizacji przez administratora jego uzasadnionego interesu,</w:t>
      </w:r>
      <w:r w:rsidRPr="00874C95">
        <w:rPr>
          <w:rFonts w:ascii="Calibri" w:eastAsia="Calibri" w:hAnsi="Calibri" w:cs="Calibri"/>
          <w:iCs/>
          <w:lang w:eastAsia="pl-PL"/>
        </w:rPr>
        <w:br/>
        <w:t xml:space="preserve">w tym ustalenia, dochodzenia lub obrony roszczeń. </w:t>
      </w:r>
    </w:p>
    <w:p w14:paraId="4D846ECD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Podstawa prawna przetwarzania</w:t>
      </w:r>
    </w:p>
    <w:p w14:paraId="6C9B8157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4BDE2C3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Źródło danych osobowych</w:t>
      </w:r>
    </w:p>
    <w:p w14:paraId="23B12BEE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Administrator może pozyskiwać dane osobowe przedstawicieli podmiotu uczestniczącego w Zapytaniu za jego pośrednictwem. </w:t>
      </w:r>
    </w:p>
    <w:p w14:paraId="5EEF222D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Kategorie danych osobowych</w:t>
      </w:r>
    </w:p>
    <w:p w14:paraId="16FEF496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4DF9E8F8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Okres, przez który dane będą przechowywane</w:t>
      </w:r>
    </w:p>
    <w:p w14:paraId="076B6111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Dane osobowe będą przetwarzane przez okres niezbędny do realizacji celu przetwarzania, zgodnie z zasadami archiwizacji dokumentacji obowiązującymi u administratora.</w:t>
      </w:r>
    </w:p>
    <w:p w14:paraId="3D777D07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Podmioty, którym będą udostępniane dane osobowe</w:t>
      </w:r>
    </w:p>
    <w:p w14:paraId="2C0443B2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874C95">
        <w:rPr>
          <w:rFonts w:ascii="Calibri" w:eastAsia="Calibri" w:hAnsi="Calibri" w:cs="Calibri"/>
          <w:iCs/>
          <w:lang w:eastAsia="pl-PL"/>
        </w:rPr>
        <w:t>Dane osobowe mogą być udostępniane przez administratora podmiotom uprawnionym do ich otrzymania na mocy obowiązujących przepisów, np. organom publicznym.</w:t>
      </w:r>
    </w:p>
    <w:p w14:paraId="3AA5C873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Prawa podmiotów danych</w:t>
      </w:r>
    </w:p>
    <w:p w14:paraId="0507B3E1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Osobom fizycznym, których dotyczą dane osobowe przetwarzane przez administratora, przysługuje prawo:</w:t>
      </w:r>
    </w:p>
    <w:p w14:paraId="138C78E3" w14:textId="77777777" w:rsidR="00874C95" w:rsidRPr="00874C95" w:rsidRDefault="00874C95" w:rsidP="00874C95">
      <w:pPr>
        <w:numPr>
          <w:ilvl w:val="0"/>
          <w:numId w:val="42"/>
        </w:numPr>
        <w:tabs>
          <w:tab w:val="left" w:pos="426"/>
        </w:tabs>
        <w:spacing w:after="0" w:line="256" w:lineRule="auto"/>
        <w:ind w:left="357" w:hanging="425"/>
        <w:contextualSpacing w:val="0"/>
        <w:rPr>
          <w:rFonts w:ascii="Calibri" w:eastAsia="Calibri" w:hAnsi="Calibri" w:cs="Calibri"/>
          <w:lang w:val="x-none" w:eastAsia="x-none"/>
        </w:rPr>
      </w:pPr>
      <w:r w:rsidRPr="00874C95">
        <w:rPr>
          <w:rFonts w:ascii="Calibri" w:eastAsia="Calibri" w:hAnsi="Calibri" w:cs="Calibri"/>
          <w:lang w:val="x-none" w:eastAsia="x-none"/>
        </w:rPr>
        <w:t>na podstawie art. 15 RODO – prawo dostępu do danych osobowych i uzyskania ich kopii;</w:t>
      </w:r>
    </w:p>
    <w:p w14:paraId="0F064E25" w14:textId="77777777" w:rsidR="00874C95" w:rsidRPr="00874C95" w:rsidRDefault="00874C95" w:rsidP="00874C95">
      <w:pPr>
        <w:numPr>
          <w:ilvl w:val="0"/>
          <w:numId w:val="42"/>
        </w:numPr>
        <w:tabs>
          <w:tab w:val="left" w:pos="426"/>
        </w:tabs>
        <w:spacing w:after="0" w:line="256" w:lineRule="auto"/>
        <w:ind w:left="357" w:hanging="425"/>
        <w:contextualSpacing w:val="0"/>
        <w:rPr>
          <w:rFonts w:ascii="Calibri" w:eastAsia="Calibri" w:hAnsi="Calibri" w:cs="Calibri"/>
          <w:lang w:val="x-none" w:eastAsia="x-none"/>
        </w:rPr>
      </w:pPr>
      <w:r w:rsidRPr="00874C95">
        <w:rPr>
          <w:rFonts w:ascii="Calibri" w:eastAsia="Calibri" w:hAnsi="Calibri" w:cs="Calibri"/>
          <w:lang w:val="x-none" w:eastAsia="x-none"/>
        </w:rPr>
        <w:t>na podstawie art. 16 RODO – prawo do sprostowania i uzupełnienia danych osobowych;</w:t>
      </w:r>
    </w:p>
    <w:p w14:paraId="7FF0A553" w14:textId="77777777" w:rsidR="00874C95" w:rsidRPr="00874C95" w:rsidRDefault="00874C95" w:rsidP="00874C95">
      <w:pPr>
        <w:numPr>
          <w:ilvl w:val="0"/>
          <w:numId w:val="42"/>
        </w:numPr>
        <w:tabs>
          <w:tab w:val="left" w:pos="426"/>
        </w:tabs>
        <w:spacing w:after="0" w:line="256" w:lineRule="auto"/>
        <w:ind w:left="357" w:hanging="425"/>
        <w:contextualSpacing w:val="0"/>
        <w:rPr>
          <w:rFonts w:ascii="Calibri" w:eastAsia="Calibri" w:hAnsi="Calibri" w:cs="Calibri"/>
          <w:lang w:val="x-none" w:eastAsia="x-none"/>
        </w:rPr>
      </w:pPr>
      <w:r w:rsidRPr="00874C95">
        <w:rPr>
          <w:rFonts w:ascii="Calibri" w:eastAsia="Calibri" w:hAnsi="Calibri" w:cs="Calibri"/>
          <w:lang w:val="x-none" w:eastAsia="x-none"/>
        </w:rPr>
        <w:t>na podstawie art. 17 RODO – prawo do usunięcia danych osobowych, z zastrzeżeniem wyjątków przewidzianych w art. 17 ust. 3 lit. b, d oraz e RODO;</w:t>
      </w:r>
    </w:p>
    <w:p w14:paraId="4E0350B8" w14:textId="77777777" w:rsidR="00874C95" w:rsidRPr="00874C95" w:rsidRDefault="00874C95" w:rsidP="00874C95">
      <w:pPr>
        <w:numPr>
          <w:ilvl w:val="0"/>
          <w:numId w:val="42"/>
        </w:numPr>
        <w:tabs>
          <w:tab w:val="left" w:pos="426"/>
        </w:tabs>
        <w:spacing w:after="0" w:line="256" w:lineRule="auto"/>
        <w:ind w:left="357" w:hanging="425"/>
        <w:contextualSpacing w:val="0"/>
        <w:rPr>
          <w:rFonts w:ascii="Calibri" w:eastAsia="Calibri" w:hAnsi="Calibri" w:cs="Calibri"/>
          <w:lang w:val="x-none" w:eastAsia="x-none"/>
        </w:rPr>
      </w:pPr>
      <w:r w:rsidRPr="00874C95">
        <w:rPr>
          <w:rFonts w:ascii="Calibri" w:eastAsia="Calibri" w:hAnsi="Calibri" w:cs="Calibri"/>
          <w:lang w:val="x-none" w:eastAsia="x-none"/>
        </w:rPr>
        <w:t>na podstawie art. 18 RODO – prawo żądania od administratora ograniczenia przetwarzania danych;</w:t>
      </w:r>
    </w:p>
    <w:p w14:paraId="703C8E83" w14:textId="77777777" w:rsidR="00874C95" w:rsidRPr="00874C95" w:rsidRDefault="00874C95" w:rsidP="00874C95">
      <w:pPr>
        <w:numPr>
          <w:ilvl w:val="0"/>
          <w:numId w:val="42"/>
        </w:numPr>
        <w:tabs>
          <w:tab w:val="left" w:pos="426"/>
        </w:tabs>
        <w:spacing w:after="0" w:line="256" w:lineRule="auto"/>
        <w:ind w:left="357" w:hanging="425"/>
        <w:contextualSpacing w:val="0"/>
        <w:rPr>
          <w:rFonts w:ascii="Calibri" w:eastAsia="Calibri" w:hAnsi="Calibri" w:cs="Calibri"/>
          <w:lang w:val="x-none" w:eastAsia="x-none"/>
        </w:rPr>
      </w:pPr>
      <w:r w:rsidRPr="00874C95">
        <w:rPr>
          <w:rFonts w:ascii="Calibri" w:eastAsia="Calibri" w:hAnsi="Calibri" w:cs="Calibri"/>
          <w:lang w:val="x-none" w:eastAsia="x-none"/>
        </w:rPr>
        <w:t>na podstawie art. 21 RODO – prawo do wniesienia sprzeciwu wobec przetwarzania danych osobowych na podstawie art. 6 ust. 1 lit. f RODO.</w:t>
      </w:r>
    </w:p>
    <w:p w14:paraId="5E343877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Prawo wniesienia skargi do organu nadzorczego</w:t>
      </w:r>
    </w:p>
    <w:p w14:paraId="14671742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Osobom fizycznym, których dotyczą dane osobowe przetwarzane przez administratora, przysługuje prawo wniesienia skargi do organu nadzorczego, tj. Prezesa Urzędu Ochrony Danych Osobowych, ul. Stawki 2, 00-193 Warszawa, na niezgodne z prawem przetwarzanie danych osobowych przez administratora.</w:t>
      </w:r>
    </w:p>
    <w:p w14:paraId="51F3F347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lastRenderedPageBreak/>
        <w:t>Informacja o dowolności lub obowiązku podania danych oraz o ewentualnych konsekwencjach niepodania danych</w:t>
      </w:r>
    </w:p>
    <w:p w14:paraId="16C8BC65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Podanie danych osobowych jest dobrowolne, ale konieczne dla uczestniczenia w Zapytaniu.</w:t>
      </w:r>
    </w:p>
    <w:p w14:paraId="2DF01AC0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Informacja o zautomatyzowanym podejmowaniu decyzji</w:t>
      </w:r>
    </w:p>
    <w:p w14:paraId="6F3F0A18" w14:textId="77777777" w:rsidR="00874C95" w:rsidRPr="00874C95" w:rsidRDefault="00874C95" w:rsidP="00874C95">
      <w:pPr>
        <w:spacing w:after="0"/>
        <w:ind w:left="357"/>
        <w:contextualSpacing w:val="0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 xml:space="preserve">Administrator nie będzie podejmował decyzji opartych na zautomatyzowanym przetwarzaniu danych osobowych. </w:t>
      </w:r>
    </w:p>
    <w:p w14:paraId="60732C75" w14:textId="77777777" w:rsidR="00874C95" w:rsidRPr="00874C95" w:rsidRDefault="00874C95" w:rsidP="00874C95">
      <w:pPr>
        <w:keepNext/>
        <w:keepLines/>
        <w:spacing w:after="0"/>
        <w:ind w:left="357"/>
        <w:contextualSpacing w:val="0"/>
        <w:outlineLvl w:val="1"/>
        <w:rPr>
          <w:rFonts w:ascii="Calibri" w:eastAsia="Calibri" w:hAnsi="Calibri" w:cs="Calibri"/>
          <w:lang w:eastAsia="pl-PL"/>
        </w:rPr>
      </w:pPr>
      <w:r w:rsidRPr="00874C95">
        <w:rPr>
          <w:rFonts w:ascii="Calibri" w:eastAsia="Calibri" w:hAnsi="Calibri" w:cs="Calibri"/>
          <w:lang w:eastAsia="pl-PL"/>
        </w:rPr>
        <w:t>Realizacja obowiązku informacyjnego w imieniu administratora.</w:t>
      </w:r>
    </w:p>
    <w:p w14:paraId="3D7D7A84" w14:textId="77777777" w:rsidR="00874C95" w:rsidRPr="00874C95" w:rsidRDefault="00874C95" w:rsidP="00874C95">
      <w:pPr>
        <w:autoSpaceDE w:val="0"/>
        <w:autoSpaceDN w:val="0"/>
        <w:adjustRightInd w:val="0"/>
        <w:spacing w:after="0"/>
        <w:ind w:left="357"/>
        <w:contextualSpacing w:val="0"/>
        <w:rPr>
          <w:rFonts w:ascii="Calibri" w:eastAsia="Calibri" w:hAnsi="Calibri" w:cs="Calibri"/>
        </w:rPr>
      </w:pPr>
    </w:p>
    <w:p w14:paraId="6AD0931A" w14:textId="77777777" w:rsidR="00874C95" w:rsidRPr="00874C95" w:rsidRDefault="00874C95" w:rsidP="00874C95"/>
    <w:sectPr w:rsidR="00874C95" w:rsidRPr="0087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649"/>
    <w:multiLevelType w:val="hybridMultilevel"/>
    <w:tmpl w:val="A230A646"/>
    <w:lvl w:ilvl="0" w:tplc="097AE2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9914D1"/>
    <w:multiLevelType w:val="hybridMultilevel"/>
    <w:tmpl w:val="9230C1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071171"/>
    <w:multiLevelType w:val="hybridMultilevel"/>
    <w:tmpl w:val="2176F27A"/>
    <w:lvl w:ilvl="0" w:tplc="87146F52">
      <w:start w:val="1"/>
      <w:numFmt w:val="upperRoman"/>
      <w:lvlText w:val="%1."/>
      <w:lvlJc w:val="right"/>
      <w:pPr>
        <w:ind w:left="44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5191" w:hanging="360"/>
      </w:pPr>
    </w:lvl>
    <w:lvl w:ilvl="2" w:tplc="0415001B" w:tentative="1">
      <w:start w:val="1"/>
      <w:numFmt w:val="lowerRoman"/>
      <w:lvlText w:val="%3."/>
      <w:lvlJc w:val="right"/>
      <w:pPr>
        <w:ind w:left="5911" w:hanging="180"/>
      </w:pPr>
    </w:lvl>
    <w:lvl w:ilvl="3" w:tplc="0415000F" w:tentative="1">
      <w:start w:val="1"/>
      <w:numFmt w:val="decimal"/>
      <w:lvlText w:val="%4."/>
      <w:lvlJc w:val="left"/>
      <w:pPr>
        <w:ind w:left="6631" w:hanging="360"/>
      </w:pPr>
    </w:lvl>
    <w:lvl w:ilvl="4" w:tplc="04150019" w:tentative="1">
      <w:start w:val="1"/>
      <w:numFmt w:val="lowerLetter"/>
      <w:lvlText w:val="%5."/>
      <w:lvlJc w:val="left"/>
      <w:pPr>
        <w:ind w:left="7351" w:hanging="360"/>
      </w:pPr>
    </w:lvl>
    <w:lvl w:ilvl="5" w:tplc="0415001B" w:tentative="1">
      <w:start w:val="1"/>
      <w:numFmt w:val="lowerRoman"/>
      <w:lvlText w:val="%6."/>
      <w:lvlJc w:val="right"/>
      <w:pPr>
        <w:ind w:left="8071" w:hanging="180"/>
      </w:pPr>
    </w:lvl>
    <w:lvl w:ilvl="6" w:tplc="0415000F" w:tentative="1">
      <w:start w:val="1"/>
      <w:numFmt w:val="decimal"/>
      <w:lvlText w:val="%7."/>
      <w:lvlJc w:val="left"/>
      <w:pPr>
        <w:ind w:left="8791" w:hanging="360"/>
      </w:pPr>
    </w:lvl>
    <w:lvl w:ilvl="7" w:tplc="04150019" w:tentative="1">
      <w:start w:val="1"/>
      <w:numFmt w:val="lowerLetter"/>
      <w:lvlText w:val="%8."/>
      <w:lvlJc w:val="left"/>
      <w:pPr>
        <w:ind w:left="9511" w:hanging="360"/>
      </w:pPr>
    </w:lvl>
    <w:lvl w:ilvl="8" w:tplc="0415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" w15:restartNumberingAfterBreak="0">
    <w:nsid w:val="146634FB"/>
    <w:multiLevelType w:val="hybridMultilevel"/>
    <w:tmpl w:val="74A8B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4076"/>
    <w:multiLevelType w:val="hybridMultilevel"/>
    <w:tmpl w:val="304A0892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300BD3"/>
    <w:multiLevelType w:val="hybridMultilevel"/>
    <w:tmpl w:val="6436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796C6D"/>
    <w:multiLevelType w:val="hybridMultilevel"/>
    <w:tmpl w:val="D76AB6BC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F5470"/>
    <w:multiLevelType w:val="hybridMultilevel"/>
    <w:tmpl w:val="1AE2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60C7"/>
    <w:multiLevelType w:val="multilevel"/>
    <w:tmpl w:val="EDF45D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41AAC"/>
    <w:multiLevelType w:val="hybridMultilevel"/>
    <w:tmpl w:val="E690DB96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7855"/>
    <w:multiLevelType w:val="multilevel"/>
    <w:tmpl w:val="68B4372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25DDD"/>
    <w:multiLevelType w:val="multilevel"/>
    <w:tmpl w:val="51B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05715"/>
    <w:multiLevelType w:val="multilevel"/>
    <w:tmpl w:val="F192F7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9621E"/>
    <w:multiLevelType w:val="hybridMultilevel"/>
    <w:tmpl w:val="A4AAA1E8"/>
    <w:lvl w:ilvl="0" w:tplc="20C810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344E7"/>
    <w:multiLevelType w:val="multilevel"/>
    <w:tmpl w:val="36CCBE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5206733"/>
    <w:multiLevelType w:val="hybridMultilevel"/>
    <w:tmpl w:val="A8C64A08"/>
    <w:lvl w:ilvl="0" w:tplc="68281D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D3AE1"/>
    <w:multiLevelType w:val="multilevel"/>
    <w:tmpl w:val="025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2667E"/>
    <w:multiLevelType w:val="multilevel"/>
    <w:tmpl w:val="910C0C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F27A30"/>
    <w:multiLevelType w:val="multilevel"/>
    <w:tmpl w:val="B750F7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F64C7B"/>
    <w:multiLevelType w:val="multilevel"/>
    <w:tmpl w:val="A368666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86523"/>
    <w:multiLevelType w:val="hybridMultilevel"/>
    <w:tmpl w:val="F6FA9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B2765"/>
    <w:multiLevelType w:val="multilevel"/>
    <w:tmpl w:val="96E8E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1371BE"/>
    <w:multiLevelType w:val="multilevel"/>
    <w:tmpl w:val="A09867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54279"/>
    <w:multiLevelType w:val="hybridMultilevel"/>
    <w:tmpl w:val="D3644C88"/>
    <w:lvl w:ilvl="0" w:tplc="BE94EF54">
      <w:start w:val="6"/>
      <w:numFmt w:val="decimal"/>
      <w:lvlText w:val="%1.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C7169"/>
    <w:multiLevelType w:val="hybridMultilevel"/>
    <w:tmpl w:val="D0E68B7C"/>
    <w:lvl w:ilvl="0" w:tplc="4AC8497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65927"/>
    <w:multiLevelType w:val="multilevel"/>
    <w:tmpl w:val="EEA007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7766BC"/>
    <w:multiLevelType w:val="hybridMultilevel"/>
    <w:tmpl w:val="2518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93E84"/>
    <w:multiLevelType w:val="multilevel"/>
    <w:tmpl w:val="3BDE48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91146"/>
    <w:multiLevelType w:val="hybridMultilevel"/>
    <w:tmpl w:val="4E3819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D178B"/>
    <w:multiLevelType w:val="hybridMultilevel"/>
    <w:tmpl w:val="DFF2D506"/>
    <w:lvl w:ilvl="0" w:tplc="68281D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26894"/>
    <w:multiLevelType w:val="hybridMultilevel"/>
    <w:tmpl w:val="AB5C52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0B692E"/>
    <w:multiLevelType w:val="multilevel"/>
    <w:tmpl w:val="954632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A7F1F"/>
    <w:multiLevelType w:val="multilevel"/>
    <w:tmpl w:val="64C07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2441716">
    <w:abstractNumId w:val="23"/>
  </w:num>
  <w:num w:numId="2" w16cid:durableId="611978835">
    <w:abstractNumId w:val="1"/>
  </w:num>
  <w:num w:numId="3" w16cid:durableId="1790317043">
    <w:abstractNumId w:val="18"/>
  </w:num>
  <w:num w:numId="4" w16cid:durableId="1039470909">
    <w:abstractNumId w:val="18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8"/>
  </w:num>
  <w:num w:numId="8" w16cid:durableId="1886791774">
    <w:abstractNumId w:val="8"/>
  </w:num>
  <w:num w:numId="9" w16cid:durableId="143473222">
    <w:abstractNumId w:val="2"/>
  </w:num>
  <w:num w:numId="10" w16cid:durableId="1018314556">
    <w:abstractNumId w:val="22"/>
  </w:num>
  <w:num w:numId="11" w16cid:durableId="1776945158">
    <w:abstractNumId w:val="3"/>
  </w:num>
  <w:num w:numId="12" w16cid:durableId="1517965627">
    <w:abstractNumId w:val="0"/>
  </w:num>
  <w:num w:numId="13" w16cid:durableId="492448730">
    <w:abstractNumId w:val="7"/>
  </w:num>
  <w:num w:numId="14" w16cid:durableId="545676263">
    <w:abstractNumId w:val="35"/>
  </w:num>
  <w:num w:numId="15" w16cid:durableId="1875538570">
    <w:abstractNumId w:val="26"/>
  </w:num>
  <w:num w:numId="16" w16cid:durableId="1412891414">
    <w:abstractNumId w:val="5"/>
  </w:num>
  <w:num w:numId="17" w16cid:durableId="661157107">
    <w:abstractNumId w:val="14"/>
  </w:num>
  <w:num w:numId="18" w16cid:durableId="473838183">
    <w:abstractNumId w:val="32"/>
  </w:num>
  <w:num w:numId="19" w16cid:durableId="1302810303">
    <w:abstractNumId w:val="34"/>
  </w:num>
  <w:num w:numId="20" w16cid:durableId="152375193">
    <w:abstractNumId w:val="25"/>
  </w:num>
  <w:num w:numId="21" w16cid:durableId="782960453">
    <w:abstractNumId w:val="15"/>
  </w:num>
  <w:num w:numId="22" w16cid:durableId="196626979">
    <w:abstractNumId w:val="13"/>
  </w:num>
  <w:num w:numId="23" w16cid:durableId="1229344667">
    <w:abstractNumId w:val="38"/>
  </w:num>
  <w:num w:numId="24" w16cid:durableId="984162978">
    <w:abstractNumId w:val="17"/>
  </w:num>
  <w:num w:numId="25" w16cid:durableId="450133147">
    <w:abstractNumId w:val="29"/>
  </w:num>
  <w:num w:numId="26" w16cid:durableId="44454430">
    <w:abstractNumId w:val="20"/>
  </w:num>
  <w:num w:numId="27" w16cid:durableId="24867815">
    <w:abstractNumId w:val="11"/>
  </w:num>
  <w:num w:numId="28" w16cid:durableId="316342913">
    <w:abstractNumId w:val="21"/>
  </w:num>
  <w:num w:numId="29" w16cid:durableId="158010048">
    <w:abstractNumId w:val="24"/>
  </w:num>
  <w:num w:numId="30" w16cid:durableId="418213691">
    <w:abstractNumId w:val="10"/>
  </w:num>
  <w:num w:numId="31" w16cid:durableId="2096973257">
    <w:abstractNumId w:val="39"/>
  </w:num>
  <w:num w:numId="32" w16cid:durableId="79372973">
    <w:abstractNumId w:val="4"/>
  </w:num>
  <w:num w:numId="33" w16cid:durableId="422604752">
    <w:abstractNumId w:val="28"/>
  </w:num>
  <w:num w:numId="34" w16cid:durableId="1194267542">
    <w:abstractNumId w:val="6"/>
  </w:num>
  <w:num w:numId="35" w16cid:durableId="1286039963">
    <w:abstractNumId w:val="16"/>
  </w:num>
  <w:num w:numId="36" w16cid:durableId="1688940704">
    <w:abstractNumId w:val="31"/>
  </w:num>
  <w:num w:numId="37" w16cid:durableId="1396245193">
    <w:abstractNumId w:val="9"/>
  </w:num>
  <w:num w:numId="38" w16cid:durableId="1824540283">
    <w:abstractNumId w:val="12"/>
  </w:num>
  <w:num w:numId="39" w16cid:durableId="470682291">
    <w:abstractNumId w:val="36"/>
  </w:num>
  <w:num w:numId="40" w16cid:durableId="1560482127">
    <w:abstractNumId w:val="19"/>
  </w:num>
  <w:num w:numId="41" w16cid:durableId="1923563667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64807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62813574">
    <w:abstractNumId w:val="37"/>
  </w:num>
  <w:num w:numId="44" w16cid:durableId="15162686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3"/>
    <w:rsid w:val="00154D84"/>
    <w:rsid w:val="00164971"/>
    <w:rsid w:val="001D1843"/>
    <w:rsid w:val="00243576"/>
    <w:rsid w:val="002574A2"/>
    <w:rsid w:val="00262B88"/>
    <w:rsid w:val="002D0781"/>
    <w:rsid w:val="00311E95"/>
    <w:rsid w:val="003535E9"/>
    <w:rsid w:val="00393C6C"/>
    <w:rsid w:val="003F050C"/>
    <w:rsid w:val="00405018"/>
    <w:rsid w:val="004351C8"/>
    <w:rsid w:val="004D7479"/>
    <w:rsid w:val="004F7541"/>
    <w:rsid w:val="00510D2F"/>
    <w:rsid w:val="005162D2"/>
    <w:rsid w:val="00530605"/>
    <w:rsid w:val="00556FAB"/>
    <w:rsid w:val="005C3CE6"/>
    <w:rsid w:val="00625721"/>
    <w:rsid w:val="006747E4"/>
    <w:rsid w:val="006939CB"/>
    <w:rsid w:val="006E2DB4"/>
    <w:rsid w:val="007946FE"/>
    <w:rsid w:val="0083272B"/>
    <w:rsid w:val="008711AC"/>
    <w:rsid w:val="00874C95"/>
    <w:rsid w:val="00953652"/>
    <w:rsid w:val="009E5F40"/>
    <w:rsid w:val="00A85E42"/>
    <w:rsid w:val="00A910FA"/>
    <w:rsid w:val="00AE79E4"/>
    <w:rsid w:val="00B25134"/>
    <w:rsid w:val="00BC3E48"/>
    <w:rsid w:val="00BE60A7"/>
    <w:rsid w:val="00C36652"/>
    <w:rsid w:val="00CD590B"/>
    <w:rsid w:val="00D11EB1"/>
    <w:rsid w:val="00D1698D"/>
    <w:rsid w:val="00D3118A"/>
    <w:rsid w:val="00D7799A"/>
    <w:rsid w:val="00DE66B2"/>
    <w:rsid w:val="00E20A14"/>
    <w:rsid w:val="00E4038A"/>
    <w:rsid w:val="00E6753F"/>
    <w:rsid w:val="00E73021"/>
    <w:rsid w:val="00E83106"/>
    <w:rsid w:val="00E91EC3"/>
    <w:rsid w:val="00EA20E4"/>
    <w:rsid w:val="00ED15F6"/>
    <w:rsid w:val="00ED2F0B"/>
    <w:rsid w:val="00F029DC"/>
    <w:rsid w:val="00F447E6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898"/>
  <w15:chartTrackingRefBased/>
  <w15:docId w15:val="{3DC30C61-9D8C-437C-A6AC-B6E23CC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T_SZ_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99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,T_SZ_List Paragraph Znak,L1 Znak,Akapit z listą5 Znak,Nagłowek 3 Znak,Preambuła Znak,Akapit z listą BS Znak,Kolorowa lista — akcent 11 Znak,Dot pt Znak,F5 List Paragraph Znak,Recommendation Znak"/>
    <w:link w:val="Akapitzlist"/>
    <w:uiPriority w:val="99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EC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EC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EC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EC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91EC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E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E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1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EC3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91E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EC3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91E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27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72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AE79E4"/>
  </w:style>
  <w:style w:type="character" w:customStyle="1" w:styleId="eop">
    <w:name w:val="eop"/>
    <w:basedOn w:val="Domylnaczcionkaakapitu"/>
    <w:rsid w:val="00AE79E4"/>
  </w:style>
  <w:style w:type="character" w:styleId="UyteHipercze">
    <w:name w:val="FollowedHyperlink"/>
    <w:basedOn w:val="Domylnaczcionkaakapitu"/>
    <w:uiPriority w:val="99"/>
    <w:semiHidden/>
    <w:unhideWhenUsed/>
    <w:rsid w:val="00C36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y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drewniacka@pfron.org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fron.org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6EB7-0B0B-419C-9F3F-CD87E4F420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2</cp:revision>
  <dcterms:created xsi:type="dcterms:W3CDTF">2026-04-10T12:29:00Z</dcterms:created>
  <dcterms:modified xsi:type="dcterms:W3CDTF">2026-04-10T12:29:00Z</dcterms:modified>
</cp:coreProperties>
</file>