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0AB95" w14:textId="3B3F87A0" w:rsidR="00EF39E5" w:rsidRDefault="007D543F">
      <w:pPr>
        <w:spacing w:after="60"/>
      </w:pPr>
      <w:r>
        <w:rPr>
          <w:b/>
          <w:bCs/>
          <w:color w:val="1F3864"/>
          <w:sz w:val="34"/>
          <w:szCs w:val="34"/>
        </w:rPr>
        <w:t>Odpowiedzi Zamawiającego na pytania</w:t>
      </w:r>
      <w:r w:rsidR="00FD2A71">
        <w:rPr>
          <w:b/>
          <w:bCs/>
          <w:color w:val="1F3864"/>
          <w:sz w:val="34"/>
          <w:szCs w:val="34"/>
        </w:rPr>
        <w:t xml:space="preserve"> do</w:t>
      </w:r>
      <w:r>
        <w:rPr>
          <w:b/>
          <w:bCs/>
          <w:color w:val="1F3864"/>
          <w:sz w:val="34"/>
          <w:szCs w:val="34"/>
        </w:rPr>
        <w:t xml:space="preserve"> </w:t>
      </w:r>
      <w:r w:rsidR="00BC3E18">
        <w:rPr>
          <w:b/>
          <w:bCs/>
          <w:color w:val="1F3864"/>
          <w:sz w:val="34"/>
          <w:szCs w:val="34"/>
        </w:rPr>
        <w:t>specyfikacji</w:t>
      </w:r>
    </w:p>
    <w:p w14:paraId="725BC01D" w14:textId="388FB8BC" w:rsidR="00EF39E5" w:rsidRDefault="007D543F">
      <w:pPr>
        <w:spacing w:after="200"/>
      </w:pPr>
      <w:r>
        <w:rPr>
          <w:color w:val="5A6A8A"/>
          <w:sz w:val="19"/>
          <w:szCs w:val="19"/>
        </w:rPr>
        <w:t>Infrastruktur</w:t>
      </w:r>
      <w:r w:rsidR="00BC3E18">
        <w:rPr>
          <w:color w:val="5A6A8A"/>
          <w:sz w:val="19"/>
          <w:szCs w:val="19"/>
        </w:rPr>
        <w:t>a</w:t>
      </w:r>
      <w:r>
        <w:rPr>
          <w:color w:val="5A6A8A"/>
          <w:sz w:val="19"/>
          <w:szCs w:val="19"/>
        </w:rPr>
        <w:t xml:space="preserve"> IT</w:t>
      </w:r>
      <w:r w:rsidR="00BC3E18">
        <w:rPr>
          <w:color w:val="5A6A8A"/>
          <w:sz w:val="19"/>
          <w:szCs w:val="19"/>
        </w:rPr>
        <w:t xml:space="preserve"> -</w:t>
      </w:r>
      <w:r>
        <w:rPr>
          <w:color w:val="5A6A8A"/>
          <w:sz w:val="19"/>
          <w:szCs w:val="19"/>
        </w:rPr>
        <w:t xml:space="preserve"> PFRON </w:t>
      </w:r>
    </w:p>
    <w:tbl>
      <w:tblPr>
        <w:tblW w:w="13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200"/>
        <w:gridCol w:w="6800"/>
      </w:tblGrid>
      <w:tr w:rsidR="00EF39E5" w14:paraId="0AEA51EA" w14:textId="77777777">
        <w:trPr>
          <w:tblHeader/>
        </w:trPr>
        <w:tc>
          <w:tcPr>
            <w:tcW w:w="6200" w:type="dxa"/>
            <w:tcBorders>
              <w:top w:val="single" w:sz="1" w:space="0" w:color="CCCCCC"/>
              <w:left w:val="single" w:sz="1" w:space="0" w:color="CCCCCC"/>
              <w:bottom w:val="single" w:sz="1" w:space="0" w:color="CCCCCC"/>
              <w:right w:val="single" w:sz="1" w:space="0" w:color="CCCCCC"/>
            </w:tcBorders>
            <w:shd w:val="clear" w:color="auto" w:fill="2E5FA3"/>
            <w:tcMar>
              <w:top w:w="90" w:type="dxa"/>
              <w:left w:w="180" w:type="dxa"/>
              <w:bottom w:w="90" w:type="dxa"/>
              <w:right w:w="180" w:type="dxa"/>
            </w:tcMar>
          </w:tcPr>
          <w:p w14:paraId="44E605B5" w14:textId="77777777" w:rsidR="00EF39E5" w:rsidRDefault="007D543F">
            <w:r>
              <w:rPr>
                <w:b/>
                <w:bCs/>
                <w:color w:val="FFFFFF"/>
                <w:sz w:val="19"/>
                <w:szCs w:val="19"/>
              </w:rPr>
              <w:t>PYTANIE WYKONAWCY</w:t>
            </w:r>
          </w:p>
        </w:tc>
        <w:tc>
          <w:tcPr>
            <w:tcW w:w="6800" w:type="dxa"/>
            <w:tcBorders>
              <w:top w:val="single" w:sz="1" w:space="0" w:color="CCCCCC"/>
              <w:left w:val="single" w:sz="1" w:space="0" w:color="CCCCCC"/>
              <w:bottom w:val="single" w:sz="1" w:space="0" w:color="CCCCCC"/>
              <w:right w:val="single" w:sz="1" w:space="0" w:color="CCCCCC"/>
            </w:tcBorders>
            <w:shd w:val="clear" w:color="auto" w:fill="1F3864"/>
            <w:tcMar>
              <w:top w:w="90" w:type="dxa"/>
              <w:left w:w="180" w:type="dxa"/>
              <w:bottom w:w="90" w:type="dxa"/>
              <w:right w:w="180" w:type="dxa"/>
            </w:tcMar>
          </w:tcPr>
          <w:p w14:paraId="4775BD41" w14:textId="77777777" w:rsidR="00EF39E5" w:rsidRDefault="007D543F">
            <w:r>
              <w:rPr>
                <w:b/>
                <w:bCs/>
                <w:color w:val="FFFFFF"/>
                <w:sz w:val="19"/>
                <w:szCs w:val="19"/>
              </w:rPr>
              <w:t>ODPOWIEDŹ ZAMAWIAJĄCEGO</w:t>
            </w:r>
          </w:p>
        </w:tc>
      </w:tr>
      <w:tr w:rsidR="00EF39E5" w14:paraId="11F92C7B" w14:textId="77777777">
        <w:tc>
          <w:tcPr>
            <w:tcW w:w="13000" w:type="dxa"/>
            <w:gridSpan w:val="2"/>
            <w:tcBorders>
              <w:top w:val="single" w:sz="1" w:space="0" w:color="CCCCCC"/>
              <w:left w:val="single" w:sz="1" w:space="0" w:color="CCCCCC"/>
              <w:bottom w:val="single" w:sz="1" w:space="0" w:color="CCCCCC"/>
              <w:right w:val="single" w:sz="1" w:space="0" w:color="CCCCCC"/>
            </w:tcBorders>
            <w:shd w:val="clear" w:color="auto" w:fill="7D4E00"/>
            <w:tcMar>
              <w:top w:w="90" w:type="dxa"/>
              <w:left w:w="180" w:type="dxa"/>
              <w:bottom w:w="90" w:type="dxa"/>
              <w:right w:w="180" w:type="dxa"/>
            </w:tcMar>
          </w:tcPr>
          <w:p w14:paraId="5A5535AE" w14:textId="77777777" w:rsidR="00EF39E5" w:rsidRDefault="007D543F">
            <w:r>
              <w:rPr>
                <w:b/>
                <w:bCs/>
                <w:color w:val="FFFFFF"/>
                <w:sz w:val="20"/>
                <w:szCs w:val="20"/>
              </w:rPr>
              <w:t>ZMIANA Z INICJATYWY ZAMAWIAJĄCEGO (nie odpowiedź na pytanie Wykonawcy)</w:t>
            </w:r>
          </w:p>
        </w:tc>
      </w:tr>
      <w:tr w:rsidR="00EF39E5" w14:paraId="73284C90" w14:textId="77777777">
        <w:tc>
          <w:tcPr>
            <w:tcW w:w="6200" w:type="dxa"/>
            <w:tcBorders>
              <w:top w:val="single" w:sz="1" w:space="0" w:color="CCCCCC"/>
              <w:left w:val="single" w:sz="1" w:space="0" w:color="CCCCCC"/>
              <w:bottom w:val="single" w:sz="1" w:space="0" w:color="CCCCCC"/>
              <w:right w:val="single" w:sz="1" w:space="0" w:color="CCCCCC"/>
            </w:tcBorders>
            <w:shd w:val="clear" w:color="auto" w:fill="EEF4FB"/>
            <w:tcMar>
              <w:top w:w="110" w:type="dxa"/>
              <w:left w:w="180" w:type="dxa"/>
              <w:bottom w:w="110" w:type="dxa"/>
              <w:right w:w="180" w:type="dxa"/>
            </w:tcMar>
          </w:tcPr>
          <w:p w14:paraId="1F2C1D1D" w14:textId="77777777" w:rsidR="00EF39E5" w:rsidRDefault="007D543F">
            <w:pPr>
              <w:spacing w:after="70"/>
            </w:pPr>
            <w:r>
              <w:rPr>
                <w:b/>
                <w:bCs/>
                <w:color w:val="1A1A2E"/>
              </w:rPr>
              <w:t>Zmiana strategiczna — pkt 7.1 OPZ oraz Zestawienie Cenowe (poz. 7)</w:t>
            </w:r>
          </w:p>
          <w:p w14:paraId="7A659E60" w14:textId="77777777" w:rsidR="00EF39E5" w:rsidRDefault="00EF39E5">
            <w:pPr>
              <w:spacing w:after="70"/>
            </w:pPr>
          </w:p>
          <w:p w14:paraId="2779B599" w14:textId="77777777" w:rsidR="00EF39E5" w:rsidRDefault="007D543F">
            <w:r>
              <w:rPr>
                <w:color w:val="1A1A2E"/>
              </w:rPr>
              <w:t>Zamawiający wprowadza z własnej inicjatywy zmianę wymagania dotyczącego oprogramowania do wirtualizacji. Zmiana nie jest odpowiedzią na pytanie Wykonawcy.</w:t>
            </w:r>
          </w:p>
        </w:tc>
        <w:tc>
          <w:tcPr>
            <w:tcW w:w="6800" w:type="dxa"/>
            <w:tcBorders>
              <w:top w:val="single" w:sz="1" w:space="0" w:color="CCCCCC"/>
              <w:left w:val="single" w:sz="1" w:space="0" w:color="CCCCCC"/>
              <w:bottom w:val="single" w:sz="1" w:space="0" w:color="CCCCCC"/>
              <w:right w:val="single" w:sz="1" w:space="0" w:color="CCCCCC"/>
            </w:tcBorders>
            <w:shd w:val="clear" w:color="auto" w:fill="FFFFFF"/>
            <w:tcMar>
              <w:top w:w="110" w:type="dxa"/>
              <w:left w:w="180" w:type="dxa"/>
              <w:bottom w:w="110" w:type="dxa"/>
              <w:right w:w="180" w:type="dxa"/>
            </w:tcMar>
          </w:tcPr>
          <w:p w14:paraId="033877A4" w14:textId="77777777" w:rsidR="00EF39E5" w:rsidRDefault="007D543F">
            <w:pPr>
              <w:spacing w:after="70"/>
            </w:pPr>
            <w:r>
              <w:rPr>
                <w:color w:val="1A1A2E"/>
              </w:rPr>
              <w:t>Zamawiający informuje, że wymaganie 7.1 OPZ ulega zmianie.</w:t>
            </w:r>
          </w:p>
          <w:p w14:paraId="285285E1" w14:textId="77777777" w:rsidR="00EF39E5" w:rsidRDefault="00EF39E5">
            <w:pPr>
              <w:spacing w:after="70"/>
            </w:pPr>
          </w:p>
          <w:p w14:paraId="00E6BE2B" w14:textId="77777777" w:rsidR="00EF39E5" w:rsidRDefault="007D543F">
            <w:pPr>
              <w:spacing w:after="70"/>
            </w:pPr>
            <w:r>
              <w:rPr>
                <w:color w:val="1A1A2E"/>
              </w:rPr>
              <w:t>1. Dotychczasowe brzmienie: „VMware vSphere Foundation / Standard lub rozwiązanie równoważne."</w:t>
            </w:r>
          </w:p>
          <w:p w14:paraId="2F1A2F4B" w14:textId="77777777" w:rsidR="00EF39E5" w:rsidRDefault="00EF39E5">
            <w:pPr>
              <w:spacing w:after="70"/>
            </w:pPr>
          </w:p>
          <w:p w14:paraId="1A952884" w14:textId="77777777" w:rsidR="00EF39E5" w:rsidRDefault="007D543F">
            <w:pPr>
              <w:spacing w:after="70"/>
            </w:pPr>
            <w:r>
              <w:rPr>
                <w:color w:val="1A1A2E"/>
              </w:rPr>
              <w:t>2. Nowe brzmienie: „VMware Cloud Foundation (VCF) lub rozwiązanie równoważne klasy Enterprise."</w:t>
            </w:r>
          </w:p>
          <w:p w14:paraId="67400DE1" w14:textId="77777777" w:rsidR="00EF39E5" w:rsidRDefault="00EF39E5">
            <w:pPr>
              <w:spacing w:after="70"/>
            </w:pPr>
          </w:p>
          <w:p w14:paraId="1F616298" w14:textId="77777777" w:rsidR="00EF39E5" w:rsidRDefault="007D543F">
            <w:pPr>
              <w:spacing w:after="70"/>
            </w:pPr>
            <w:r>
              <w:rPr>
                <w:color w:val="1A1A2E"/>
              </w:rPr>
              <w:t>3. Dopisano 5. wymóg funkcjonalny: „Wbudowany mechanizm wirtualizacji sieci (SDN), np. NSX jako integralna część VCF, umożliwiający mikrosegmentację, firewall na poziomie hiperwizora oraz zarządzanie siecią overlay."</w:t>
            </w:r>
          </w:p>
          <w:p w14:paraId="761027F3" w14:textId="77777777" w:rsidR="00EF39E5" w:rsidRDefault="00EF39E5">
            <w:pPr>
              <w:spacing w:after="70"/>
            </w:pPr>
          </w:p>
          <w:p w14:paraId="64D98119" w14:textId="77777777" w:rsidR="00EF39E5" w:rsidRDefault="007D543F">
            <w:pPr>
              <w:spacing w:after="70"/>
            </w:pPr>
            <w:r>
              <w:rPr>
                <w:color w:val="1A1A2E"/>
              </w:rPr>
              <w:t>4. Zestawienie Cenowe (poz. 7) zaktualizowano: „Oprogramowanie do wirtualizacji — VMware Cloud Foundation (VCF) lub równoważne."</w:t>
            </w:r>
          </w:p>
          <w:p w14:paraId="073A849C" w14:textId="77777777" w:rsidR="00EF39E5" w:rsidRDefault="00EF39E5">
            <w:pPr>
              <w:spacing w:after="70"/>
            </w:pPr>
          </w:p>
          <w:p w14:paraId="6AFE170E" w14:textId="77777777" w:rsidR="00EF39E5" w:rsidRDefault="007D543F">
            <w:pPr>
              <w:spacing w:after="70"/>
            </w:pPr>
            <w:r>
              <w:rPr>
                <w:color w:val="1A1A2E"/>
              </w:rPr>
              <w:t>Uzasadnienie: VMware Cloud Foundation stanowi pełny stos wirtualizacyjny (vSphere + NSX + vSAN + SDDC Manager + Aria Suite). Wersja vSphere Foundation jest wersją okrojoną, która wymagałaby późniejszej kosztownej rozbudowy do VCF. Zamawiający nie chce ponosić kosztów takiej rozbudowy po dostawie.</w:t>
            </w:r>
          </w:p>
          <w:p w14:paraId="30C771BE" w14:textId="77777777" w:rsidR="00EF39E5" w:rsidRDefault="00EF39E5">
            <w:pPr>
              <w:spacing w:after="70"/>
            </w:pPr>
          </w:p>
          <w:p w14:paraId="6E635106" w14:textId="7C73F775" w:rsidR="00EF39E5" w:rsidRDefault="00EF39E5"/>
        </w:tc>
      </w:tr>
      <w:tr w:rsidR="00EF39E5" w14:paraId="7323BAD7" w14:textId="77777777">
        <w:tc>
          <w:tcPr>
            <w:tcW w:w="13000" w:type="dxa"/>
            <w:gridSpan w:val="2"/>
            <w:tcBorders>
              <w:top w:val="single" w:sz="1" w:space="0" w:color="CCCCCC"/>
              <w:left w:val="single" w:sz="1" w:space="0" w:color="CCCCCC"/>
              <w:bottom w:val="single" w:sz="1" w:space="0" w:color="CCCCCC"/>
              <w:right w:val="single" w:sz="1" w:space="0" w:color="CCCCCC"/>
            </w:tcBorders>
            <w:shd w:val="clear" w:color="auto" w:fill="1F3864"/>
            <w:tcMar>
              <w:top w:w="90" w:type="dxa"/>
              <w:left w:w="180" w:type="dxa"/>
              <w:bottom w:w="90" w:type="dxa"/>
              <w:right w:w="180" w:type="dxa"/>
            </w:tcMar>
          </w:tcPr>
          <w:p w14:paraId="6C0E140A" w14:textId="77777777" w:rsidR="00EF39E5" w:rsidRDefault="007D543F">
            <w:r>
              <w:rPr>
                <w:b/>
                <w:bCs/>
                <w:color w:val="FFFFFF"/>
                <w:sz w:val="20"/>
                <w:szCs w:val="20"/>
              </w:rPr>
              <w:t>SERWERY OBLICZENIOWE TYP A — wymaganie 1.5</w:t>
            </w:r>
          </w:p>
        </w:tc>
      </w:tr>
      <w:tr w:rsidR="00EF39E5" w14:paraId="1A703C40" w14:textId="77777777">
        <w:tc>
          <w:tcPr>
            <w:tcW w:w="6200" w:type="dxa"/>
            <w:tcBorders>
              <w:top w:val="single" w:sz="1" w:space="0" w:color="CCCCCC"/>
              <w:left w:val="single" w:sz="1" w:space="0" w:color="CCCCCC"/>
              <w:bottom w:val="single" w:sz="1" w:space="0" w:color="CCCCCC"/>
              <w:right w:val="single" w:sz="1" w:space="0" w:color="CCCCCC"/>
            </w:tcBorders>
            <w:shd w:val="clear" w:color="auto" w:fill="F5F7FA"/>
            <w:tcMar>
              <w:top w:w="110" w:type="dxa"/>
              <w:left w:w="180" w:type="dxa"/>
              <w:bottom w:w="110" w:type="dxa"/>
              <w:right w:w="180" w:type="dxa"/>
            </w:tcMar>
          </w:tcPr>
          <w:p w14:paraId="3CC3CA02" w14:textId="77777777" w:rsidR="00EF39E5" w:rsidRDefault="007D543F">
            <w:pPr>
              <w:spacing w:after="70"/>
            </w:pPr>
            <w:r>
              <w:rPr>
                <w:b/>
                <w:bCs/>
                <w:color w:val="1A3A6A"/>
              </w:rPr>
              <w:t>Wymaganie 1.5</w:t>
            </w:r>
          </w:p>
          <w:p w14:paraId="3E298AF7" w14:textId="77777777" w:rsidR="00EF39E5" w:rsidRDefault="00EF39E5">
            <w:pPr>
              <w:spacing w:after="70"/>
            </w:pPr>
          </w:p>
          <w:p w14:paraId="5AC4F035" w14:textId="77777777" w:rsidR="00EF39E5" w:rsidRDefault="007D543F">
            <w:r>
              <w:rPr>
                <w:color w:val="1A1A2E"/>
              </w:rPr>
              <w:t xml:space="preserve">Zwracamy się uprzejmie o zmianę wymagania z 753 punktów na 749 punkty. Różnica czterech punktów jest mniejsza niż naturalny rozrzut wyników wynikający z metodologii testu SPEC, różnic w konfiguracji środowiska testowego (wersja kompilatora, system operacyjny, BIOS/firmware) oraz aktualizacji bazy wyników na stronie spec.org. Proponowana zmiana nie wpłynie na realną wydajność obliczeniową systemu w środowisku produkcyjnym, a pozwoli na udział w </w:t>
            </w:r>
            <w:r>
              <w:rPr>
                <w:color w:val="1A1A2E"/>
              </w:rPr>
              <w:lastRenderedPageBreak/>
              <w:t>postępowaniu większej liczby rozwiązań spełniających wszystkie pozostałe wymagania techniczne. Aktualne wyniki opublikowane na stronie www.spec.org potwierdzają, że serwer z proponowanymi procesorami osiąga wynik 749 punkty, co w praktyce eksploatacyjnej jest równoważne wartości granicznej 753 punktów.</w:t>
            </w:r>
          </w:p>
        </w:tc>
        <w:tc>
          <w:tcPr>
            <w:tcW w:w="6800" w:type="dxa"/>
            <w:tcBorders>
              <w:top w:val="single" w:sz="1" w:space="0" w:color="CCCCCC"/>
              <w:left w:val="single" w:sz="1" w:space="0" w:color="CCCCCC"/>
              <w:bottom w:val="single" w:sz="1" w:space="0" w:color="CCCCCC"/>
              <w:right w:val="single" w:sz="1" w:space="0" w:color="CCCCCC"/>
            </w:tcBorders>
            <w:shd w:val="clear" w:color="auto" w:fill="FFFFFF"/>
            <w:tcMar>
              <w:top w:w="110" w:type="dxa"/>
              <w:left w:w="180" w:type="dxa"/>
              <w:bottom w:w="110" w:type="dxa"/>
              <w:right w:w="180" w:type="dxa"/>
            </w:tcMar>
          </w:tcPr>
          <w:p w14:paraId="1D200001" w14:textId="77777777" w:rsidR="007D543F" w:rsidRDefault="007D543F">
            <w:pPr>
              <w:spacing w:after="80"/>
              <w:rPr>
                <w:b/>
                <w:bCs/>
                <w:color w:val="C00000"/>
              </w:rPr>
            </w:pPr>
            <w:r>
              <w:rPr>
                <w:b/>
                <w:bCs/>
                <w:color w:val="C00000"/>
              </w:rPr>
              <w:lastRenderedPageBreak/>
              <w:t>Zamawiający podtrzymuje wymaganie.</w:t>
            </w:r>
          </w:p>
          <w:p w14:paraId="50401039" w14:textId="77777777" w:rsidR="00EF39E5" w:rsidRDefault="007D543F">
            <w:pPr>
              <w:spacing w:after="70"/>
            </w:pPr>
            <w:r>
              <w:rPr>
                <w:color w:val="1A1A2E"/>
              </w:rPr>
              <w:t>Zamawiający podtrzymuje wymaganie minimalnej wartości 753 punktów w teście SPECrate2017_int_base.</w:t>
            </w:r>
          </w:p>
          <w:p w14:paraId="44BB34EC" w14:textId="77777777" w:rsidR="00EF39E5" w:rsidRDefault="00EF39E5">
            <w:pPr>
              <w:spacing w:after="70"/>
            </w:pPr>
          </w:p>
          <w:p w14:paraId="5CEA0FE2" w14:textId="77777777" w:rsidR="00EF39E5" w:rsidRDefault="007D543F">
            <w:r>
              <w:rPr>
                <w:color w:val="1A1A2E"/>
              </w:rPr>
              <w:t xml:space="preserve">Oficjalne wyniki opublikowane na stronie spec.org dla procesora Intel Xeon 6737P (32 rdzenie) w konfiguracji 2-socket potwierdzają osiągnięcie progu 753 pkt na co najmniej trzech platformach różnych producentów (Dell PowerEdge R770: 755 pkt, HPE ProLiant DL360 Gen12: 753 pkt, Fujitsu PRIMERGY </w:t>
            </w:r>
            <w:r>
              <w:rPr>
                <w:color w:val="1A1A2E"/>
              </w:rPr>
              <w:lastRenderedPageBreak/>
              <w:t>RX2530 M8: 756 pkt). Wyniki poniżej 753 pkt wynikają z nieoptymalnych ustawień konfiguracyjnych, a nie z ograniczeń sprzętowych procesora.</w:t>
            </w:r>
          </w:p>
        </w:tc>
      </w:tr>
      <w:tr w:rsidR="00EF39E5" w14:paraId="27F2BDD7" w14:textId="77777777">
        <w:tc>
          <w:tcPr>
            <w:tcW w:w="13000" w:type="dxa"/>
            <w:gridSpan w:val="2"/>
            <w:tcBorders>
              <w:top w:val="single" w:sz="1" w:space="0" w:color="CCCCCC"/>
              <w:left w:val="single" w:sz="1" w:space="0" w:color="CCCCCC"/>
              <w:bottom w:val="single" w:sz="1" w:space="0" w:color="CCCCCC"/>
              <w:right w:val="single" w:sz="1" w:space="0" w:color="CCCCCC"/>
            </w:tcBorders>
            <w:shd w:val="clear" w:color="auto" w:fill="1F3864"/>
            <w:tcMar>
              <w:top w:w="90" w:type="dxa"/>
              <w:left w:w="180" w:type="dxa"/>
              <w:bottom w:w="90" w:type="dxa"/>
              <w:right w:w="180" w:type="dxa"/>
            </w:tcMar>
          </w:tcPr>
          <w:p w14:paraId="5EC43359" w14:textId="77777777" w:rsidR="00EF39E5" w:rsidRDefault="007D543F">
            <w:r>
              <w:rPr>
                <w:b/>
                <w:bCs/>
                <w:color w:val="FFFFFF"/>
                <w:sz w:val="20"/>
                <w:szCs w:val="20"/>
              </w:rPr>
              <w:lastRenderedPageBreak/>
              <w:t>SERWERY OBLICZENIOWE TYP A — wymaganie 1.18</w:t>
            </w:r>
          </w:p>
        </w:tc>
      </w:tr>
      <w:tr w:rsidR="00EF39E5" w14:paraId="6F091B69" w14:textId="77777777">
        <w:tc>
          <w:tcPr>
            <w:tcW w:w="6200" w:type="dxa"/>
            <w:tcBorders>
              <w:top w:val="single" w:sz="1" w:space="0" w:color="CCCCCC"/>
              <w:left w:val="single" w:sz="1" w:space="0" w:color="CCCCCC"/>
              <w:bottom w:val="single" w:sz="1" w:space="0" w:color="CCCCCC"/>
              <w:right w:val="single" w:sz="1" w:space="0" w:color="CCCCCC"/>
            </w:tcBorders>
            <w:shd w:val="clear" w:color="auto" w:fill="EEF4FB"/>
            <w:tcMar>
              <w:top w:w="110" w:type="dxa"/>
              <w:left w:w="180" w:type="dxa"/>
              <w:bottom w:w="110" w:type="dxa"/>
              <w:right w:w="180" w:type="dxa"/>
            </w:tcMar>
          </w:tcPr>
          <w:p w14:paraId="2669B926" w14:textId="77777777" w:rsidR="00EF39E5" w:rsidRDefault="007D543F">
            <w:pPr>
              <w:spacing w:after="70"/>
            </w:pPr>
            <w:r>
              <w:rPr>
                <w:b/>
                <w:bCs/>
                <w:color w:val="1A3A6A"/>
              </w:rPr>
              <w:t>Wymaganie 1.18</w:t>
            </w:r>
          </w:p>
          <w:p w14:paraId="40F0AAB1" w14:textId="77777777" w:rsidR="00EF39E5" w:rsidRDefault="00EF39E5">
            <w:pPr>
              <w:spacing w:after="70"/>
            </w:pPr>
          </w:p>
          <w:p w14:paraId="6BD11181" w14:textId="77777777" w:rsidR="00EF39E5" w:rsidRDefault="007D543F">
            <w:r>
              <w:rPr>
                <w:color w:val="1A1A2E"/>
              </w:rPr>
              <w:t>Czy Zamawiający dopuści rozwiązanie zapewniające zdalny monitoring poboru prądu w czasie rzeczywistym oraz dostęp do danych historycznych z ostatnich 24 godzin?</w:t>
            </w:r>
          </w:p>
        </w:tc>
        <w:tc>
          <w:tcPr>
            <w:tcW w:w="6800" w:type="dxa"/>
            <w:tcBorders>
              <w:top w:val="single" w:sz="1" w:space="0" w:color="CCCCCC"/>
              <w:left w:val="single" w:sz="1" w:space="0" w:color="CCCCCC"/>
              <w:bottom w:val="single" w:sz="1" w:space="0" w:color="CCCCCC"/>
              <w:right w:val="single" w:sz="1" w:space="0" w:color="CCCCCC"/>
            </w:tcBorders>
            <w:shd w:val="clear" w:color="auto" w:fill="FFFFFF"/>
            <w:tcMar>
              <w:top w:w="110" w:type="dxa"/>
              <w:left w:w="180" w:type="dxa"/>
              <w:bottom w:w="110" w:type="dxa"/>
              <w:right w:w="180" w:type="dxa"/>
            </w:tcMar>
          </w:tcPr>
          <w:p w14:paraId="1D200002" w14:textId="77777777" w:rsidR="007D543F" w:rsidRDefault="007D543F">
            <w:pPr>
              <w:spacing w:after="80"/>
              <w:rPr>
                <w:b/>
                <w:bCs/>
                <w:color w:val="C00000"/>
              </w:rPr>
            </w:pPr>
            <w:r>
              <w:rPr>
                <w:b/>
                <w:bCs/>
                <w:color w:val="C00000"/>
              </w:rPr>
              <w:t>Zamawiający podtrzymuje wymaganie.</w:t>
            </w:r>
          </w:p>
          <w:p w14:paraId="4E996D76" w14:textId="77777777" w:rsidR="00EF39E5" w:rsidRDefault="007D543F">
            <w:r>
              <w:rPr>
                <w:color w:val="1A1A2E"/>
              </w:rPr>
              <w:t>Zamawiający nie dopuszcza proponowanej zmiany. Podtrzymuje wymóg dostępu do danych historycznych poboru prądu z ostatnich minimum 7 dni. Wymóg ten wynika z potrzeb operacyjnych związanych z analizą anomalii energetycznych i jest spełniany przez co najmniej kilku producentów serwerów klasy enterprise dostępnych na rynku.</w:t>
            </w:r>
          </w:p>
        </w:tc>
      </w:tr>
      <w:tr w:rsidR="00EF39E5" w14:paraId="0E3E9488" w14:textId="77777777">
        <w:tc>
          <w:tcPr>
            <w:tcW w:w="6200" w:type="dxa"/>
            <w:tcBorders>
              <w:top w:val="single" w:sz="1" w:space="0" w:color="CCCCCC"/>
              <w:left w:val="single" w:sz="1" w:space="0" w:color="CCCCCC"/>
              <w:bottom w:val="single" w:sz="1" w:space="0" w:color="CCCCCC"/>
              <w:right w:val="single" w:sz="1" w:space="0" w:color="CCCCCC"/>
            </w:tcBorders>
            <w:shd w:val="clear" w:color="auto" w:fill="F5F7FA"/>
            <w:tcMar>
              <w:top w:w="110" w:type="dxa"/>
              <w:left w:w="180" w:type="dxa"/>
              <w:bottom w:w="110" w:type="dxa"/>
              <w:right w:w="180" w:type="dxa"/>
            </w:tcMar>
          </w:tcPr>
          <w:p w14:paraId="4B6D794A" w14:textId="77777777" w:rsidR="00EF39E5" w:rsidRDefault="007D543F">
            <w:pPr>
              <w:spacing w:after="70"/>
            </w:pPr>
            <w:r>
              <w:rPr>
                <w:b/>
                <w:bCs/>
                <w:color w:val="1A3A6A"/>
              </w:rPr>
              <w:t>Wymaganie 1.18</w:t>
            </w:r>
          </w:p>
          <w:p w14:paraId="41D2E652" w14:textId="77777777" w:rsidR="00EF39E5" w:rsidRDefault="00EF39E5">
            <w:pPr>
              <w:spacing w:after="70"/>
            </w:pPr>
          </w:p>
          <w:p w14:paraId="52DABAD8" w14:textId="77777777" w:rsidR="00EF39E5" w:rsidRDefault="007D543F">
            <w:r>
              <w:rPr>
                <w:color w:val="1A1A2E"/>
              </w:rPr>
              <w:t>Czy Zamawiający dopuści rozwiązanie równoważne do lokalnego dostępu przez frontowy USB-C do interfejsu karty zarządzającej (UI w przeglądarce, konsola CLI, API), polegające na użyciu dedykowanej aplikacji mobilnej (iOS/Android) podłączanej przewodowo do portu USB na froncie serwera, umożliwiającej przeglądanie alarmów/awarii, zmianę ustawień konfiguracyjnych oraz włączanie/wyłączanie serwera, bez potrzeby połączenia sieciowego?</w:t>
            </w:r>
          </w:p>
        </w:tc>
        <w:tc>
          <w:tcPr>
            <w:tcW w:w="6800" w:type="dxa"/>
            <w:tcBorders>
              <w:top w:val="single" w:sz="1" w:space="0" w:color="CCCCCC"/>
              <w:left w:val="single" w:sz="1" w:space="0" w:color="CCCCCC"/>
              <w:bottom w:val="single" w:sz="1" w:space="0" w:color="CCCCCC"/>
              <w:right w:val="single" w:sz="1" w:space="0" w:color="CCCCCC"/>
            </w:tcBorders>
            <w:shd w:val="clear" w:color="auto" w:fill="FFFFFF"/>
            <w:tcMar>
              <w:top w:w="110" w:type="dxa"/>
              <w:left w:w="180" w:type="dxa"/>
              <w:bottom w:w="110" w:type="dxa"/>
              <w:right w:w="180" w:type="dxa"/>
            </w:tcMar>
          </w:tcPr>
          <w:p w14:paraId="473B0B7C" w14:textId="77777777" w:rsidR="00E404B8" w:rsidRDefault="00E404B8" w:rsidP="00E404B8">
            <w:pPr>
              <w:spacing w:after="80"/>
              <w:rPr>
                <w:b/>
                <w:bCs/>
                <w:color w:val="1E7A45"/>
              </w:rPr>
            </w:pPr>
            <w:r>
              <w:rPr>
                <w:b/>
                <w:bCs/>
                <w:color w:val="1E7A45"/>
              </w:rPr>
              <w:t>Zamawiający przyjmuje wniosek.</w:t>
            </w:r>
          </w:p>
          <w:p w14:paraId="2C3ECF41" w14:textId="5EA25629" w:rsidR="00EF39E5" w:rsidRDefault="007D543F">
            <w:pPr>
              <w:spacing w:after="70"/>
            </w:pPr>
            <w:r>
              <w:rPr>
                <w:color w:val="1A1A2E"/>
              </w:rPr>
              <w:t>Zamawiający dopuszcza proponowane rozwiązani</w:t>
            </w:r>
            <w:r w:rsidR="00E404B8">
              <w:rPr>
                <w:color w:val="1A1A2E"/>
              </w:rPr>
              <w:t>e j</w:t>
            </w:r>
            <w:r>
              <w:rPr>
                <w:color w:val="1A1A2E"/>
              </w:rPr>
              <w:t xml:space="preserve">ako równoważne. </w:t>
            </w:r>
          </w:p>
          <w:p w14:paraId="00A1C1D7" w14:textId="77777777" w:rsidR="00EF39E5" w:rsidRDefault="00EF39E5">
            <w:pPr>
              <w:spacing w:after="70"/>
            </w:pPr>
          </w:p>
          <w:p w14:paraId="589604AF" w14:textId="07E94C2D" w:rsidR="00EF39E5" w:rsidRDefault="007D543F">
            <w:r>
              <w:rPr>
                <w:color w:val="1A1A2E"/>
              </w:rPr>
              <w:t xml:space="preserve">Jednocześnie Zamawiający informuje, że z treści wymagania 1.18 zostanie usunięte słowo „RACADM" i zastąpione określeniem „CLI karty zarządzającej lub API Redfish" w celu zachowania neutralności technologicznej. </w:t>
            </w:r>
          </w:p>
        </w:tc>
      </w:tr>
      <w:tr w:rsidR="00EF39E5" w14:paraId="577A221A" w14:textId="77777777">
        <w:tc>
          <w:tcPr>
            <w:tcW w:w="6200" w:type="dxa"/>
            <w:tcBorders>
              <w:top w:val="single" w:sz="1" w:space="0" w:color="CCCCCC"/>
              <w:left w:val="single" w:sz="1" w:space="0" w:color="CCCCCC"/>
              <w:bottom w:val="single" w:sz="1" w:space="0" w:color="CCCCCC"/>
              <w:right w:val="single" w:sz="1" w:space="0" w:color="CCCCCC"/>
            </w:tcBorders>
            <w:shd w:val="clear" w:color="auto" w:fill="EEF4FB"/>
            <w:tcMar>
              <w:top w:w="110" w:type="dxa"/>
              <w:left w:w="180" w:type="dxa"/>
              <w:bottom w:w="110" w:type="dxa"/>
              <w:right w:w="180" w:type="dxa"/>
            </w:tcMar>
          </w:tcPr>
          <w:p w14:paraId="11D4D404" w14:textId="77777777" w:rsidR="00EF39E5" w:rsidRDefault="007D543F">
            <w:pPr>
              <w:spacing w:after="70"/>
            </w:pPr>
            <w:r>
              <w:rPr>
                <w:b/>
                <w:bCs/>
                <w:color w:val="1A3A6A"/>
              </w:rPr>
              <w:t>Wymaganie 1.18</w:t>
            </w:r>
          </w:p>
          <w:p w14:paraId="2CD6502E" w14:textId="77777777" w:rsidR="00EF39E5" w:rsidRDefault="00EF39E5">
            <w:pPr>
              <w:spacing w:after="70"/>
            </w:pPr>
          </w:p>
          <w:p w14:paraId="34CECD6D" w14:textId="77777777" w:rsidR="00EF39E5" w:rsidRDefault="007D543F">
            <w:r>
              <w:rPr>
                <w:color w:val="1A1A2E"/>
              </w:rPr>
              <w:t>Wnosimy o usunięcie wymogu „automatycznego update firmware dla wszystkich komponentów serwera". Wymóg ten nie może być bezpiecznie zrealizowany przez żaden kontroler zarządzania BMC dostępny na rynku dla serwerów klasy enterprise, ponieważ aktualizacje firmware wymagają restartu serwera i wejścia w tryb serwisowy, co powoduje przerwę w dostępności usług. Nie wszystkie komponenty serwera obsługują mechanizm aktualizacji out-of-band, co czyni wymóg technicznie niemożliwym do spełnienia w zakresie „wszystkich komponentów". Ponadto branżowe standardy zarządzania zmianą (change management) wymagają testowania zgodności nowych wersji firmware ze środowiskiem produkcyjnym przed wdrożeniem, co wyklucza w pełni autonomiczny proces.</w:t>
            </w:r>
          </w:p>
        </w:tc>
        <w:tc>
          <w:tcPr>
            <w:tcW w:w="6800" w:type="dxa"/>
            <w:tcBorders>
              <w:top w:val="single" w:sz="1" w:space="0" w:color="CCCCCC"/>
              <w:left w:val="single" w:sz="1" w:space="0" w:color="CCCCCC"/>
              <w:bottom w:val="single" w:sz="1" w:space="0" w:color="CCCCCC"/>
              <w:right w:val="single" w:sz="1" w:space="0" w:color="CCCCCC"/>
            </w:tcBorders>
            <w:shd w:val="clear" w:color="auto" w:fill="FFFFFF"/>
            <w:tcMar>
              <w:top w:w="110" w:type="dxa"/>
              <w:left w:w="180" w:type="dxa"/>
              <w:bottom w:w="110" w:type="dxa"/>
              <w:right w:w="180" w:type="dxa"/>
            </w:tcMar>
          </w:tcPr>
          <w:p w14:paraId="1D200004" w14:textId="77777777" w:rsidR="007D543F" w:rsidRDefault="007D543F">
            <w:pPr>
              <w:spacing w:after="80"/>
              <w:rPr>
                <w:b/>
                <w:bCs/>
                <w:color w:val="1E7A45"/>
              </w:rPr>
            </w:pPr>
            <w:r>
              <w:rPr>
                <w:b/>
                <w:bCs/>
                <w:color w:val="1E7A45"/>
              </w:rPr>
              <w:t>Zamawiający przyjmuje wniosek.</w:t>
            </w:r>
          </w:p>
          <w:p w14:paraId="7CABAAD5" w14:textId="77777777" w:rsidR="00EF39E5" w:rsidRDefault="007D543F">
            <w:pPr>
              <w:spacing w:after="70"/>
            </w:pPr>
            <w:r>
              <w:rPr>
                <w:color w:val="1A1A2E"/>
              </w:rPr>
              <w:t>Zamawiający przyjmuje uwagę i uznaje, że sformułowanie wymagania było zbyt szerokie.</w:t>
            </w:r>
          </w:p>
          <w:p w14:paraId="60C59E38" w14:textId="77777777" w:rsidR="00EF39E5" w:rsidRDefault="00EF39E5">
            <w:pPr>
              <w:spacing w:after="70"/>
            </w:pPr>
          </w:p>
          <w:p w14:paraId="1853B977" w14:textId="77777777" w:rsidR="00EF39E5" w:rsidRDefault="007D543F">
            <w:pPr>
              <w:spacing w:after="70"/>
            </w:pPr>
            <w:r>
              <w:rPr>
                <w:color w:val="1A1A2E"/>
              </w:rPr>
              <w:t>Wymóg zostanie zmieniony na: „Możliwość zarządzania aktualizacjami firmware komponentów serwera z poziomu interfejsu karty zarządzającej (BMC), w tym planowanie terminów aktualizacji oraz przywracanie poprzednich wersji firmware."</w:t>
            </w:r>
          </w:p>
          <w:p w14:paraId="5EFECC04" w14:textId="77777777" w:rsidR="00EF39E5" w:rsidRDefault="00EF39E5">
            <w:pPr>
              <w:spacing w:after="70"/>
            </w:pPr>
          </w:p>
          <w:p w14:paraId="6FE5A1B9" w14:textId="1C1C19D0" w:rsidR="00EF39E5" w:rsidRDefault="00EF39E5"/>
        </w:tc>
      </w:tr>
      <w:tr w:rsidR="00EF39E5" w14:paraId="1596D147" w14:textId="77777777">
        <w:tc>
          <w:tcPr>
            <w:tcW w:w="6200" w:type="dxa"/>
            <w:tcBorders>
              <w:top w:val="single" w:sz="1" w:space="0" w:color="CCCCCC"/>
              <w:left w:val="single" w:sz="1" w:space="0" w:color="CCCCCC"/>
              <w:bottom w:val="single" w:sz="1" w:space="0" w:color="CCCCCC"/>
              <w:right w:val="single" w:sz="1" w:space="0" w:color="CCCCCC"/>
            </w:tcBorders>
            <w:shd w:val="clear" w:color="auto" w:fill="F5F7FA"/>
            <w:tcMar>
              <w:top w:w="110" w:type="dxa"/>
              <w:left w:w="180" w:type="dxa"/>
              <w:bottom w:w="110" w:type="dxa"/>
              <w:right w:w="180" w:type="dxa"/>
            </w:tcMar>
          </w:tcPr>
          <w:p w14:paraId="037B2EDE" w14:textId="77777777" w:rsidR="00EF39E5" w:rsidRDefault="007D543F">
            <w:pPr>
              <w:spacing w:after="70"/>
            </w:pPr>
            <w:r>
              <w:rPr>
                <w:b/>
                <w:bCs/>
                <w:color w:val="1A3A6A"/>
              </w:rPr>
              <w:t>Wymaganie 1.18 — propozycja przepisania całego punktu</w:t>
            </w:r>
          </w:p>
          <w:p w14:paraId="27C1B1F3" w14:textId="77777777" w:rsidR="00EF39E5" w:rsidRDefault="00EF39E5">
            <w:pPr>
              <w:spacing w:after="70"/>
            </w:pPr>
          </w:p>
          <w:p w14:paraId="4CD46CB3" w14:textId="77777777" w:rsidR="00EF39E5" w:rsidRDefault="007D543F">
            <w:r>
              <w:rPr>
                <w:color w:val="1A1A2E"/>
              </w:rPr>
              <w:lastRenderedPageBreak/>
              <w:t>Zamawiający bardzo dokładnie opisał funkcjonalności karty zarządzającej. Zapisy te jednoznacznie wskazują na jednego producenta. Aby zwiększyć konkurencyjność wnosimy o przepisanie pkt 1.18 w sposób technologicznie neutralny (bez nazw własnych producentów) — zgodnie z przesłaną propozycją listy funkcji.</w:t>
            </w:r>
          </w:p>
        </w:tc>
        <w:tc>
          <w:tcPr>
            <w:tcW w:w="6800" w:type="dxa"/>
            <w:tcBorders>
              <w:top w:val="single" w:sz="1" w:space="0" w:color="CCCCCC"/>
              <w:left w:val="single" w:sz="1" w:space="0" w:color="CCCCCC"/>
              <w:bottom w:val="single" w:sz="1" w:space="0" w:color="CCCCCC"/>
              <w:right w:val="single" w:sz="1" w:space="0" w:color="CCCCCC"/>
            </w:tcBorders>
            <w:shd w:val="clear" w:color="auto" w:fill="FFFFFF"/>
            <w:tcMar>
              <w:top w:w="110" w:type="dxa"/>
              <w:left w:w="180" w:type="dxa"/>
              <w:bottom w:w="110" w:type="dxa"/>
              <w:right w:w="180" w:type="dxa"/>
            </w:tcMar>
          </w:tcPr>
          <w:p w14:paraId="1D200005" w14:textId="77777777" w:rsidR="007D543F" w:rsidRDefault="007D543F">
            <w:pPr>
              <w:spacing w:after="80"/>
              <w:rPr>
                <w:b/>
                <w:bCs/>
                <w:color w:val="B8860B"/>
              </w:rPr>
            </w:pPr>
            <w:r>
              <w:rPr>
                <w:b/>
                <w:bCs/>
                <w:color w:val="B8860B"/>
              </w:rPr>
              <w:lastRenderedPageBreak/>
              <w:t>Zamawiający częściowo przyjmuje wniosek.</w:t>
            </w:r>
          </w:p>
          <w:p w14:paraId="0C5AFC6D" w14:textId="77777777" w:rsidR="00EF39E5" w:rsidRDefault="007D543F">
            <w:pPr>
              <w:spacing w:after="70"/>
            </w:pPr>
            <w:r>
              <w:rPr>
                <w:color w:val="1A1A2E"/>
              </w:rPr>
              <w:lastRenderedPageBreak/>
              <w:t>Zamawiający częściowo przyjmuje wniosek o nadanie wymaganiu 1.18 brzmienia technologicznie neutralnego, wolnego od nazw własnych konkretnych producentów.</w:t>
            </w:r>
          </w:p>
          <w:p w14:paraId="19929C92" w14:textId="77777777" w:rsidR="00EF39E5" w:rsidRDefault="00EF39E5">
            <w:pPr>
              <w:spacing w:after="70"/>
            </w:pPr>
          </w:p>
          <w:p w14:paraId="288D3EA5" w14:textId="77777777" w:rsidR="00EF39E5" w:rsidRDefault="007D543F">
            <w:pPr>
              <w:spacing w:after="70"/>
            </w:pPr>
            <w:r>
              <w:rPr>
                <w:color w:val="1A1A2E"/>
              </w:rPr>
              <w:t>Zamawiający podtrzymuje jednak następujące parametry:</w:t>
            </w:r>
          </w:p>
          <w:p w14:paraId="66F9513F" w14:textId="2F62B620" w:rsidR="00EF39E5" w:rsidRDefault="007D543F">
            <w:pPr>
              <w:spacing w:after="70"/>
            </w:pPr>
            <w:r>
              <w:rPr>
                <w:color w:val="1A1A2E"/>
              </w:rPr>
              <w:t>1. Dostęp do danych historycznych poboru prądu: minimum 7 dni wstecz.</w:t>
            </w:r>
          </w:p>
          <w:p w14:paraId="05AEC91D" w14:textId="5D3DBF49" w:rsidR="00EF39E5" w:rsidRDefault="00E404B8">
            <w:pPr>
              <w:spacing w:after="70"/>
            </w:pPr>
            <w:r>
              <w:rPr>
                <w:color w:val="1A1A2E"/>
              </w:rPr>
              <w:t>2</w:t>
            </w:r>
            <w:r w:rsidR="007D543F">
              <w:rPr>
                <w:color w:val="1A1A2E"/>
              </w:rPr>
              <w:t>. Uwierzytelnianie wieloskładnikowe: wymagane przy logowaniu do interfejsu karty zarządzającej.</w:t>
            </w:r>
          </w:p>
          <w:p w14:paraId="1D660E3E" w14:textId="77777777" w:rsidR="00EF39E5" w:rsidRDefault="00EF39E5">
            <w:pPr>
              <w:spacing w:after="70"/>
            </w:pPr>
          </w:p>
          <w:p w14:paraId="6F3D168B" w14:textId="50BB315F" w:rsidR="00EF39E5" w:rsidRDefault="007D543F">
            <w:r>
              <w:rPr>
                <w:color w:val="1A1A2E"/>
              </w:rPr>
              <w:t xml:space="preserve">Poza wskazanymi powyżej punktami Zamawiający przyjmuje zaproponowane, neutralne technologicznie sformułowania pozostałych funkcjonalności. </w:t>
            </w:r>
          </w:p>
        </w:tc>
      </w:tr>
      <w:tr w:rsidR="00AA2026" w14:paraId="10200018" w14:textId="77777777">
        <w:tc>
          <w:tcPr>
            <w:tcW w:w="6200" w:type="dxa"/>
            <w:tcBorders>
              <w:top w:val="single" w:sz="1" w:space="0" w:color="CCCCCC"/>
              <w:left w:val="single" w:sz="1" w:space="0" w:color="CCCCCC"/>
              <w:bottom w:val="single" w:sz="1" w:space="0" w:color="CCCCCC"/>
              <w:right w:val="single" w:sz="1" w:space="0" w:color="CCCCCC"/>
            </w:tcBorders>
            <w:shd w:val="clear" w:color="auto" w:fill="EEF4FB"/>
            <w:tcMar>
              <w:top w:w="110" w:type="dxa"/>
              <w:left w:w="180" w:type="dxa"/>
              <w:bottom w:w="110" w:type="dxa"/>
              <w:right w:w="180" w:type="dxa"/>
            </w:tcMar>
          </w:tcPr>
          <w:p w14:paraId="10200006" w14:textId="77777777" w:rsidR="007D543F" w:rsidRDefault="007D543F">
            <w:pPr>
              <w:spacing w:after="70"/>
            </w:pPr>
            <w:r>
              <w:rPr>
                <w:b/>
                <w:bCs/>
                <w:color w:val="1A3A6A"/>
              </w:rPr>
              <w:lastRenderedPageBreak/>
              <w:t>Wymaganie 1.18 — Zarządzanie OOB: propozycja kompleksowych zmian</w:t>
            </w:r>
          </w:p>
          <w:p w14:paraId="10200007" w14:textId="77777777" w:rsidR="007D543F" w:rsidRDefault="007D543F">
            <w:pPr>
              <w:spacing w:after="70"/>
            </w:pPr>
          </w:p>
          <w:p w14:paraId="10200008" w14:textId="77777777" w:rsidR="007D543F" w:rsidRDefault="007D543F">
            <w:pPr>
              <w:spacing w:after="70"/>
            </w:pPr>
            <w:r>
              <w:rPr>
                <w:color w:val="1A1A2E"/>
              </w:rPr>
              <w:t>Opis OPZ dopuszcza rozwiązania iDRAC, iLO lub równoważny, jednocześnie zawiera zapisy eliminujące rozwiązanie iLO. Wnosimy o następujące zmiany:</w:t>
            </w:r>
          </w:p>
          <w:p w14:paraId="10200009" w14:textId="77777777" w:rsidR="007D543F" w:rsidRDefault="007D543F">
            <w:pPr>
              <w:spacing w:after="70"/>
            </w:pPr>
            <w:r>
              <w:rPr>
                <w:color w:val="1A1A2E"/>
              </w:rPr>
              <w:t>i. Zmianę zapisu „pozwala na bezpośredni dostęp interfejsu karty zarządzającej (zarówno UI w przeglądarce, jak i konsolę RACADM czy API Redfish) bez potrzeby połączenia sieciowego” na „(zarówno UI w przeglądarce, jak i konsolę RACADM lub API Redfish lub RESTful API) bez potrzeby połączenia sieciowego”.</w:t>
            </w:r>
          </w:p>
          <w:p w14:paraId="1020000A" w14:textId="77777777" w:rsidR="007D543F" w:rsidRDefault="007D543F">
            <w:pPr>
              <w:spacing w:after="70"/>
            </w:pPr>
            <w:r>
              <w:rPr>
                <w:color w:val="1A1A2E"/>
              </w:rPr>
              <w:t>ii. Zmianę zapisu „Kontrola stanu BIOS pod kątem naruszenia integralności oprogramowania” na „Kontrola stanu firmware pod kątem naruszenia integralności oprogramowania”.</w:t>
            </w:r>
          </w:p>
          <w:p w14:paraId="1020000B" w14:textId="77777777" w:rsidR="007D543F" w:rsidRDefault="007D543F">
            <w:pPr>
              <w:spacing w:after="70"/>
            </w:pPr>
            <w:r>
              <w:rPr>
                <w:color w:val="1A1A2E"/>
              </w:rPr>
              <w:t>iii. Zmianę zapisu „Automatyczne odświeżanie certyfikatów SSL” na „Włączanie automatycznej rejestracji certyfikatów TLS”.</w:t>
            </w:r>
          </w:p>
          <w:p w14:paraId="1020000C" w14:textId="77777777" w:rsidR="007D543F" w:rsidRDefault="007D543F">
            <w:pPr>
              <w:spacing w:after="70"/>
            </w:pPr>
            <w:r>
              <w:rPr>
                <w:color w:val="1A1A2E"/>
              </w:rPr>
              <w:t>iv. Wykreślenie punktów: Możliwość monitorowania z jednej konsoli min. 100 serwerami fizycznymi; Automatyczne zgłaszanie alertów do centrum serwisowego producenta; Automatyczne update firmware dla wszystkich komponentów serwera; Możliwość eksportu/importu konfiguracji do XML lub JSON; Możliwość zaimportowania ustawień przez bezpośrednie podłączenie plików; Automatyczne tworzenie kopii ustawień serwera w oparciu o harmonogram; Możliwość modyfikacji reguł chłodzenia kart w slotach PCIe; Limit temperatury powietrza wychodzącego; Limit wzrostu temperatury powietrza przepływającego; Wysyłanie danych o stanie do zewnętrznych systemów; Dynamiczne włączanie/wyłączanie portów USB bez restartu.</w:t>
            </w:r>
          </w:p>
          <w:p w14:paraId="1020000D" w14:textId="77777777" w:rsidR="007D543F" w:rsidRDefault="007D543F">
            <w:pPr>
              <w:spacing w:after="70"/>
            </w:pPr>
            <w:r>
              <w:rPr>
                <w:color w:val="1A1A2E"/>
              </w:rPr>
              <w:t>Dodatkowo: Zmiana zapisu podpisywania firmware — usunięcie określenia „(code signing)” z zapisu.</w:t>
            </w:r>
          </w:p>
        </w:tc>
        <w:tc>
          <w:tcPr>
            <w:tcW w:w="6800" w:type="dxa"/>
            <w:tcBorders>
              <w:top w:val="single" w:sz="1" w:space="0" w:color="CCCCCC"/>
              <w:left w:val="single" w:sz="1" w:space="0" w:color="CCCCCC"/>
              <w:bottom w:val="single" w:sz="1" w:space="0" w:color="CCCCCC"/>
              <w:right w:val="single" w:sz="1" w:space="0" w:color="CCCCCC"/>
            </w:tcBorders>
            <w:shd w:val="clear" w:color="auto" w:fill="FFFFFF"/>
            <w:tcMar>
              <w:top w:w="110" w:type="dxa"/>
              <w:left w:w="180" w:type="dxa"/>
              <w:bottom w:w="110" w:type="dxa"/>
              <w:right w:w="180" w:type="dxa"/>
            </w:tcMar>
          </w:tcPr>
          <w:p w14:paraId="59215E1C" w14:textId="77777777" w:rsidR="00773754" w:rsidRDefault="007D543F">
            <w:pPr>
              <w:spacing w:after="80"/>
              <w:rPr>
                <w:color w:val="1A1A2E"/>
              </w:rPr>
            </w:pPr>
            <w:r w:rsidRPr="003A22C4">
              <w:rPr>
                <w:b/>
                <w:bCs/>
                <w:color w:val="3A7C22" w:themeColor="accent6" w:themeShade="BF"/>
              </w:rPr>
              <w:t>Zamawiający przyjmuje wniosek.</w:t>
            </w:r>
            <w:r w:rsidR="00773754">
              <w:rPr>
                <w:b/>
                <w:bCs/>
                <w:color w:val="3A7C22" w:themeColor="accent6" w:themeShade="BF"/>
              </w:rPr>
              <w:br/>
            </w:r>
            <w:r w:rsidR="00773754">
              <w:rPr>
                <w:b/>
                <w:bCs/>
                <w:color w:val="3A7C22" w:themeColor="accent6" w:themeShade="BF"/>
              </w:rPr>
              <w:br/>
            </w:r>
            <w:r w:rsidR="00773754" w:rsidRPr="00773754">
              <w:rPr>
                <w:color w:val="1A1A2E"/>
              </w:rPr>
              <w:t xml:space="preserve">Zamawiający przyjmuje wniosek. Zaakceptowane zmiany: </w:t>
            </w:r>
          </w:p>
          <w:p w14:paraId="38D5E0CC" w14:textId="0FEA40C5" w:rsidR="00773754" w:rsidRPr="00773754" w:rsidRDefault="00773754" w:rsidP="00773754">
            <w:r>
              <w:t>i.  D</w:t>
            </w:r>
            <w:r w:rsidRPr="00773754">
              <w:t>odano „lub RESTful API" do listy dopuszczalnych interfejsów;</w:t>
            </w:r>
          </w:p>
          <w:p w14:paraId="21113F11" w14:textId="54A3C383" w:rsidR="00773754" w:rsidRPr="00773754" w:rsidRDefault="00773754" w:rsidP="00773754">
            <w:pPr>
              <w:rPr>
                <w:b/>
                <w:bCs/>
                <w:color w:val="3A7C22" w:themeColor="accent6" w:themeShade="BF"/>
              </w:rPr>
            </w:pPr>
            <w:r w:rsidRPr="00773754">
              <w:t xml:space="preserve">ii. „BIOS" zmienione na „firmware"; </w:t>
            </w:r>
          </w:p>
          <w:p w14:paraId="68070C07" w14:textId="77777777" w:rsidR="00773754" w:rsidRPr="00773754" w:rsidRDefault="00773754" w:rsidP="00773754">
            <w:pPr>
              <w:rPr>
                <w:b/>
                <w:bCs/>
                <w:color w:val="3A7C22" w:themeColor="accent6" w:themeShade="BF"/>
              </w:rPr>
            </w:pPr>
            <w:r w:rsidRPr="00773754">
              <w:t xml:space="preserve">iii. „SSL" zmienione na „TLS"; </w:t>
            </w:r>
          </w:p>
          <w:p w14:paraId="1D200006" w14:textId="71656722" w:rsidR="007D543F" w:rsidRPr="00773754" w:rsidRDefault="00773754" w:rsidP="00773754">
            <w:pPr>
              <w:rPr>
                <w:b/>
                <w:bCs/>
                <w:color w:val="3A7C22" w:themeColor="accent6" w:themeShade="BF"/>
              </w:rPr>
            </w:pPr>
            <w:r w:rsidRPr="00773754">
              <w:t xml:space="preserve">iv. wykreślono podpunkty: monitorowanie 100 serwerów z jednej konsoli, automatyczne zgłaszanie alertów do centrum serwisowego, eksport/import konfiguracji do XML/JSON, import przez bezpośrednie podłączenie pliku, automatyczne kopie w harmonogramie, modyfikacja reguł chłodzenia PCIe, limit temperatury wychodzącego i przepływającego powietrza, wysyłanie danych telemetrycznych do zewnętrznych systemów, dynamiczne włączanie/wyłączanie portów USB bez restartu; usunięto „(code signing)" z zapisu podpisywania firmware. </w:t>
            </w:r>
          </w:p>
          <w:p w14:paraId="10200017" w14:textId="369E4CF4" w:rsidR="007D543F" w:rsidRDefault="007D543F">
            <w:pPr>
              <w:spacing w:after="70"/>
            </w:pPr>
          </w:p>
        </w:tc>
      </w:tr>
      <w:tr w:rsidR="00EF39E5" w14:paraId="2621467F" w14:textId="77777777">
        <w:tc>
          <w:tcPr>
            <w:tcW w:w="13000" w:type="dxa"/>
            <w:gridSpan w:val="2"/>
            <w:tcBorders>
              <w:top w:val="single" w:sz="1" w:space="0" w:color="CCCCCC"/>
              <w:left w:val="single" w:sz="1" w:space="0" w:color="CCCCCC"/>
              <w:bottom w:val="single" w:sz="1" w:space="0" w:color="CCCCCC"/>
              <w:right w:val="single" w:sz="1" w:space="0" w:color="CCCCCC"/>
            </w:tcBorders>
            <w:shd w:val="clear" w:color="auto" w:fill="1F3864"/>
            <w:tcMar>
              <w:top w:w="90" w:type="dxa"/>
              <w:left w:w="180" w:type="dxa"/>
              <w:bottom w:w="90" w:type="dxa"/>
              <w:right w:w="180" w:type="dxa"/>
            </w:tcMar>
          </w:tcPr>
          <w:p w14:paraId="55E75128" w14:textId="77777777" w:rsidR="00EF39E5" w:rsidRDefault="007D543F">
            <w:r>
              <w:rPr>
                <w:b/>
                <w:bCs/>
                <w:color w:val="FFFFFF"/>
                <w:sz w:val="20"/>
                <w:szCs w:val="20"/>
              </w:rPr>
              <w:lastRenderedPageBreak/>
              <w:t>SERWERY OBLICZENIOWE TYP A — wymaganie 1.21</w:t>
            </w:r>
          </w:p>
        </w:tc>
      </w:tr>
      <w:tr w:rsidR="00E94461" w14:paraId="1CAADD8E" w14:textId="77777777">
        <w:tc>
          <w:tcPr>
            <w:tcW w:w="6200" w:type="dxa"/>
            <w:tcBorders>
              <w:top w:val="single" w:sz="1" w:space="0" w:color="CCCCCC"/>
              <w:left w:val="single" w:sz="1" w:space="0" w:color="CCCCCC"/>
              <w:bottom w:val="single" w:sz="1" w:space="0" w:color="CCCCCC"/>
              <w:right w:val="single" w:sz="1" w:space="0" w:color="CCCCCC"/>
            </w:tcBorders>
            <w:shd w:val="clear" w:color="auto" w:fill="EEF4FB"/>
            <w:tcMar>
              <w:top w:w="110" w:type="dxa"/>
              <w:left w:w="180" w:type="dxa"/>
              <w:bottom w:w="110" w:type="dxa"/>
              <w:right w:w="180" w:type="dxa"/>
            </w:tcMar>
          </w:tcPr>
          <w:p w14:paraId="659A3D3E" w14:textId="77777777" w:rsidR="00E94461" w:rsidRDefault="00E94461" w:rsidP="00E94461">
            <w:pPr>
              <w:spacing w:after="70"/>
            </w:pPr>
            <w:r>
              <w:rPr>
                <w:b/>
                <w:bCs/>
                <w:color w:val="1A3A6A"/>
              </w:rPr>
              <w:t>Wymaganie 1.21</w:t>
            </w:r>
          </w:p>
          <w:p w14:paraId="692C5BD2" w14:textId="77777777" w:rsidR="00E94461" w:rsidRDefault="00E94461" w:rsidP="00E94461">
            <w:pPr>
              <w:spacing w:after="70"/>
            </w:pPr>
          </w:p>
          <w:p w14:paraId="65CB817F" w14:textId="77777777" w:rsidR="00E94461" w:rsidRDefault="00E94461" w:rsidP="00E94461">
            <w:r>
              <w:rPr>
                <w:color w:val="1A1A2E"/>
              </w:rPr>
              <w:t>Zamawiający wymaga „Możliwość dynamicznego włączania i wyłączania portów USB na obudowie – bez potrzeby restartu serwera". Powyższy zapis wskazuje tylko na jednego producenta. Zwracamy się o zmianę na: „Możliwość włączania i wyłączania portów USB na obudowie".</w:t>
            </w:r>
          </w:p>
        </w:tc>
        <w:tc>
          <w:tcPr>
            <w:tcW w:w="6800" w:type="dxa"/>
            <w:tcBorders>
              <w:top w:val="single" w:sz="1" w:space="0" w:color="CCCCCC"/>
              <w:left w:val="single" w:sz="1" w:space="0" w:color="CCCCCC"/>
              <w:bottom w:val="single" w:sz="1" w:space="0" w:color="CCCCCC"/>
              <w:right w:val="single" w:sz="1" w:space="0" w:color="CCCCCC"/>
            </w:tcBorders>
            <w:shd w:val="clear" w:color="auto" w:fill="FFFFFF"/>
            <w:tcMar>
              <w:top w:w="110" w:type="dxa"/>
              <w:left w:w="180" w:type="dxa"/>
              <w:bottom w:w="110" w:type="dxa"/>
              <w:right w:w="180" w:type="dxa"/>
            </w:tcMar>
          </w:tcPr>
          <w:p w14:paraId="4B33C8CA" w14:textId="5F27C286" w:rsidR="00E94461" w:rsidRDefault="00E94461" w:rsidP="00E94461">
            <w:r w:rsidRPr="002346D5">
              <w:rPr>
                <w:b/>
                <w:bCs/>
                <w:color w:val="3A7C22" w:themeColor="accent6" w:themeShade="BF"/>
              </w:rPr>
              <w:t>Zamawiający przyjmuje wniosek.</w:t>
            </w:r>
            <w:r>
              <w:rPr>
                <w:b/>
                <w:bCs/>
                <w:color w:val="3A7C22" w:themeColor="accent6" w:themeShade="BF"/>
              </w:rPr>
              <w:br/>
            </w:r>
            <w:r w:rsidR="00773754" w:rsidRPr="00773754">
              <w:t>Możliwość włączania i wyłączania portów USB na obudowie serwera.</w:t>
            </w:r>
          </w:p>
        </w:tc>
      </w:tr>
      <w:tr w:rsidR="00E94461" w14:paraId="10200005" w14:textId="77777777">
        <w:tc>
          <w:tcPr>
            <w:tcW w:w="6200" w:type="dxa"/>
            <w:tcBorders>
              <w:top w:val="single" w:sz="1" w:space="0" w:color="CCCCCC"/>
              <w:left w:val="single" w:sz="1" w:space="0" w:color="CCCCCC"/>
              <w:bottom w:val="single" w:sz="1" w:space="0" w:color="CCCCCC"/>
              <w:right w:val="single" w:sz="1" w:space="0" w:color="CCCCCC"/>
            </w:tcBorders>
            <w:shd w:val="clear" w:color="auto" w:fill="F5F7FA"/>
            <w:tcMar>
              <w:top w:w="110" w:type="dxa"/>
              <w:left w:w="180" w:type="dxa"/>
              <w:bottom w:w="110" w:type="dxa"/>
              <w:right w:w="180" w:type="dxa"/>
            </w:tcMar>
          </w:tcPr>
          <w:p w14:paraId="10200001" w14:textId="77777777" w:rsidR="00E94461" w:rsidRDefault="00E94461" w:rsidP="00E94461">
            <w:pPr>
              <w:spacing w:after="70"/>
            </w:pPr>
            <w:r>
              <w:rPr>
                <w:b/>
                <w:bCs/>
                <w:color w:val="1A3A6A"/>
              </w:rPr>
              <w:t>Wymaganie 1.21</w:t>
            </w:r>
          </w:p>
          <w:p w14:paraId="10200002" w14:textId="77777777" w:rsidR="00E94461" w:rsidRDefault="00E94461" w:rsidP="00E94461">
            <w:pPr>
              <w:spacing w:after="70"/>
            </w:pPr>
          </w:p>
          <w:p w14:paraId="10200003" w14:textId="77777777" w:rsidR="00E94461" w:rsidRDefault="00E94461" w:rsidP="00E94461">
            <w:pPr>
              <w:spacing w:after="70"/>
            </w:pPr>
            <w:r>
              <w:rPr>
                <w:color w:val="1A1A2E"/>
              </w:rPr>
              <w:t>W OPZ wskazano wymaganie: „Możliwość dynamicznego włączania i wyłączania portów USB na obudowie – bez potrzeby restartu serwera”. Prosimy o zmianę powyższego wymagania i dopuszczenie rozwiązania, w którym zmiana stanu działania portów USB na obudowie może wymagać restartu serwera.</w:t>
            </w:r>
          </w:p>
        </w:tc>
        <w:tc>
          <w:tcPr>
            <w:tcW w:w="6800" w:type="dxa"/>
            <w:tcBorders>
              <w:top w:val="single" w:sz="1" w:space="0" w:color="CCCCCC"/>
              <w:left w:val="single" w:sz="1" w:space="0" w:color="CCCCCC"/>
              <w:bottom w:val="single" w:sz="1" w:space="0" w:color="CCCCCC"/>
              <w:right w:val="single" w:sz="1" w:space="0" w:color="CCCCCC"/>
            </w:tcBorders>
            <w:shd w:val="clear" w:color="auto" w:fill="FFFFFF"/>
            <w:tcMar>
              <w:top w:w="110" w:type="dxa"/>
              <w:left w:w="180" w:type="dxa"/>
              <w:bottom w:w="110" w:type="dxa"/>
              <w:right w:w="180" w:type="dxa"/>
            </w:tcMar>
          </w:tcPr>
          <w:p w14:paraId="10200004" w14:textId="4ED0F6FA" w:rsidR="00E94461" w:rsidRDefault="00E94461" w:rsidP="00E94461">
            <w:pPr>
              <w:spacing w:after="70"/>
            </w:pPr>
            <w:r w:rsidRPr="002346D5">
              <w:rPr>
                <w:b/>
                <w:bCs/>
                <w:color w:val="3A7C22" w:themeColor="accent6" w:themeShade="BF"/>
              </w:rPr>
              <w:t>Zamawiający przyjmuje wniosek.</w:t>
            </w:r>
            <w:r w:rsidR="00773754">
              <w:rPr>
                <w:b/>
                <w:bCs/>
                <w:color w:val="3A7C22" w:themeColor="accent6" w:themeShade="BF"/>
              </w:rPr>
              <w:br/>
            </w:r>
            <w:r w:rsidR="00773754" w:rsidRPr="00773754">
              <w:t>Możliwość włączania i wyłączania portów USB na obudowie serwera.</w:t>
            </w:r>
          </w:p>
        </w:tc>
      </w:tr>
      <w:tr w:rsidR="00EF39E5" w14:paraId="0B7E510D" w14:textId="77777777">
        <w:tc>
          <w:tcPr>
            <w:tcW w:w="13000" w:type="dxa"/>
            <w:gridSpan w:val="2"/>
            <w:tcBorders>
              <w:top w:val="single" w:sz="1" w:space="0" w:color="CCCCCC"/>
              <w:left w:val="single" w:sz="1" w:space="0" w:color="CCCCCC"/>
              <w:bottom w:val="single" w:sz="1" w:space="0" w:color="CCCCCC"/>
              <w:right w:val="single" w:sz="1" w:space="0" w:color="CCCCCC"/>
            </w:tcBorders>
            <w:shd w:val="clear" w:color="auto" w:fill="1F3864"/>
            <w:tcMar>
              <w:top w:w="90" w:type="dxa"/>
              <w:left w:w="180" w:type="dxa"/>
              <w:bottom w:w="90" w:type="dxa"/>
              <w:right w:w="180" w:type="dxa"/>
            </w:tcMar>
          </w:tcPr>
          <w:p w14:paraId="620240D7" w14:textId="77777777" w:rsidR="00EF39E5" w:rsidRDefault="007D543F">
            <w:r>
              <w:rPr>
                <w:b/>
                <w:bCs/>
                <w:color w:val="FFFFFF"/>
                <w:sz w:val="20"/>
                <w:szCs w:val="20"/>
              </w:rPr>
              <w:t>SERWERY OBLICZENIOWE TYP A — wymaganie 1.22</w:t>
            </w:r>
          </w:p>
        </w:tc>
      </w:tr>
      <w:tr w:rsidR="00EF39E5" w14:paraId="052C673F" w14:textId="77777777">
        <w:tc>
          <w:tcPr>
            <w:tcW w:w="6200" w:type="dxa"/>
            <w:tcBorders>
              <w:top w:val="single" w:sz="1" w:space="0" w:color="CCCCCC"/>
              <w:left w:val="single" w:sz="1" w:space="0" w:color="CCCCCC"/>
              <w:bottom w:val="single" w:sz="1" w:space="0" w:color="CCCCCC"/>
              <w:right w:val="single" w:sz="1" w:space="0" w:color="CCCCCC"/>
            </w:tcBorders>
            <w:shd w:val="clear" w:color="auto" w:fill="F5F7FA"/>
            <w:tcMar>
              <w:top w:w="110" w:type="dxa"/>
              <w:left w:w="180" w:type="dxa"/>
              <w:bottom w:w="110" w:type="dxa"/>
              <w:right w:w="180" w:type="dxa"/>
            </w:tcMar>
          </w:tcPr>
          <w:p w14:paraId="07F80424" w14:textId="77777777" w:rsidR="00EF39E5" w:rsidRDefault="007D543F">
            <w:pPr>
              <w:spacing w:after="70"/>
            </w:pPr>
            <w:r>
              <w:rPr>
                <w:b/>
                <w:bCs/>
                <w:color w:val="1A3A6A"/>
              </w:rPr>
              <w:t>Wymaganie 1.22</w:t>
            </w:r>
          </w:p>
          <w:p w14:paraId="50C39731" w14:textId="77777777" w:rsidR="00EF39E5" w:rsidRDefault="00EF39E5">
            <w:pPr>
              <w:spacing w:after="70"/>
            </w:pPr>
          </w:p>
          <w:p w14:paraId="7A8C22E4" w14:textId="77777777" w:rsidR="00EF39E5" w:rsidRDefault="007D543F">
            <w:r>
              <w:rPr>
                <w:color w:val="1A1A2E"/>
              </w:rPr>
              <w:t>W opisie wymagań wskazano konieczność posiadania certyfikatu co najmniej EPEAT Silver według normy wprowadzonej w 2019 roku. Zwracamy uwagę, że wymóg ten ogranicza możliwość zaoferowania produktów posiadających certyfikat EPEAT Bronze, mimo że również spełniają one istotne kryteria środowiskowe. Czy Zamawiający rozważy dopuszczenie produktów z certyfikatem EPEAT Bronze lub równoważnym potwierdzeniem spełnienia norm środowiskowych?</w:t>
            </w:r>
          </w:p>
        </w:tc>
        <w:tc>
          <w:tcPr>
            <w:tcW w:w="6800" w:type="dxa"/>
            <w:tcBorders>
              <w:top w:val="single" w:sz="1" w:space="0" w:color="CCCCCC"/>
              <w:left w:val="single" w:sz="1" w:space="0" w:color="CCCCCC"/>
              <w:bottom w:val="single" w:sz="1" w:space="0" w:color="CCCCCC"/>
              <w:right w:val="single" w:sz="1" w:space="0" w:color="CCCCCC"/>
            </w:tcBorders>
            <w:shd w:val="clear" w:color="auto" w:fill="FFFFFF"/>
            <w:tcMar>
              <w:top w:w="110" w:type="dxa"/>
              <w:left w:w="180" w:type="dxa"/>
              <w:bottom w:w="110" w:type="dxa"/>
              <w:right w:w="180" w:type="dxa"/>
            </w:tcMar>
          </w:tcPr>
          <w:p w14:paraId="6D237AD6" w14:textId="43C447F8" w:rsidR="00EF39E5" w:rsidRDefault="00E94461">
            <w:r w:rsidRPr="002346D5">
              <w:rPr>
                <w:b/>
                <w:bCs/>
                <w:color w:val="3A7C22" w:themeColor="accent6" w:themeShade="BF"/>
              </w:rPr>
              <w:t>Zamawiający przyjmuje wniosek.</w:t>
            </w:r>
            <w:r w:rsidR="00773754">
              <w:rPr>
                <w:b/>
                <w:bCs/>
                <w:color w:val="3A7C22" w:themeColor="accent6" w:themeShade="BF"/>
              </w:rPr>
              <w:br/>
            </w:r>
            <w:r w:rsidR="00773754" w:rsidRPr="00773754">
              <w:t xml:space="preserve">Zamawiający dopuszcza produkty posiadające certyfikat EPEAT Bronze lub wyższy (Silver, Gold). Potwierdzenie w postaci wydruku ze strony </w:t>
            </w:r>
            <w:hyperlink r:id="rId8" w:history="1">
              <w:r w:rsidR="00773754" w:rsidRPr="00773754">
                <w:rPr>
                  <w:rStyle w:val="Hipercze"/>
                </w:rPr>
                <w:t>www.epeat.net</w:t>
              </w:r>
            </w:hyperlink>
            <w:r w:rsidR="00773754" w:rsidRPr="00773754">
              <w:t xml:space="preserve"> pozostaje wymaganym dokumentem ofertowym.</w:t>
            </w:r>
          </w:p>
        </w:tc>
      </w:tr>
      <w:tr w:rsidR="00EF39E5" w14:paraId="6B23C2F0" w14:textId="77777777">
        <w:tc>
          <w:tcPr>
            <w:tcW w:w="13000" w:type="dxa"/>
            <w:gridSpan w:val="2"/>
            <w:tcBorders>
              <w:top w:val="single" w:sz="1" w:space="0" w:color="CCCCCC"/>
              <w:left w:val="single" w:sz="1" w:space="0" w:color="CCCCCC"/>
              <w:bottom w:val="single" w:sz="1" w:space="0" w:color="CCCCCC"/>
              <w:right w:val="single" w:sz="1" w:space="0" w:color="CCCCCC"/>
            </w:tcBorders>
            <w:shd w:val="clear" w:color="auto" w:fill="1F3864"/>
            <w:tcMar>
              <w:top w:w="90" w:type="dxa"/>
              <w:left w:w="180" w:type="dxa"/>
              <w:bottom w:w="90" w:type="dxa"/>
              <w:right w:w="180" w:type="dxa"/>
            </w:tcMar>
          </w:tcPr>
          <w:p w14:paraId="138186F9" w14:textId="77777777" w:rsidR="00EF39E5" w:rsidRDefault="007D543F">
            <w:r>
              <w:rPr>
                <w:b/>
                <w:bCs/>
                <w:color w:val="FFFFFF"/>
                <w:sz w:val="20"/>
                <w:szCs w:val="20"/>
              </w:rPr>
              <w:t>SERWERY TYP A i B — wymaganie 1.27 i 2.21</w:t>
            </w:r>
          </w:p>
        </w:tc>
      </w:tr>
      <w:tr w:rsidR="00EF39E5" w14:paraId="3D931F76" w14:textId="77777777">
        <w:tc>
          <w:tcPr>
            <w:tcW w:w="6200" w:type="dxa"/>
            <w:tcBorders>
              <w:top w:val="single" w:sz="1" w:space="0" w:color="CCCCCC"/>
              <w:left w:val="single" w:sz="1" w:space="0" w:color="CCCCCC"/>
              <w:bottom w:val="single" w:sz="1" w:space="0" w:color="CCCCCC"/>
              <w:right w:val="single" w:sz="1" w:space="0" w:color="CCCCCC"/>
            </w:tcBorders>
            <w:shd w:val="clear" w:color="auto" w:fill="EEF4FB"/>
            <w:tcMar>
              <w:top w:w="110" w:type="dxa"/>
              <w:left w:w="180" w:type="dxa"/>
              <w:bottom w:w="110" w:type="dxa"/>
              <w:right w:w="180" w:type="dxa"/>
            </w:tcMar>
          </w:tcPr>
          <w:p w14:paraId="55FA7223" w14:textId="77777777" w:rsidR="00EF39E5" w:rsidRDefault="007D543F">
            <w:pPr>
              <w:spacing w:after="70"/>
            </w:pPr>
            <w:r>
              <w:rPr>
                <w:color w:val="1A1A2E"/>
              </w:rPr>
              <w:t>Wymagania 1.27 i 2.21</w:t>
            </w:r>
          </w:p>
          <w:p w14:paraId="03F999C9" w14:textId="77777777" w:rsidR="00EF39E5" w:rsidRDefault="00EF39E5">
            <w:pPr>
              <w:spacing w:after="70"/>
            </w:pPr>
          </w:p>
          <w:p w14:paraId="198D6B2B" w14:textId="77777777" w:rsidR="00EF39E5" w:rsidRDefault="007D543F">
            <w:r>
              <w:rPr>
                <w:color w:val="1A1A2E"/>
              </w:rPr>
              <w:t xml:space="preserve">W opisie wskazano wymaganie dotyczące możliwości pobierania uaktualnień mikrokodu oraz sterowników nawet po wygaśnięciu gwarancji systemu. Zwracamy uwagę, że wykonywanie takich aktualizacji po zakończeniu okresu gwarancyjnego może wiązać się z ryzykiem nieprawidłowego działania lub trwałego uszkodzenia sprzętu, a producent w takiej sytuacji nie ponosi odpowiedzialności za wynikłe szkody. Czy Zamawiający rozważy zmianę tego zapisu, tak aby możliwość pobierania i instalowania uaktualnień mikrokodu oraz </w:t>
            </w:r>
            <w:r>
              <w:rPr>
                <w:color w:val="1A1A2E"/>
              </w:rPr>
              <w:lastRenderedPageBreak/>
              <w:t>sterowników była wymagana jedynie w okresie aktywnej gwarancji sprzętu?</w:t>
            </w:r>
          </w:p>
        </w:tc>
        <w:tc>
          <w:tcPr>
            <w:tcW w:w="6800" w:type="dxa"/>
            <w:tcBorders>
              <w:top w:val="single" w:sz="1" w:space="0" w:color="CCCCCC"/>
              <w:left w:val="single" w:sz="1" w:space="0" w:color="CCCCCC"/>
              <w:bottom w:val="single" w:sz="1" w:space="0" w:color="CCCCCC"/>
              <w:right w:val="single" w:sz="1" w:space="0" w:color="CCCCCC"/>
            </w:tcBorders>
            <w:shd w:val="clear" w:color="auto" w:fill="FFFFFF"/>
            <w:tcMar>
              <w:top w:w="110" w:type="dxa"/>
              <w:left w:w="180" w:type="dxa"/>
              <w:bottom w:w="110" w:type="dxa"/>
              <w:right w:w="180" w:type="dxa"/>
            </w:tcMar>
          </w:tcPr>
          <w:p w14:paraId="1D20000A" w14:textId="77777777" w:rsidR="007D543F" w:rsidRDefault="007D543F">
            <w:pPr>
              <w:spacing w:after="80"/>
              <w:rPr>
                <w:b/>
                <w:bCs/>
                <w:color w:val="1E7A45"/>
              </w:rPr>
            </w:pPr>
            <w:r>
              <w:rPr>
                <w:b/>
                <w:bCs/>
                <w:color w:val="1E7A45"/>
              </w:rPr>
              <w:lastRenderedPageBreak/>
              <w:t>Zamawiający przyjmuje wniosek.</w:t>
            </w:r>
          </w:p>
          <w:p w14:paraId="61551E78" w14:textId="77777777" w:rsidR="00EF39E5" w:rsidRDefault="007D543F">
            <w:pPr>
              <w:spacing w:after="70"/>
            </w:pPr>
            <w:r>
              <w:rPr>
                <w:color w:val="1A1A2E"/>
              </w:rPr>
              <w:t>Zamawiający przyjmuje uwagę. Wymaganie zostanie zmienione na: „Możliwość pobierania i instalowania uaktualnień mikrokodu oraz sterowników przez cały okres aktywnej gwarancji urządzenia."</w:t>
            </w:r>
          </w:p>
          <w:p w14:paraId="197ED73C" w14:textId="77777777" w:rsidR="00EF39E5" w:rsidRDefault="00EF39E5">
            <w:pPr>
              <w:spacing w:after="70"/>
            </w:pPr>
          </w:p>
          <w:p w14:paraId="3213D304" w14:textId="7D1714A1" w:rsidR="00EF39E5" w:rsidRDefault="007D543F">
            <w:r>
              <w:rPr>
                <w:color w:val="1A1A2E"/>
              </w:rPr>
              <w:t xml:space="preserve">Zmiana dotyczy wymagań 1.27 i 2.21 (serwery) oraz analogicznie 3.42, 4.32 i 6.23 (macierze i biblioteki). </w:t>
            </w:r>
          </w:p>
        </w:tc>
      </w:tr>
      <w:tr w:rsidR="00EF39E5" w14:paraId="16AD1B38" w14:textId="77777777">
        <w:tc>
          <w:tcPr>
            <w:tcW w:w="13000" w:type="dxa"/>
            <w:gridSpan w:val="2"/>
            <w:tcBorders>
              <w:top w:val="single" w:sz="1" w:space="0" w:color="CCCCCC"/>
              <w:left w:val="single" w:sz="1" w:space="0" w:color="CCCCCC"/>
              <w:bottom w:val="single" w:sz="1" w:space="0" w:color="CCCCCC"/>
              <w:right w:val="single" w:sz="1" w:space="0" w:color="CCCCCC"/>
            </w:tcBorders>
            <w:shd w:val="clear" w:color="auto" w:fill="1F3864"/>
            <w:tcMar>
              <w:top w:w="90" w:type="dxa"/>
              <w:left w:w="180" w:type="dxa"/>
              <w:bottom w:w="90" w:type="dxa"/>
              <w:right w:w="180" w:type="dxa"/>
            </w:tcMar>
          </w:tcPr>
          <w:p w14:paraId="502AD7FE" w14:textId="77777777" w:rsidR="00EF39E5" w:rsidRDefault="007D543F">
            <w:r>
              <w:rPr>
                <w:b/>
                <w:bCs/>
                <w:color w:val="FFFFFF"/>
                <w:sz w:val="20"/>
                <w:szCs w:val="20"/>
              </w:rPr>
              <w:t>SERWER TYP B — wymaganie 2.5 oraz procesor (1.3/2.3)</w:t>
            </w:r>
          </w:p>
        </w:tc>
      </w:tr>
      <w:tr w:rsidR="00EF39E5" w14:paraId="2FD81641" w14:textId="77777777">
        <w:tc>
          <w:tcPr>
            <w:tcW w:w="6200" w:type="dxa"/>
            <w:tcBorders>
              <w:top w:val="single" w:sz="1" w:space="0" w:color="CCCCCC"/>
              <w:left w:val="single" w:sz="1" w:space="0" w:color="CCCCCC"/>
              <w:bottom w:val="single" w:sz="1" w:space="0" w:color="CCCCCC"/>
              <w:right w:val="single" w:sz="1" w:space="0" w:color="CCCCCC"/>
            </w:tcBorders>
            <w:shd w:val="clear" w:color="auto" w:fill="F5F7FA"/>
            <w:tcMar>
              <w:top w:w="110" w:type="dxa"/>
              <w:left w:w="180" w:type="dxa"/>
              <w:bottom w:w="110" w:type="dxa"/>
              <w:right w:w="180" w:type="dxa"/>
            </w:tcMar>
          </w:tcPr>
          <w:p w14:paraId="09F9F50F" w14:textId="77777777" w:rsidR="00EF39E5" w:rsidRDefault="007D543F">
            <w:pPr>
              <w:spacing w:after="70"/>
            </w:pPr>
            <w:r>
              <w:rPr>
                <w:b/>
                <w:bCs/>
                <w:color w:val="1A3A6A"/>
              </w:rPr>
              <w:t>Wymaganie 2.5</w:t>
            </w:r>
          </w:p>
          <w:p w14:paraId="553AFF63" w14:textId="77777777" w:rsidR="00EF39E5" w:rsidRDefault="00EF39E5">
            <w:pPr>
              <w:spacing w:after="70"/>
            </w:pPr>
          </w:p>
          <w:p w14:paraId="536468FB" w14:textId="77777777" w:rsidR="00EF39E5" w:rsidRDefault="007D543F">
            <w:r>
              <w:rPr>
                <w:color w:val="1A1A2E"/>
              </w:rPr>
              <w:t>Zwracamy się uprzejmie o zmianę wymagania z 753 punktów na 749 punkty — analogiczne uzasadnienie jak dla wymagania 1.5.</w:t>
            </w:r>
          </w:p>
        </w:tc>
        <w:tc>
          <w:tcPr>
            <w:tcW w:w="6800" w:type="dxa"/>
            <w:tcBorders>
              <w:top w:val="single" w:sz="1" w:space="0" w:color="CCCCCC"/>
              <w:left w:val="single" w:sz="1" w:space="0" w:color="CCCCCC"/>
              <w:bottom w:val="single" w:sz="1" w:space="0" w:color="CCCCCC"/>
              <w:right w:val="single" w:sz="1" w:space="0" w:color="CCCCCC"/>
            </w:tcBorders>
            <w:shd w:val="clear" w:color="auto" w:fill="FFFFFF"/>
            <w:tcMar>
              <w:top w:w="110" w:type="dxa"/>
              <w:left w:w="180" w:type="dxa"/>
              <w:bottom w:w="110" w:type="dxa"/>
              <w:right w:w="180" w:type="dxa"/>
            </w:tcMar>
          </w:tcPr>
          <w:p w14:paraId="1D20000B" w14:textId="77777777" w:rsidR="007D543F" w:rsidRDefault="007D543F">
            <w:pPr>
              <w:spacing w:after="80"/>
              <w:rPr>
                <w:b/>
                <w:bCs/>
                <w:color w:val="C00000"/>
              </w:rPr>
            </w:pPr>
            <w:r>
              <w:rPr>
                <w:b/>
                <w:bCs/>
                <w:color w:val="C00000"/>
              </w:rPr>
              <w:t>Zamawiający podtrzymuje wymaganie.</w:t>
            </w:r>
          </w:p>
          <w:p w14:paraId="4E1C543A" w14:textId="77777777" w:rsidR="00EF39E5" w:rsidRDefault="007D543F">
            <w:r>
              <w:rPr>
                <w:color w:val="1A1A2E"/>
              </w:rPr>
              <w:t>Zamawiający podtrzymuje wymaganie 753 pkt. Odpowiedź jest tożsama z odpowiedzią na wymaganie 1.5. Oficjalne wyniki na spec.org dla Intel Xeon 6737P w konfiguracji 2-socket potwierdzają osiągalność progu 753 pkt na co najmniej 3 platformach różnych producentów.</w:t>
            </w:r>
          </w:p>
        </w:tc>
      </w:tr>
      <w:tr w:rsidR="00AA2026" w14:paraId="10200021" w14:textId="77777777">
        <w:tc>
          <w:tcPr>
            <w:tcW w:w="6200" w:type="dxa"/>
            <w:tcBorders>
              <w:top w:val="single" w:sz="1" w:space="0" w:color="CCCCCC"/>
              <w:left w:val="single" w:sz="1" w:space="0" w:color="CCCCCC"/>
              <w:bottom w:val="single" w:sz="1" w:space="0" w:color="CCCCCC"/>
              <w:right w:val="single" w:sz="1" w:space="0" w:color="CCCCCC"/>
            </w:tcBorders>
            <w:shd w:val="clear" w:color="auto" w:fill="F5F7FA"/>
            <w:tcMar>
              <w:top w:w="110" w:type="dxa"/>
              <w:left w:w="180" w:type="dxa"/>
              <w:bottom w:w="110" w:type="dxa"/>
              <w:right w:w="180" w:type="dxa"/>
            </w:tcMar>
          </w:tcPr>
          <w:p w14:paraId="10200019" w14:textId="77777777" w:rsidR="007D543F" w:rsidRDefault="007D543F">
            <w:pPr>
              <w:spacing w:after="70"/>
            </w:pPr>
            <w:r>
              <w:rPr>
                <w:b/>
                <w:bCs/>
                <w:color w:val="1A3A6A"/>
              </w:rPr>
              <w:t>Serwer Typ B — Arbiter: pamięć RAM</w:t>
            </w:r>
          </w:p>
          <w:p w14:paraId="1020001A" w14:textId="77777777" w:rsidR="007D543F" w:rsidRDefault="007D543F">
            <w:pPr>
              <w:spacing w:after="70"/>
            </w:pPr>
          </w:p>
          <w:p w14:paraId="1020001B" w14:textId="77777777" w:rsidR="007D543F" w:rsidRDefault="007D543F">
            <w:pPr>
              <w:spacing w:after="70"/>
            </w:pPr>
            <w:r>
              <w:rPr>
                <w:color w:val="1A1A2E"/>
              </w:rPr>
              <w:t>W OPZ wskazano wymaganie: „Pamięć RAM pojemność 128 GB DDR5 ECC”, a jednocześnie zapis: „Liczba modułów DDR5 na procesor: 8. Obsadzenie zgodne z zaleceniami producenta procesora”. Prosimy o doprecyzowanie, czy Zamawiający wymaga łącznie 128 GB RAM zainstalowanych w serwerze, czy też 16 modułów o pojemności 128 GB każdy.</w:t>
            </w:r>
          </w:p>
          <w:p w14:paraId="1020001C" w14:textId="77777777" w:rsidR="007D543F" w:rsidRDefault="007D543F">
            <w:pPr>
              <w:spacing w:after="70"/>
            </w:pPr>
          </w:p>
          <w:p w14:paraId="1020001D" w14:textId="77777777" w:rsidR="007D543F" w:rsidRDefault="007D543F">
            <w:pPr>
              <w:spacing w:after="70"/>
            </w:pPr>
            <w:r>
              <w:rPr>
                <w:color w:val="1A1A2E"/>
              </w:rPr>
              <w:t>Jednocześnie wnosimy o zmianę konfiguracji pamięci RAM — moduły 8 GB i 16 GB nie są dostępne w konfiguracji producenta i zostały zastąpione modułami o wyższej pojemności. Z uwagi na problemy z dostępnością modułów 128 GB czas dostawy jest znacznie wydłużony. Zalecamy stosowanie modułów 32 GB lub 64 GB.</w:t>
            </w:r>
          </w:p>
        </w:tc>
        <w:tc>
          <w:tcPr>
            <w:tcW w:w="6800" w:type="dxa"/>
            <w:tcBorders>
              <w:top w:val="single" w:sz="1" w:space="0" w:color="CCCCCC"/>
              <w:left w:val="single" w:sz="1" w:space="0" w:color="CCCCCC"/>
              <w:bottom w:val="single" w:sz="1" w:space="0" w:color="CCCCCC"/>
              <w:right w:val="single" w:sz="1" w:space="0" w:color="CCCCCC"/>
            </w:tcBorders>
            <w:shd w:val="clear" w:color="auto" w:fill="FFFFFF"/>
            <w:tcMar>
              <w:top w:w="110" w:type="dxa"/>
              <w:left w:w="180" w:type="dxa"/>
              <w:bottom w:w="110" w:type="dxa"/>
              <w:right w:w="180" w:type="dxa"/>
            </w:tcMar>
          </w:tcPr>
          <w:p w14:paraId="1D20000D" w14:textId="77777777" w:rsidR="007D543F" w:rsidRDefault="007D543F">
            <w:pPr>
              <w:spacing w:after="80"/>
              <w:rPr>
                <w:b/>
                <w:bCs/>
                <w:color w:val="1E7A45"/>
              </w:rPr>
            </w:pPr>
            <w:r>
              <w:rPr>
                <w:b/>
                <w:bCs/>
                <w:color w:val="1E7A45"/>
              </w:rPr>
              <w:t>Zamawiający przyjmuje wniosek.</w:t>
            </w:r>
          </w:p>
          <w:p w14:paraId="1020001E" w14:textId="77777777" w:rsidR="007D543F" w:rsidRDefault="007D543F">
            <w:pPr>
              <w:spacing w:after="70"/>
            </w:pPr>
            <w:r>
              <w:rPr>
                <w:color w:val="1A1A2E"/>
              </w:rPr>
              <w:t>Zamawiający wyjaśnia: wymagana łączna pojemność pamięci RAM serwera Typ B wynosi 128 GB. Nie jest wymaganych 16 modułów po 128 GB — byłoby to 2 048 GB, co nie odpowiadało zamierzonemu wymaganiu.</w:t>
            </w:r>
          </w:p>
          <w:p w14:paraId="1020001F" w14:textId="77777777" w:rsidR="007D543F" w:rsidRDefault="007D543F">
            <w:pPr>
              <w:spacing w:after="70"/>
            </w:pPr>
          </w:p>
          <w:p w14:paraId="10200020" w14:textId="797F5D0B" w:rsidR="007D543F" w:rsidRDefault="007D543F">
            <w:pPr>
              <w:spacing w:after="70"/>
            </w:pPr>
            <w:r>
              <w:rPr>
                <w:color w:val="1A1A2E"/>
              </w:rPr>
              <w:t xml:space="preserve">W odniesieniu do konfiguracji modułów: Zamawiający dopuszcza zastosowanie modułów DDR5 ECC o pojemności 32 GB lub 64 GB, pod warunkiem że łączna zainstalowana pojemność wyniesie co najmniej 128 GB oraz że obsadzenie kanałów pamięci będzie zgodne z zaleceniami producenta procesora (pełna symetria kanałów). </w:t>
            </w:r>
          </w:p>
        </w:tc>
      </w:tr>
      <w:tr w:rsidR="00AA2026" w14:paraId="10200026" w14:textId="77777777">
        <w:tc>
          <w:tcPr>
            <w:tcW w:w="6200" w:type="dxa"/>
            <w:tcBorders>
              <w:top w:val="single" w:sz="1" w:space="0" w:color="CCCCCC"/>
              <w:left w:val="single" w:sz="1" w:space="0" w:color="CCCCCC"/>
              <w:bottom w:val="single" w:sz="1" w:space="0" w:color="CCCCCC"/>
              <w:right w:val="single" w:sz="1" w:space="0" w:color="CCCCCC"/>
            </w:tcBorders>
            <w:shd w:val="clear" w:color="auto" w:fill="EEF4FB"/>
            <w:tcMar>
              <w:top w:w="110" w:type="dxa"/>
              <w:left w:w="180" w:type="dxa"/>
              <w:bottom w:w="110" w:type="dxa"/>
              <w:right w:w="180" w:type="dxa"/>
            </w:tcMar>
          </w:tcPr>
          <w:p w14:paraId="10200022" w14:textId="77777777" w:rsidR="007D543F" w:rsidRDefault="007D543F">
            <w:pPr>
              <w:spacing w:after="70"/>
            </w:pPr>
            <w:r>
              <w:rPr>
                <w:b/>
                <w:bCs/>
                <w:color w:val="1A3A6A"/>
              </w:rPr>
              <w:t>Serwer Typ B — Arbiter: podpisywanie firmware</w:t>
            </w:r>
          </w:p>
          <w:p w14:paraId="10200023" w14:textId="77777777" w:rsidR="007D543F" w:rsidRDefault="007D543F">
            <w:pPr>
              <w:spacing w:after="70"/>
            </w:pPr>
          </w:p>
          <w:p w14:paraId="10200024" w14:textId="77777777" w:rsidR="007D543F" w:rsidRDefault="007D543F">
            <w:pPr>
              <w:spacing w:after="70"/>
            </w:pPr>
            <w:r>
              <w:rPr>
                <w:color w:val="1A1A2E"/>
              </w:rPr>
              <w:t>Wnosimy o zmianę zapisu „Wszystkie aktualizacje firmware podpisane cyfrowo przez producenta (code signing).” na „Wszystkie aktualizacje firmware podpisane cyfrowo przez producenta.” — usunięcie określenia „(code signing)” jako zbędnego specyfikowania technologii.</w:t>
            </w:r>
          </w:p>
        </w:tc>
        <w:tc>
          <w:tcPr>
            <w:tcW w:w="6800" w:type="dxa"/>
            <w:tcBorders>
              <w:top w:val="single" w:sz="1" w:space="0" w:color="CCCCCC"/>
              <w:left w:val="single" w:sz="1" w:space="0" w:color="CCCCCC"/>
              <w:bottom w:val="single" w:sz="1" w:space="0" w:color="CCCCCC"/>
              <w:right w:val="single" w:sz="1" w:space="0" w:color="CCCCCC"/>
            </w:tcBorders>
            <w:shd w:val="clear" w:color="auto" w:fill="FFFFFF"/>
            <w:tcMar>
              <w:top w:w="110" w:type="dxa"/>
              <w:left w:w="180" w:type="dxa"/>
              <w:bottom w:w="110" w:type="dxa"/>
              <w:right w:w="180" w:type="dxa"/>
            </w:tcMar>
          </w:tcPr>
          <w:p w14:paraId="1D20000E" w14:textId="77777777" w:rsidR="007D543F" w:rsidRDefault="007D543F">
            <w:pPr>
              <w:spacing w:after="80"/>
              <w:rPr>
                <w:b/>
                <w:bCs/>
                <w:color w:val="1E7A45"/>
              </w:rPr>
            </w:pPr>
            <w:r>
              <w:rPr>
                <w:b/>
                <w:bCs/>
                <w:color w:val="1E7A45"/>
              </w:rPr>
              <w:t>Zamawiający przyjmuje wniosek.</w:t>
            </w:r>
          </w:p>
          <w:p w14:paraId="10200025" w14:textId="65B794D6" w:rsidR="007D543F" w:rsidRDefault="007D543F">
            <w:pPr>
              <w:spacing w:after="70"/>
            </w:pPr>
            <w:r>
              <w:rPr>
                <w:color w:val="1A1A2E"/>
              </w:rPr>
              <w:t>Zamawiający przyjmuje wniosek. Określenie „(code signing)” zostaje usunięte ze wszystkich zapisów dotyczących podpisywania firmware w OPZ. Nowe brzmienie: „Wszystkie aktualizacje firmware podpisane cyfrowo przez producenta.” Zmiana dotyczy serwerów Typ A, Typ B.</w:t>
            </w:r>
          </w:p>
        </w:tc>
      </w:tr>
      <w:tr w:rsidR="00EF39E5" w14:paraId="4164FADA" w14:textId="77777777">
        <w:tc>
          <w:tcPr>
            <w:tcW w:w="13000" w:type="dxa"/>
            <w:gridSpan w:val="2"/>
            <w:tcBorders>
              <w:top w:val="single" w:sz="1" w:space="0" w:color="CCCCCC"/>
              <w:left w:val="single" w:sz="1" w:space="0" w:color="CCCCCC"/>
              <w:bottom w:val="single" w:sz="1" w:space="0" w:color="CCCCCC"/>
              <w:right w:val="single" w:sz="1" w:space="0" w:color="CCCCCC"/>
            </w:tcBorders>
            <w:shd w:val="clear" w:color="auto" w:fill="1F3864"/>
            <w:tcMar>
              <w:top w:w="90" w:type="dxa"/>
              <w:left w:w="180" w:type="dxa"/>
              <w:bottom w:w="90" w:type="dxa"/>
              <w:right w:w="180" w:type="dxa"/>
            </w:tcMar>
          </w:tcPr>
          <w:p w14:paraId="0B11B54D" w14:textId="77777777" w:rsidR="00EF39E5" w:rsidRDefault="007D543F">
            <w:r>
              <w:rPr>
                <w:b/>
                <w:bCs/>
                <w:color w:val="FFFFFF"/>
                <w:sz w:val="20"/>
                <w:szCs w:val="20"/>
              </w:rPr>
              <w:t>MACIERZ PRODUKCYJNA ALL-FLASH NVMe — wymagania 3.1 i 4.1</w:t>
            </w:r>
          </w:p>
        </w:tc>
      </w:tr>
      <w:tr w:rsidR="00EF39E5" w14:paraId="24B56DF7" w14:textId="77777777">
        <w:tc>
          <w:tcPr>
            <w:tcW w:w="6200" w:type="dxa"/>
            <w:tcBorders>
              <w:top w:val="single" w:sz="1" w:space="0" w:color="CCCCCC"/>
              <w:left w:val="single" w:sz="1" w:space="0" w:color="CCCCCC"/>
              <w:bottom w:val="single" w:sz="1" w:space="0" w:color="CCCCCC"/>
              <w:right w:val="single" w:sz="1" w:space="0" w:color="CCCCCC"/>
            </w:tcBorders>
            <w:shd w:val="clear" w:color="auto" w:fill="F5F7FA"/>
            <w:tcMar>
              <w:top w:w="110" w:type="dxa"/>
              <w:left w:w="180" w:type="dxa"/>
              <w:bottom w:w="110" w:type="dxa"/>
              <w:right w:w="180" w:type="dxa"/>
            </w:tcMar>
          </w:tcPr>
          <w:p w14:paraId="59F859A8" w14:textId="77777777" w:rsidR="00EF39E5" w:rsidRPr="005A4A99" w:rsidRDefault="007D543F">
            <w:pPr>
              <w:spacing w:after="70"/>
              <w:rPr>
                <w:b/>
                <w:bCs/>
              </w:rPr>
            </w:pPr>
            <w:r w:rsidRPr="005A4A99">
              <w:rPr>
                <w:b/>
                <w:bCs/>
                <w:color w:val="1A1A2E"/>
              </w:rPr>
              <w:t>Wymagania 3.1 i 4.1</w:t>
            </w:r>
          </w:p>
          <w:p w14:paraId="2794616B" w14:textId="77777777" w:rsidR="00EF39E5" w:rsidRDefault="00EF39E5">
            <w:pPr>
              <w:spacing w:after="70"/>
            </w:pPr>
          </w:p>
          <w:p w14:paraId="026A021E" w14:textId="77777777" w:rsidR="00EF39E5" w:rsidRDefault="007D543F">
            <w:r>
              <w:rPr>
                <w:color w:val="1A1A2E"/>
              </w:rPr>
              <w:t xml:space="preserve">Zamawiający opisuje kontrolery active/active z informacją, że będą udostępniały urządzenia LUN oraz zasoby plikowe. Z dalszej treści specyfikacji nie wynika, aby Zamawiający planował wystawiać zasoby plikowe z macierzy. Czy Zamawiający zgodzi się na usunięcie zapisu o </w:t>
            </w:r>
            <w:r>
              <w:rPr>
                <w:color w:val="1A1A2E"/>
              </w:rPr>
              <w:lastRenderedPageBreak/>
              <w:t>zasobach plikowych i zmianę brzmienia na udostępnianie wyłącznie urządzeń LUN?</w:t>
            </w:r>
          </w:p>
        </w:tc>
        <w:tc>
          <w:tcPr>
            <w:tcW w:w="6800" w:type="dxa"/>
            <w:tcBorders>
              <w:top w:val="single" w:sz="1" w:space="0" w:color="CCCCCC"/>
              <w:left w:val="single" w:sz="1" w:space="0" w:color="CCCCCC"/>
              <w:bottom w:val="single" w:sz="1" w:space="0" w:color="CCCCCC"/>
              <w:right w:val="single" w:sz="1" w:space="0" w:color="CCCCCC"/>
            </w:tcBorders>
            <w:shd w:val="clear" w:color="auto" w:fill="FFFFFF"/>
            <w:tcMar>
              <w:top w:w="110" w:type="dxa"/>
              <w:left w:w="180" w:type="dxa"/>
              <w:bottom w:w="110" w:type="dxa"/>
              <w:right w:w="180" w:type="dxa"/>
            </w:tcMar>
          </w:tcPr>
          <w:p w14:paraId="1D20000F" w14:textId="77777777" w:rsidR="007D543F" w:rsidRDefault="007D543F">
            <w:pPr>
              <w:spacing w:after="80"/>
              <w:rPr>
                <w:b/>
                <w:bCs/>
                <w:color w:val="1E7A45"/>
              </w:rPr>
            </w:pPr>
            <w:r>
              <w:rPr>
                <w:b/>
                <w:bCs/>
                <w:color w:val="1E7A45"/>
              </w:rPr>
              <w:lastRenderedPageBreak/>
              <w:t>Zamawiający przyjmuje wniosek.</w:t>
            </w:r>
          </w:p>
          <w:p w14:paraId="37DFEDE0" w14:textId="2621793E" w:rsidR="00EF39E5" w:rsidRDefault="007D543F">
            <w:r>
              <w:rPr>
                <w:color w:val="1A1A2E"/>
              </w:rPr>
              <w:t xml:space="preserve">Zamawiający przyjmuje uwagę. Zapis o zasobach plikowych zostaje usunięty. Kontrolery udostępniają wyłącznie urządzenia LUN (FC/iSCSI). Wymaganie zostanie zmienione na brzmienie zaproponowane przez Wykonawcę. </w:t>
            </w:r>
          </w:p>
        </w:tc>
      </w:tr>
      <w:tr w:rsidR="00EF39E5" w14:paraId="76C095D3" w14:textId="77777777">
        <w:tc>
          <w:tcPr>
            <w:tcW w:w="13000" w:type="dxa"/>
            <w:gridSpan w:val="2"/>
            <w:tcBorders>
              <w:top w:val="single" w:sz="1" w:space="0" w:color="CCCCCC"/>
              <w:left w:val="single" w:sz="1" w:space="0" w:color="CCCCCC"/>
              <w:bottom w:val="single" w:sz="1" w:space="0" w:color="CCCCCC"/>
              <w:right w:val="single" w:sz="1" w:space="0" w:color="CCCCCC"/>
            </w:tcBorders>
            <w:shd w:val="clear" w:color="auto" w:fill="1F3864"/>
            <w:tcMar>
              <w:top w:w="90" w:type="dxa"/>
              <w:left w:w="180" w:type="dxa"/>
              <w:bottom w:w="90" w:type="dxa"/>
              <w:right w:w="180" w:type="dxa"/>
            </w:tcMar>
          </w:tcPr>
          <w:p w14:paraId="5F486110" w14:textId="77777777" w:rsidR="00EF39E5" w:rsidRDefault="007D543F">
            <w:r>
              <w:rPr>
                <w:b/>
                <w:bCs/>
                <w:color w:val="FFFFFF"/>
                <w:sz w:val="20"/>
                <w:szCs w:val="20"/>
              </w:rPr>
              <w:t>MACIERZ PRODUKCYJNA — wymaganie 3.4</w:t>
            </w:r>
          </w:p>
        </w:tc>
      </w:tr>
      <w:tr w:rsidR="00EF39E5" w14:paraId="28C7EB2C" w14:textId="77777777">
        <w:tc>
          <w:tcPr>
            <w:tcW w:w="6200" w:type="dxa"/>
            <w:tcBorders>
              <w:top w:val="single" w:sz="1" w:space="0" w:color="CCCCCC"/>
              <w:left w:val="single" w:sz="1" w:space="0" w:color="CCCCCC"/>
              <w:bottom w:val="single" w:sz="1" w:space="0" w:color="CCCCCC"/>
              <w:right w:val="single" w:sz="1" w:space="0" w:color="CCCCCC"/>
            </w:tcBorders>
            <w:shd w:val="clear" w:color="auto" w:fill="EEF4FB"/>
            <w:tcMar>
              <w:top w:w="110" w:type="dxa"/>
              <w:left w:w="180" w:type="dxa"/>
              <w:bottom w:w="110" w:type="dxa"/>
              <w:right w:w="180" w:type="dxa"/>
            </w:tcMar>
          </w:tcPr>
          <w:p w14:paraId="5540B8E3" w14:textId="77777777" w:rsidR="00EF39E5" w:rsidRDefault="007D543F">
            <w:pPr>
              <w:spacing w:after="70"/>
            </w:pPr>
            <w:r>
              <w:rPr>
                <w:b/>
                <w:bCs/>
                <w:color w:val="1A3A6A"/>
              </w:rPr>
              <w:t>Wymaganie 3.4</w:t>
            </w:r>
          </w:p>
          <w:p w14:paraId="2F01B269" w14:textId="77777777" w:rsidR="00EF39E5" w:rsidRDefault="00EF39E5">
            <w:pPr>
              <w:spacing w:after="70"/>
            </w:pPr>
          </w:p>
          <w:p w14:paraId="6F2626BB" w14:textId="77777777" w:rsidR="00EF39E5" w:rsidRDefault="007D543F">
            <w:r>
              <w:rPr>
                <w:color w:val="1A1A2E"/>
              </w:rPr>
              <w:t>Czy prawidłowe jest rozumienie, że macierz musi umożliwić zapisanie serwerom 800 TB danych przy zastosowaniu mechanizmów redukcji danych z maksymalnym współczynnikiem 2:1, z czego wynika że przestrzeń fizyczna macierzy musi wynosić nie mniej niż 400 TB?</w:t>
            </w:r>
          </w:p>
        </w:tc>
        <w:tc>
          <w:tcPr>
            <w:tcW w:w="6800" w:type="dxa"/>
            <w:tcBorders>
              <w:top w:val="single" w:sz="1" w:space="0" w:color="CCCCCC"/>
              <w:left w:val="single" w:sz="1" w:space="0" w:color="CCCCCC"/>
              <w:bottom w:val="single" w:sz="1" w:space="0" w:color="CCCCCC"/>
              <w:right w:val="single" w:sz="1" w:space="0" w:color="CCCCCC"/>
            </w:tcBorders>
            <w:shd w:val="clear" w:color="auto" w:fill="FFFFFF"/>
            <w:tcMar>
              <w:top w:w="110" w:type="dxa"/>
              <w:left w:w="180" w:type="dxa"/>
              <w:bottom w:w="110" w:type="dxa"/>
              <w:right w:w="180" w:type="dxa"/>
            </w:tcMar>
          </w:tcPr>
          <w:p w14:paraId="1D200010" w14:textId="77777777" w:rsidR="007D543F" w:rsidRDefault="007D543F">
            <w:pPr>
              <w:spacing w:after="80"/>
              <w:rPr>
                <w:b/>
                <w:bCs/>
                <w:color w:val="1A3A7A"/>
              </w:rPr>
            </w:pPr>
            <w:r>
              <w:rPr>
                <w:b/>
                <w:bCs/>
                <w:color w:val="1A3A7A"/>
              </w:rPr>
              <w:t>Zamawiający wyjaśnia.</w:t>
            </w:r>
          </w:p>
          <w:p w14:paraId="25A8C3CE" w14:textId="75B9E109" w:rsidR="00EF39E5" w:rsidRDefault="007D543F">
            <w:pPr>
              <w:spacing w:after="70"/>
            </w:pPr>
            <w:r>
              <w:rPr>
                <w:color w:val="1A1A2E"/>
              </w:rPr>
              <w:t xml:space="preserve">Rozumienie jest </w:t>
            </w:r>
            <w:r w:rsidR="00CF567F">
              <w:rPr>
                <w:color w:val="1A1A2E"/>
              </w:rPr>
              <w:t>prawidłowe</w:t>
            </w:r>
            <w:r>
              <w:rPr>
                <w:color w:val="1A1A2E"/>
              </w:rPr>
              <w:t xml:space="preserve">. </w:t>
            </w:r>
            <w:r w:rsidR="00CF567F">
              <w:rPr>
                <w:color w:val="1A1A2E"/>
              </w:rPr>
              <w:t>Intencją zamawiającego jest, aby dostępna przestrzeń do wykorzystania w ramach wirtualizacji wynosiła nie mniej niż 800TB</w:t>
            </w:r>
          </w:p>
          <w:p w14:paraId="566C70A7" w14:textId="77777777" w:rsidR="00EF39E5" w:rsidRDefault="00EF39E5">
            <w:pPr>
              <w:spacing w:after="70"/>
            </w:pPr>
          </w:p>
          <w:p w14:paraId="08B87E0A" w14:textId="0FC61549" w:rsidR="00EF39E5" w:rsidRDefault="00EF39E5"/>
        </w:tc>
      </w:tr>
      <w:tr w:rsidR="00EF39E5" w14:paraId="467BE032" w14:textId="77777777">
        <w:tc>
          <w:tcPr>
            <w:tcW w:w="13000" w:type="dxa"/>
            <w:gridSpan w:val="2"/>
            <w:tcBorders>
              <w:top w:val="single" w:sz="1" w:space="0" w:color="CCCCCC"/>
              <w:left w:val="single" w:sz="1" w:space="0" w:color="CCCCCC"/>
              <w:bottom w:val="single" w:sz="1" w:space="0" w:color="CCCCCC"/>
              <w:right w:val="single" w:sz="1" w:space="0" w:color="CCCCCC"/>
            </w:tcBorders>
            <w:shd w:val="clear" w:color="auto" w:fill="1F3864"/>
            <w:tcMar>
              <w:top w:w="90" w:type="dxa"/>
              <w:left w:w="180" w:type="dxa"/>
              <w:bottom w:w="90" w:type="dxa"/>
              <w:right w:w="180" w:type="dxa"/>
            </w:tcMar>
          </w:tcPr>
          <w:p w14:paraId="1895D0E7" w14:textId="77777777" w:rsidR="00EF39E5" w:rsidRDefault="007D543F">
            <w:r>
              <w:rPr>
                <w:b/>
                <w:bCs/>
                <w:color w:val="FFFFFF"/>
                <w:sz w:val="20"/>
                <w:szCs w:val="20"/>
              </w:rPr>
              <w:t>MACIERZ PRODUKCYJNA — wymaganie 3.13 (Arbiter / Mediator VM)</w:t>
            </w:r>
          </w:p>
        </w:tc>
      </w:tr>
      <w:tr w:rsidR="00EF39E5" w14:paraId="68D39D01" w14:textId="77777777">
        <w:tc>
          <w:tcPr>
            <w:tcW w:w="6200" w:type="dxa"/>
            <w:tcBorders>
              <w:top w:val="single" w:sz="1" w:space="0" w:color="CCCCCC"/>
              <w:left w:val="single" w:sz="1" w:space="0" w:color="CCCCCC"/>
              <w:bottom w:val="single" w:sz="1" w:space="0" w:color="CCCCCC"/>
              <w:right w:val="single" w:sz="1" w:space="0" w:color="CCCCCC"/>
            </w:tcBorders>
            <w:shd w:val="clear" w:color="auto" w:fill="F5F7FA"/>
            <w:tcMar>
              <w:top w:w="110" w:type="dxa"/>
              <w:left w:w="180" w:type="dxa"/>
              <w:bottom w:w="110" w:type="dxa"/>
              <w:right w:w="180" w:type="dxa"/>
            </w:tcMar>
          </w:tcPr>
          <w:p w14:paraId="1954B36F" w14:textId="77777777" w:rsidR="00EF39E5" w:rsidRDefault="007D543F">
            <w:pPr>
              <w:spacing w:after="70"/>
            </w:pPr>
            <w:r>
              <w:rPr>
                <w:b/>
                <w:bCs/>
                <w:color w:val="1A3A6A"/>
              </w:rPr>
              <w:t>Wymaganie 3.13</w:t>
            </w:r>
          </w:p>
          <w:p w14:paraId="617477EC" w14:textId="77777777" w:rsidR="00EF39E5" w:rsidRDefault="00EF39E5">
            <w:pPr>
              <w:spacing w:after="70"/>
            </w:pPr>
          </w:p>
          <w:p w14:paraId="4C298754" w14:textId="77777777" w:rsidR="00EF39E5" w:rsidRDefault="007D543F">
            <w:r>
              <w:rPr>
                <w:color w:val="1A1A2E"/>
              </w:rPr>
              <w:t>Czy Zamawiający dopuści rozwiązanie wymagające 8 GB RAM, ale tylko 1 GB przestrzeni dyskowej?</w:t>
            </w:r>
          </w:p>
        </w:tc>
        <w:tc>
          <w:tcPr>
            <w:tcW w:w="6800" w:type="dxa"/>
            <w:tcBorders>
              <w:top w:val="single" w:sz="1" w:space="0" w:color="CCCCCC"/>
              <w:left w:val="single" w:sz="1" w:space="0" w:color="CCCCCC"/>
              <w:bottom w:val="single" w:sz="1" w:space="0" w:color="CCCCCC"/>
              <w:right w:val="single" w:sz="1" w:space="0" w:color="CCCCCC"/>
            </w:tcBorders>
            <w:shd w:val="clear" w:color="auto" w:fill="FFFFFF"/>
            <w:tcMar>
              <w:top w:w="110" w:type="dxa"/>
              <w:left w:w="180" w:type="dxa"/>
              <w:bottom w:w="110" w:type="dxa"/>
              <w:right w:w="180" w:type="dxa"/>
            </w:tcMar>
          </w:tcPr>
          <w:p w14:paraId="1D200011" w14:textId="77777777" w:rsidR="007D543F" w:rsidRDefault="007D543F">
            <w:pPr>
              <w:spacing w:after="80"/>
              <w:rPr>
                <w:b/>
                <w:bCs/>
                <w:color w:val="1E7A45"/>
              </w:rPr>
            </w:pPr>
            <w:r>
              <w:rPr>
                <w:b/>
                <w:bCs/>
                <w:color w:val="1E7A45"/>
              </w:rPr>
              <w:t>Zamawiający przyjmuje wniosek.</w:t>
            </w:r>
          </w:p>
          <w:p w14:paraId="70397F40" w14:textId="6D34F7F1" w:rsidR="00EF39E5" w:rsidRDefault="007D543F">
            <w:r>
              <w:rPr>
                <w:color w:val="1A1A2E"/>
              </w:rPr>
              <w:t>Zamawiający dopuszcza konfigurację komponentu kworum (Arbiter / Mediator VM) z minimalną przestrzenią dyskową wynoszącą 1 GB, pod warunkiem spełnienia wszystkich pozostałych wymagań funkcjonalnych (komunikacja przez IP/WAN, autonomiczne działanie w trzeciej lokalizacji, prawidłowa obsługa scenariusza split-brain)..</w:t>
            </w:r>
          </w:p>
        </w:tc>
      </w:tr>
      <w:tr w:rsidR="00EF39E5" w14:paraId="7D69BAE6" w14:textId="77777777">
        <w:tc>
          <w:tcPr>
            <w:tcW w:w="6200" w:type="dxa"/>
            <w:tcBorders>
              <w:top w:val="single" w:sz="1" w:space="0" w:color="CCCCCC"/>
              <w:left w:val="single" w:sz="1" w:space="0" w:color="CCCCCC"/>
              <w:bottom w:val="single" w:sz="1" w:space="0" w:color="CCCCCC"/>
              <w:right w:val="single" w:sz="1" w:space="0" w:color="CCCCCC"/>
            </w:tcBorders>
            <w:shd w:val="clear" w:color="auto" w:fill="EEF4FB"/>
            <w:tcMar>
              <w:top w:w="110" w:type="dxa"/>
              <w:left w:w="180" w:type="dxa"/>
              <w:bottom w:w="110" w:type="dxa"/>
              <w:right w:w="180" w:type="dxa"/>
            </w:tcMar>
          </w:tcPr>
          <w:p w14:paraId="193B18CA" w14:textId="77777777" w:rsidR="00EF39E5" w:rsidRDefault="007D543F">
            <w:pPr>
              <w:spacing w:after="70"/>
            </w:pPr>
            <w:r>
              <w:rPr>
                <w:b/>
                <w:bCs/>
                <w:color w:val="1A3A6A"/>
              </w:rPr>
              <w:t>Wymaganie 3.13</w:t>
            </w:r>
          </w:p>
          <w:p w14:paraId="0B32C6AB" w14:textId="77777777" w:rsidR="00EF39E5" w:rsidRDefault="00EF39E5">
            <w:pPr>
              <w:spacing w:after="70"/>
            </w:pPr>
          </w:p>
          <w:p w14:paraId="35FC33F6" w14:textId="77777777" w:rsidR="00EF39E5" w:rsidRDefault="007D543F">
            <w:r>
              <w:rPr>
                <w:color w:val="1A1A2E"/>
              </w:rPr>
              <w:t>Czy Zamawiający dopuści możliwość komunikacji dla komponentu kworum przy pomocy protokołu FC? Wymaganie komunikowania się tylko poprzez protokół IP/WAN wymusza wyposażenie macierzy w porty ETH.</w:t>
            </w:r>
          </w:p>
        </w:tc>
        <w:tc>
          <w:tcPr>
            <w:tcW w:w="6800" w:type="dxa"/>
            <w:tcBorders>
              <w:top w:val="single" w:sz="1" w:space="0" w:color="CCCCCC"/>
              <w:left w:val="single" w:sz="1" w:space="0" w:color="CCCCCC"/>
              <w:bottom w:val="single" w:sz="1" w:space="0" w:color="CCCCCC"/>
              <w:right w:val="single" w:sz="1" w:space="0" w:color="CCCCCC"/>
            </w:tcBorders>
            <w:shd w:val="clear" w:color="auto" w:fill="FFFFFF"/>
            <w:tcMar>
              <w:top w:w="110" w:type="dxa"/>
              <w:left w:w="180" w:type="dxa"/>
              <w:bottom w:w="110" w:type="dxa"/>
              <w:right w:w="180" w:type="dxa"/>
            </w:tcMar>
          </w:tcPr>
          <w:p w14:paraId="1D200012" w14:textId="77777777" w:rsidR="007D543F" w:rsidRDefault="007D543F">
            <w:pPr>
              <w:spacing w:after="80"/>
              <w:rPr>
                <w:b/>
                <w:bCs/>
                <w:color w:val="C00000"/>
              </w:rPr>
            </w:pPr>
            <w:r>
              <w:rPr>
                <w:b/>
                <w:bCs/>
                <w:color w:val="C00000"/>
              </w:rPr>
              <w:t>Zamawiający podtrzymuje wymaganie.</w:t>
            </w:r>
          </w:p>
          <w:p w14:paraId="276233CB" w14:textId="77777777" w:rsidR="00EF39E5" w:rsidRDefault="007D543F">
            <w:r>
              <w:rPr>
                <w:color w:val="1A1A2E"/>
              </w:rPr>
              <w:t>Zamawiający podtrzymuje wymóg komunikacji komponentu kworum przez sieć IP/WAN. Celem tego wymagania jest zapewnienie niezależności komponentu kworum od infrastruktury SAN — komunikacja przez FC oznaczałaby, że awaria fabric uniemożliwiałaby działanie kworum w scenariuszu split-brain. Komponent kworum musi być zdolny do działania z trzeciej lokalizacji (biuro Zamawiającego) przez standardowe połączenie IP.</w:t>
            </w:r>
          </w:p>
        </w:tc>
      </w:tr>
      <w:tr w:rsidR="00EF39E5" w14:paraId="79195BAB" w14:textId="77777777">
        <w:tc>
          <w:tcPr>
            <w:tcW w:w="6200" w:type="dxa"/>
            <w:tcBorders>
              <w:top w:val="single" w:sz="1" w:space="0" w:color="CCCCCC"/>
              <w:left w:val="single" w:sz="1" w:space="0" w:color="CCCCCC"/>
              <w:bottom w:val="single" w:sz="1" w:space="0" w:color="CCCCCC"/>
              <w:right w:val="single" w:sz="1" w:space="0" w:color="CCCCCC"/>
            </w:tcBorders>
            <w:shd w:val="clear" w:color="auto" w:fill="F5F7FA"/>
            <w:tcMar>
              <w:top w:w="110" w:type="dxa"/>
              <w:left w:w="180" w:type="dxa"/>
              <w:bottom w:w="110" w:type="dxa"/>
              <w:right w:w="180" w:type="dxa"/>
            </w:tcMar>
          </w:tcPr>
          <w:p w14:paraId="5C3406AF" w14:textId="77777777" w:rsidR="00EF39E5" w:rsidRDefault="007D543F">
            <w:pPr>
              <w:spacing w:after="70"/>
            </w:pPr>
            <w:r>
              <w:rPr>
                <w:b/>
                <w:bCs/>
                <w:color w:val="1A3A6A"/>
              </w:rPr>
              <w:t>Wymaganie 3.15</w:t>
            </w:r>
          </w:p>
          <w:p w14:paraId="52F14E9A" w14:textId="77777777" w:rsidR="00EF39E5" w:rsidRDefault="00EF39E5">
            <w:pPr>
              <w:spacing w:after="70"/>
            </w:pPr>
          </w:p>
          <w:p w14:paraId="0E613A6C" w14:textId="77777777" w:rsidR="00EF39E5" w:rsidRDefault="007D543F">
            <w:r>
              <w:rPr>
                <w:color w:val="1A1A2E"/>
              </w:rPr>
              <w:t>Czy Zamawiający ma na myśli klaster active-active zbudowany z dwóch macierzy? Czy Zamawiający dopuści wykorzystanie jednego z portów wymaganych w pkt 3.8?</w:t>
            </w:r>
          </w:p>
        </w:tc>
        <w:tc>
          <w:tcPr>
            <w:tcW w:w="6800" w:type="dxa"/>
            <w:tcBorders>
              <w:top w:val="single" w:sz="1" w:space="0" w:color="CCCCCC"/>
              <w:left w:val="single" w:sz="1" w:space="0" w:color="CCCCCC"/>
              <w:bottom w:val="single" w:sz="1" w:space="0" w:color="CCCCCC"/>
              <w:right w:val="single" w:sz="1" w:space="0" w:color="CCCCCC"/>
            </w:tcBorders>
            <w:shd w:val="clear" w:color="auto" w:fill="FFFFFF"/>
            <w:tcMar>
              <w:top w:w="110" w:type="dxa"/>
              <w:left w:w="180" w:type="dxa"/>
              <w:bottom w:w="110" w:type="dxa"/>
              <w:right w:w="180" w:type="dxa"/>
            </w:tcMar>
          </w:tcPr>
          <w:p w14:paraId="1D200013" w14:textId="77777777" w:rsidR="007D543F" w:rsidRDefault="007D543F">
            <w:pPr>
              <w:spacing w:after="80"/>
              <w:rPr>
                <w:b/>
                <w:bCs/>
                <w:color w:val="1E7A45"/>
              </w:rPr>
            </w:pPr>
            <w:r>
              <w:rPr>
                <w:b/>
                <w:bCs/>
                <w:color w:val="1E7A45"/>
              </w:rPr>
              <w:t>Zamawiający przyjmuje wniosek.</w:t>
            </w:r>
          </w:p>
          <w:p w14:paraId="430AF7DB" w14:textId="77777777" w:rsidR="00EF39E5" w:rsidRDefault="007D543F">
            <w:pPr>
              <w:spacing w:after="70"/>
            </w:pPr>
            <w:r>
              <w:rPr>
                <w:color w:val="1A1A2E"/>
              </w:rPr>
              <w:t>Zamawiający potwierdza: klaster Active-Active składa się z 2 fizycznych urządzeń (węzłów) rozmieszczonych w 2 różnych lokalizacjach (Data Center).</w:t>
            </w:r>
          </w:p>
          <w:p w14:paraId="16D3765C" w14:textId="77777777" w:rsidR="00EF39E5" w:rsidRDefault="00EF39E5">
            <w:pPr>
              <w:spacing w:after="70"/>
            </w:pPr>
          </w:p>
          <w:p w14:paraId="49706D2E" w14:textId="77777777" w:rsidR="00EF39E5" w:rsidRDefault="007D543F">
            <w:r>
              <w:rPr>
                <w:color w:val="1A1A2E"/>
              </w:rPr>
              <w:t>Zamawiający dopuszcza wykorzystanie portów z pkt 3.8 do połączeń inter-node (ISL/stretch), pod warunkiem zachowania wymaganej liczby portów dostępnych jednocześnie dla hostów produkcyjnych.</w:t>
            </w:r>
          </w:p>
        </w:tc>
      </w:tr>
      <w:tr w:rsidR="00EF39E5" w14:paraId="64B123A4" w14:textId="77777777">
        <w:tc>
          <w:tcPr>
            <w:tcW w:w="13000" w:type="dxa"/>
            <w:gridSpan w:val="2"/>
            <w:tcBorders>
              <w:top w:val="single" w:sz="1" w:space="0" w:color="CCCCCC"/>
              <w:left w:val="single" w:sz="1" w:space="0" w:color="CCCCCC"/>
              <w:bottom w:val="single" w:sz="1" w:space="0" w:color="CCCCCC"/>
              <w:right w:val="single" w:sz="1" w:space="0" w:color="CCCCCC"/>
            </w:tcBorders>
            <w:shd w:val="clear" w:color="auto" w:fill="1F3864"/>
            <w:tcMar>
              <w:top w:w="90" w:type="dxa"/>
              <w:left w:w="180" w:type="dxa"/>
              <w:bottom w:w="90" w:type="dxa"/>
              <w:right w:w="180" w:type="dxa"/>
            </w:tcMar>
          </w:tcPr>
          <w:p w14:paraId="5CDEA6C8" w14:textId="77777777" w:rsidR="00EF39E5" w:rsidRDefault="007D543F">
            <w:r>
              <w:rPr>
                <w:b/>
                <w:bCs/>
                <w:color w:val="FFFFFF"/>
                <w:sz w:val="20"/>
                <w:szCs w:val="20"/>
              </w:rPr>
              <w:t>MACIERZ PRODUKCYJNA — wymaganie 3.23</w:t>
            </w:r>
          </w:p>
        </w:tc>
      </w:tr>
      <w:tr w:rsidR="00EF39E5" w14:paraId="4D96927C" w14:textId="77777777">
        <w:tc>
          <w:tcPr>
            <w:tcW w:w="6200" w:type="dxa"/>
            <w:tcBorders>
              <w:top w:val="single" w:sz="1" w:space="0" w:color="CCCCCC"/>
              <w:left w:val="single" w:sz="1" w:space="0" w:color="CCCCCC"/>
              <w:bottom w:val="single" w:sz="1" w:space="0" w:color="CCCCCC"/>
              <w:right w:val="single" w:sz="1" w:space="0" w:color="CCCCCC"/>
            </w:tcBorders>
            <w:shd w:val="clear" w:color="auto" w:fill="EEF4FB"/>
            <w:tcMar>
              <w:top w:w="110" w:type="dxa"/>
              <w:left w:w="180" w:type="dxa"/>
              <w:bottom w:w="110" w:type="dxa"/>
              <w:right w:w="180" w:type="dxa"/>
            </w:tcMar>
          </w:tcPr>
          <w:p w14:paraId="7AB13460" w14:textId="77777777" w:rsidR="00EF39E5" w:rsidRDefault="007D543F">
            <w:pPr>
              <w:spacing w:after="70"/>
            </w:pPr>
            <w:r>
              <w:rPr>
                <w:b/>
                <w:bCs/>
                <w:color w:val="1A3A6A"/>
              </w:rPr>
              <w:t>Wymaganie 3.23</w:t>
            </w:r>
          </w:p>
          <w:p w14:paraId="7B3332FE" w14:textId="77777777" w:rsidR="00EF39E5" w:rsidRDefault="00EF39E5">
            <w:pPr>
              <w:spacing w:after="70"/>
            </w:pPr>
          </w:p>
          <w:p w14:paraId="76383EAB" w14:textId="77777777" w:rsidR="00EF39E5" w:rsidRDefault="007D543F">
            <w:r>
              <w:rPr>
                <w:color w:val="1A1A2E"/>
              </w:rPr>
              <w:lastRenderedPageBreak/>
              <w:t>Czy Zamawiający dopuści rozwiązanie, w którym tak dokładne dane jak monitoring wolumenów będą dostępne z poziomu CLI?</w:t>
            </w:r>
          </w:p>
        </w:tc>
        <w:tc>
          <w:tcPr>
            <w:tcW w:w="6800" w:type="dxa"/>
            <w:tcBorders>
              <w:top w:val="single" w:sz="1" w:space="0" w:color="CCCCCC"/>
              <w:left w:val="single" w:sz="1" w:space="0" w:color="CCCCCC"/>
              <w:bottom w:val="single" w:sz="1" w:space="0" w:color="CCCCCC"/>
              <w:right w:val="single" w:sz="1" w:space="0" w:color="CCCCCC"/>
            </w:tcBorders>
            <w:shd w:val="clear" w:color="auto" w:fill="FFFFFF"/>
            <w:tcMar>
              <w:top w:w="110" w:type="dxa"/>
              <w:left w:w="180" w:type="dxa"/>
              <w:bottom w:w="110" w:type="dxa"/>
              <w:right w:w="180" w:type="dxa"/>
            </w:tcMar>
          </w:tcPr>
          <w:p w14:paraId="1D200014" w14:textId="77777777" w:rsidR="007D543F" w:rsidRDefault="007D543F">
            <w:pPr>
              <w:spacing w:after="80"/>
              <w:rPr>
                <w:b/>
                <w:bCs/>
                <w:color w:val="1E7A45"/>
              </w:rPr>
            </w:pPr>
            <w:r>
              <w:rPr>
                <w:b/>
                <w:bCs/>
                <w:color w:val="1E7A45"/>
              </w:rPr>
              <w:lastRenderedPageBreak/>
              <w:t>Zamawiający przyjmuje wniosek.</w:t>
            </w:r>
          </w:p>
          <w:p w14:paraId="66C924D3" w14:textId="2418D023" w:rsidR="00EF39E5" w:rsidRDefault="007D543F">
            <w:r>
              <w:rPr>
                <w:color w:val="1A1A2E"/>
              </w:rPr>
              <w:lastRenderedPageBreak/>
              <w:t xml:space="preserve">Zamawiający dopuszcza dostęp do danych monitorowania wolumenów z poziomu CLI. Wymaganie zostanie zmienione na: „Szczegółowe dane dotyczące redukcji danych dostępne z poziomu interfejsu zarządzającego (GUI lub CLI)." </w:t>
            </w:r>
          </w:p>
        </w:tc>
      </w:tr>
      <w:tr w:rsidR="00EF39E5" w14:paraId="24C4F90F" w14:textId="77777777">
        <w:tc>
          <w:tcPr>
            <w:tcW w:w="13000" w:type="dxa"/>
            <w:gridSpan w:val="2"/>
            <w:tcBorders>
              <w:top w:val="single" w:sz="1" w:space="0" w:color="CCCCCC"/>
              <w:left w:val="single" w:sz="1" w:space="0" w:color="CCCCCC"/>
              <w:bottom w:val="single" w:sz="1" w:space="0" w:color="CCCCCC"/>
              <w:right w:val="single" w:sz="1" w:space="0" w:color="CCCCCC"/>
            </w:tcBorders>
            <w:shd w:val="clear" w:color="auto" w:fill="1F3864"/>
            <w:tcMar>
              <w:top w:w="90" w:type="dxa"/>
              <w:left w:w="180" w:type="dxa"/>
              <w:bottom w:w="90" w:type="dxa"/>
              <w:right w:w="180" w:type="dxa"/>
            </w:tcMar>
          </w:tcPr>
          <w:p w14:paraId="247E851A" w14:textId="77777777" w:rsidR="00EF39E5" w:rsidRDefault="007D543F">
            <w:r>
              <w:rPr>
                <w:b/>
                <w:bCs/>
                <w:color w:val="FFFFFF"/>
                <w:sz w:val="20"/>
                <w:szCs w:val="20"/>
              </w:rPr>
              <w:lastRenderedPageBreak/>
              <w:t>MACIERZ PRODUKCYJNA — wymaganie 3.24 (Gwarancja DRR)</w:t>
            </w:r>
          </w:p>
        </w:tc>
      </w:tr>
      <w:tr w:rsidR="00EF39E5" w14:paraId="62C1C4AF" w14:textId="77777777">
        <w:tc>
          <w:tcPr>
            <w:tcW w:w="6200" w:type="dxa"/>
            <w:tcBorders>
              <w:top w:val="single" w:sz="1" w:space="0" w:color="CCCCCC"/>
              <w:left w:val="single" w:sz="1" w:space="0" w:color="CCCCCC"/>
              <w:bottom w:val="single" w:sz="1" w:space="0" w:color="CCCCCC"/>
              <w:right w:val="single" w:sz="1" w:space="0" w:color="CCCCCC"/>
            </w:tcBorders>
            <w:shd w:val="clear" w:color="auto" w:fill="F5F7FA"/>
            <w:tcMar>
              <w:top w:w="110" w:type="dxa"/>
              <w:left w:w="180" w:type="dxa"/>
              <w:bottom w:w="110" w:type="dxa"/>
              <w:right w:w="180" w:type="dxa"/>
            </w:tcMar>
          </w:tcPr>
          <w:p w14:paraId="33937A49" w14:textId="77777777" w:rsidR="00EF39E5" w:rsidRDefault="007D543F">
            <w:pPr>
              <w:spacing w:after="70"/>
            </w:pPr>
            <w:r>
              <w:rPr>
                <w:b/>
                <w:bCs/>
                <w:color w:val="1A3A6A"/>
              </w:rPr>
              <w:t>Wymaganie 3.24</w:t>
            </w:r>
          </w:p>
          <w:p w14:paraId="3BC70116" w14:textId="77777777" w:rsidR="00EF39E5" w:rsidRDefault="00EF39E5">
            <w:pPr>
              <w:spacing w:after="70"/>
            </w:pPr>
          </w:p>
          <w:p w14:paraId="5C81762B" w14:textId="77777777" w:rsidR="00EF39E5" w:rsidRDefault="007D543F">
            <w:r>
              <w:rPr>
                <w:color w:val="1A1A2E"/>
              </w:rPr>
              <w:t>Rzeczywisty współczynnik redukcji danych jest ściśle uzależniony od charakterystyki danych Zamawiającego, których Wykonawca na etapie ofertowania nie posiada. Bez analizy środowiska Zamawiającego Wykonawca nie jest w stanie wiarygodnie zagwarantować konkretnego współczynnika. Czy Zamawiający dopuszcza, aby w miejsce bezwarunkowej gwarancji producenta, Wykonawca dostarczył tabelę referencyjnych współczynników redukcji danych dla typowych środowisk wirtualnych — bez bezwarunkowego zobowiązania do dosyłania nośników?</w:t>
            </w:r>
          </w:p>
        </w:tc>
        <w:tc>
          <w:tcPr>
            <w:tcW w:w="6800" w:type="dxa"/>
            <w:tcBorders>
              <w:top w:val="single" w:sz="1" w:space="0" w:color="CCCCCC"/>
              <w:left w:val="single" w:sz="1" w:space="0" w:color="CCCCCC"/>
              <w:bottom w:val="single" w:sz="1" w:space="0" w:color="CCCCCC"/>
              <w:right w:val="single" w:sz="1" w:space="0" w:color="CCCCCC"/>
            </w:tcBorders>
            <w:shd w:val="clear" w:color="auto" w:fill="FFFFFF"/>
            <w:tcMar>
              <w:top w:w="110" w:type="dxa"/>
              <w:left w:w="180" w:type="dxa"/>
              <w:bottom w:w="110" w:type="dxa"/>
              <w:right w:w="180" w:type="dxa"/>
            </w:tcMar>
          </w:tcPr>
          <w:p w14:paraId="1D200015" w14:textId="77777777" w:rsidR="007D543F" w:rsidRDefault="007D543F">
            <w:pPr>
              <w:spacing w:after="80"/>
              <w:rPr>
                <w:b/>
                <w:bCs/>
                <w:color w:val="B8860B"/>
              </w:rPr>
            </w:pPr>
            <w:r>
              <w:rPr>
                <w:b/>
                <w:bCs/>
                <w:color w:val="B8860B"/>
              </w:rPr>
              <w:t>Zamawiający częściowo przyjmuje wniosek.</w:t>
            </w:r>
          </w:p>
          <w:p w14:paraId="6D9F2CE8" w14:textId="77777777" w:rsidR="00EF39E5" w:rsidRDefault="007D543F">
            <w:pPr>
              <w:spacing w:after="70"/>
            </w:pPr>
            <w:r>
              <w:rPr>
                <w:color w:val="1A1A2E"/>
              </w:rPr>
              <w:t>Zamawiający podtrzymuje wymóg pisemnej gwarancji umownej producenta dotyczącej minimalnego współczynnika redukcji danych. Tabela referencyjna bez zobowiązania umownego nie zapewnia Zamawiającemu ochrony prawnej ani rekompensaty w przypadku nieosiągnięcia deklarowanej efektywności.</w:t>
            </w:r>
          </w:p>
          <w:p w14:paraId="0E8A9F98" w14:textId="77777777" w:rsidR="00EF39E5" w:rsidRDefault="00EF39E5">
            <w:pPr>
              <w:spacing w:after="70"/>
            </w:pPr>
          </w:p>
          <w:p w14:paraId="77193F7D" w14:textId="77777777" w:rsidR="00EF39E5" w:rsidRDefault="007D543F">
            <w:pPr>
              <w:spacing w:after="70"/>
            </w:pPr>
            <w:r>
              <w:rPr>
                <w:color w:val="1A1A2E"/>
              </w:rPr>
              <w:t>Jednocześnie Zamawiający informuje, że wymagany minimalny współczynnik DRR zostaje zmieniony z 3:1 na 2:1 dla typowych danych środowisk wirtualnych. Gwarancja musi być wiążąca umownie z klauzulą uzupełnienia pojemności fizycznej w przypadku nieosiągnięcia gwarantowanej wartości.</w:t>
            </w:r>
          </w:p>
          <w:p w14:paraId="1EA5A43C" w14:textId="77777777" w:rsidR="00EF39E5" w:rsidRDefault="00EF39E5">
            <w:pPr>
              <w:spacing w:after="70"/>
            </w:pPr>
          </w:p>
          <w:p w14:paraId="539A5528" w14:textId="66F5A4A8" w:rsidR="00EF39E5" w:rsidRDefault="00EF39E5"/>
        </w:tc>
      </w:tr>
      <w:tr w:rsidR="00AA2026" w14:paraId="1020002B" w14:textId="77777777">
        <w:tc>
          <w:tcPr>
            <w:tcW w:w="6200" w:type="dxa"/>
            <w:tcBorders>
              <w:top w:val="single" w:sz="1" w:space="0" w:color="CCCCCC"/>
              <w:left w:val="single" w:sz="1" w:space="0" w:color="CCCCCC"/>
              <w:bottom w:val="single" w:sz="1" w:space="0" w:color="CCCCCC"/>
              <w:right w:val="single" w:sz="1" w:space="0" w:color="CCCCCC"/>
            </w:tcBorders>
            <w:shd w:val="clear" w:color="auto" w:fill="F5F7FA"/>
            <w:tcMar>
              <w:top w:w="110" w:type="dxa"/>
              <w:left w:w="180" w:type="dxa"/>
              <w:bottom w:w="110" w:type="dxa"/>
              <w:right w:w="180" w:type="dxa"/>
            </w:tcMar>
          </w:tcPr>
          <w:p w14:paraId="10200027" w14:textId="77777777" w:rsidR="007D543F" w:rsidRDefault="007D543F">
            <w:pPr>
              <w:spacing w:after="70"/>
            </w:pPr>
            <w:r>
              <w:rPr>
                <w:b/>
                <w:bCs/>
                <w:color w:val="1A3A6A"/>
              </w:rPr>
              <w:t>Macierz Produkcyjna — RAID dystrybuowany</w:t>
            </w:r>
          </w:p>
          <w:p w14:paraId="10200028" w14:textId="77777777" w:rsidR="007D543F" w:rsidRDefault="007D543F">
            <w:pPr>
              <w:spacing w:after="70"/>
            </w:pPr>
          </w:p>
          <w:p w14:paraId="10200029" w14:textId="77777777" w:rsidR="007D543F" w:rsidRDefault="007D543F">
            <w:pPr>
              <w:spacing w:after="70"/>
            </w:pPr>
            <w:r>
              <w:rPr>
                <w:color w:val="1A1A2E"/>
              </w:rPr>
              <w:t>Czy Zamawiający dopuszcza zastosowanie technologii RAID-DP (podwójna parzystość) zamiast wymaganego RAID dystrybuowanego, przy zachowaniu wymaganych parametrów dostępności i ochrony danych? RAID-DP umożliwia szybki i kontrolowany proces odbudowy danych po awarii nośnika dzięki odbudowie w obrębie ograniczonej grupy RAID, co istotnie zmniejsza czas pracy w stanie degradacji oraz redukuje ryzyko kolejnych awarii podczas rebuildu.</w:t>
            </w:r>
          </w:p>
        </w:tc>
        <w:tc>
          <w:tcPr>
            <w:tcW w:w="6800" w:type="dxa"/>
            <w:tcBorders>
              <w:top w:val="single" w:sz="1" w:space="0" w:color="CCCCCC"/>
              <w:left w:val="single" w:sz="1" w:space="0" w:color="CCCCCC"/>
              <w:bottom w:val="single" w:sz="1" w:space="0" w:color="CCCCCC"/>
              <w:right w:val="single" w:sz="1" w:space="0" w:color="CCCCCC"/>
            </w:tcBorders>
            <w:shd w:val="clear" w:color="auto" w:fill="FFFFFF"/>
            <w:tcMar>
              <w:top w:w="110" w:type="dxa"/>
              <w:left w:w="180" w:type="dxa"/>
              <w:bottom w:w="110" w:type="dxa"/>
              <w:right w:w="180" w:type="dxa"/>
            </w:tcMar>
          </w:tcPr>
          <w:p w14:paraId="1D200016" w14:textId="77777777" w:rsidR="007D543F" w:rsidRDefault="007D543F">
            <w:pPr>
              <w:spacing w:after="80"/>
              <w:rPr>
                <w:b/>
                <w:bCs/>
                <w:color w:val="C00000"/>
              </w:rPr>
            </w:pPr>
            <w:r>
              <w:rPr>
                <w:b/>
                <w:bCs/>
                <w:color w:val="C00000"/>
              </w:rPr>
              <w:t>Zamawiający podtrzymuje wymaganie.</w:t>
            </w:r>
          </w:p>
          <w:p w14:paraId="79F2FB27" w14:textId="77777777" w:rsidR="006E21CE" w:rsidRPr="006E21CE" w:rsidRDefault="006E21CE" w:rsidP="006E21CE">
            <w:pPr>
              <w:spacing w:after="70"/>
              <w:rPr>
                <w:color w:val="1A1A2E"/>
              </w:rPr>
            </w:pPr>
            <w:r w:rsidRPr="006E21CE">
              <w:rPr>
                <w:color w:val="1A1A2E"/>
              </w:rPr>
              <w:t>Specyfikacja wymaga mechanizmu RAID wirtualnego, rozproszonego lub dynamicznego (np. DRE, DRAID, ADAPT), w którym dane i parzystość są rozproszone na dyski w całej puli — bez stałych grup RAID. Cechą wspólną tych mechanizmów jest to, że stripe obejmuje całą pulę dysków, a odbudowa po awarii jest wykonywana równolegle przez wszystkie dyski w puli jednocześnie.</w:t>
            </w:r>
          </w:p>
          <w:p w14:paraId="799A136E" w14:textId="2C134557" w:rsidR="006E21CE" w:rsidRPr="006E21CE" w:rsidRDefault="006E21CE" w:rsidP="006E21CE">
            <w:pPr>
              <w:spacing w:after="70"/>
              <w:rPr>
                <w:color w:val="1A1A2E"/>
              </w:rPr>
            </w:pPr>
            <w:r w:rsidRPr="006E21CE">
              <w:rPr>
                <w:color w:val="1A1A2E"/>
              </w:rPr>
              <w:t>RAID-DP jest mechanizmem grupowym: dane i parzystość są zamknięte w stałej grupie RAID (typowo 12–28 dysków). Odbudowa odbywa się tylko w obrębie tej grupy, nie w puli. RAID-DP nie spełnia wymagania „rozproszenia na dyski w puli" określonego w specyfikacji.</w:t>
            </w:r>
          </w:p>
          <w:p w14:paraId="26E8645D" w14:textId="77777777" w:rsidR="006E21CE" w:rsidRPr="006E21CE" w:rsidRDefault="006E21CE" w:rsidP="006E21CE">
            <w:pPr>
              <w:spacing w:after="70"/>
              <w:rPr>
                <w:color w:val="1A1A2E"/>
              </w:rPr>
            </w:pPr>
            <w:r w:rsidRPr="006E21CE">
              <w:rPr>
                <w:color w:val="1A1A2E"/>
              </w:rPr>
              <w:t>Zamawiający podtrzymuje wymaganie. Wykonawca, który uzna że jego konkretna implementacja mechanizmu RAID spełnia funkcjonalne wymagania specyfikacji, może to udokumentować i wykazać w ofercie.</w:t>
            </w:r>
          </w:p>
          <w:p w14:paraId="1020002A" w14:textId="1E6DEB92" w:rsidR="007D543F" w:rsidRDefault="007D543F">
            <w:pPr>
              <w:spacing w:after="70"/>
            </w:pPr>
          </w:p>
        </w:tc>
      </w:tr>
      <w:tr w:rsidR="00AA2026" w14:paraId="10200030" w14:textId="77777777">
        <w:tc>
          <w:tcPr>
            <w:tcW w:w="6200" w:type="dxa"/>
            <w:tcBorders>
              <w:top w:val="single" w:sz="1" w:space="0" w:color="CCCCCC"/>
              <w:left w:val="single" w:sz="1" w:space="0" w:color="CCCCCC"/>
              <w:bottom w:val="single" w:sz="1" w:space="0" w:color="CCCCCC"/>
              <w:right w:val="single" w:sz="1" w:space="0" w:color="CCCCCC"/>
            </w:tcBorders>
            <w:shd w:val="clear" w:color="auto" w:fill="EEF4FB"/>
            <w:tcMar>
              <w:top w:w="110" w:type="dxa"/>
              <w:left w:w="180" w:type="dxa"/>
              <w:bottom w:w="110" w:type="dxa"/>
              <w:right w:w="180" w:type="dxa"/>
            </w:tcMar>
          </w:tcPr>
          <w:p w14:paraId="1020002C" w14:textId="77777777" w:rsidR="007D543F" w:rsidRDefault="007D543F">
            <w:pPr>
              <w:spacing w:after="70"/>
            </w:pPr>
            <w:r>
              <w:rPr>
                <w:b/>
                <w:bCs/>
                <w:color w:val="1A3A6A"/>
              </w:rPr>
              <w:t>Macierz Produkcyjna — protokoły plikowe CIFS/NFS i porty ETH</w:t>
            </w:r>
          </w:p>
          <w:p w14:paraId="1020002D" w14:textId="77777777" w:rsidR="007D543F" w:rsidRDefault="007D543F">
            <w:pPr>
              <w:spacing w:after="70"/>
            </w:pPr>
          </w:p>
          <w:p w14:paraId="1020002E" w14:textId="77777777" w:rsidR="007D543F" w:rsidRDefault="007D543F">
            <w:pPr>
              <w:spacing w:after="70"/>
            </w:pPr>
            <w:r>
              <w:rPr>
                <w:color w:val="1A1A2E"/>
              </w:rPr>
              <w:t>Zamawiający opisuje macierz jako urządzenie blokowo-plikowe jednocześnie specyfikując tylko porty FC/NVMe. Czy Zamawiający wymaga dostarczenia rozwiązania z protokołami CIFS/NFS oraz z jaką ilością portów ETH?</w:t>
            </w:r>
          </w:p>
        </w:tc>
        <w:tc>
          <w:tcPr>
            <w:tcW w:w="6800" w:type="dxa"/>
            <w:tcBorders>
              <w:top w:val="single" w:sz="1" w:space="0" w:color="CCCCCC"/>
              <w:left w:val="single" w:sz="1" w:space="0" w:color="CCCCCC"/>
              <w:bottom w:val="single" w:sz="1" w:space="0" w:color="CCCCCC"/>
              <w:right w:val="single" w:sz="1" w:space="0" w:color="CCCCCC"/>
            </w:tcBorders>
            <w:shd w:val="clear" w:color="auto" w:fill="FFFFFF"/>
            <w:tcMar>
              <w:top w:w="110" w:type="dxa"/>
              <w:left w:w="180" w:type="dxa"/>
              <w:bottom w:w="110" w:type="dxa"/>
              <w:right w:w="180" w:type="dxa"/>
            </w:tcMar>
          </w:tcPr>
          <w:p w14:paraId="1D200017" w14:textId="77777777" w:rsidR="007D543F" w:rsidRDefault="007D543F">
            <w:pPr>
              <w:spacing w:after="80"/>
              <w:rPr>
                <w:b/>
                <w:bCs/>
                <w:color w:val="1A3A7A"/>
              </w:rPr>
            </w:pPr>
            <w:r>
              <w:rPr>
                <w:b/>
                <w:bCs/>
                <w:color w:val="1A3A7A"/>
              </w:rPr>
              <w:t>Zamawiający wyjaśnia.</w:t>
            </w:r>
          </w:p>
          <w:p w14:paraId="1020002F" w14:textId="78BAA7FB" w:rsidR="007D543F" w:rsidRDefault="007D543F">
            <w:pPr>
              <w:spacing w:after="70"/>
            </w:pPr>
            <w:r>
              <w:rPr>
                <w:color w:val="1A1A2E"/>
              </w:rPr>
              <w:t xml:space="preserve">Zamawiający wyjaśnia, że pytanie zostało już rozstrzygnięte w odpowiedzi na wymaganie 3.1 i 4.1 — zapis o zasobach plikowych został usunięty. Macierz produkcyjna udostępnia wyłącznie urządzenia blokowe LUN (FC/iSCSI). Protokoly CIFS/NFS nie są wymagane. Porty ETH nie są wymagane dla udostępniania danych — interfejsy ETH są wymagane wyłącznie do zarządzania macierzą (porty zarządzające). </w:t>
            </w:r>
          </w:p>
        </w:tc>
      </w:tr>
      <w:tr w:rsidR="00AA2026" w14:paraId="10200035" w14:textId="77777777">
        <w:tc>
          <w:tcPr>
            <w:tcW w:w="6200" w:type="dxa"/>
            <w:tcBorders>
              <w:top w:val="single" w:sz="1" w:space="0" w:color="CCCCCC"/>
              <w:left w:val="single" w:sz="1" w:space="0" w:color="CCCCCC"/>
              <w:bottom w:val="single" w:sz="1" w:space="0" w:color="CCCCCC"/>
              <w:right w:val="single" w:sz="1" w:space="0" w:color="CCCCCC"/>
            </w:tcBorders>
            <w:shd w:val="clear" w:color="auto" w:fill="F5F7FA"/>
            <w:tcMar>
              <w:top w:w="110" w:type="dxa"/>
              <w:left w:w="180" w:type="dxa"/>
              <w:bottom w:w="110" w:type="dxa"/>
              <w:right w:w="180" w:type="dxa"/>
            </w:tcMar>
          </w:tcPr>
          <w:p w14:paraId="10200031" w14:textId="77777777" w:rsidR="007D543F" w:rsidRDefault="007D543F">
            <w:pPr>
              <w:spacing w:after="70"/>
            </w:pPr>
            <w:r>
              <w:rPr>
                <w:b/>
                <w:bCs/>
                <w:color w:val="1A3A6A"/>
              </w:rPr>
              <w:lastRenderedPageBreak/>
              <w:t>Macierz Produkcyjna — tryb ALUA (asymetryczne active-active)</w:t>
            </w:r>
          </w:p>
          <w:p w14:paraId="10200032" w14:textId="77777777" w:rsidR="007D543F" w:rsidRDefault="007D543F">
            <w:pPr>
              <w:spacing w:after="70"/>
            </w:pPr>
          </w:p>
          <w:p w14:paraId="10200033" w14:textId="77777777" w:rsidR="007D543F" w:rsidRDefault="007D543F">
            <w:pPr>
              <w:spacing w:after="70"/>
            </w:pPr>
            <w:r>
              <w:rPr>
                <w:color w:val="1A1A2E"/>
              </w:rPr>
              <w:t>Czy Zamawiający dopuszcza rozwiązanie macierzowe pracujące w trybie asymetrycznego active-active (ALUA), w którym oba kontrolery aktywnie obsługują operacje I/O, a dostęp do wolumenów/LUN realizowany jest zgodnie ze standardem ALUA, powszechnie stosowanym i wspieranym przez systemy operacyjne? Takie rozwiązanie zapewnia pełną wysoką dostępność i brak pojedynczego punktu awarii.</w:t>
            </w:r>
          </w:p>
        </w:tc>
        <w:tc>
          <w:tcPr>
            <w:tcW w:w="6800" w:type="dxa"/>
            <w:tcBorders>
              <w:top w:val="single" w:sz="1" w:space="0" w:color="CCCCCC"/>
              <w:left w:val="single" w:sz="1" w:space="0" w:color="CCCCCC"/>
              <w:bottom w:val="single" w:sz="1" w:space="0" w:color="CCCCCC"/>
              <w:right w:val="single" w:sz="1" w:space="0" w:color="CCCCCC"/>
            </w:tcBorders>
            <w:shd w:val="clear" w:color="auto" w:fill="FFFFFF"/>
            <w:tcMar>
              <w:top w:w="110" w:type="dxa"/>
              <w:left w:w="180" w:type="dxa"/>
              <w:bottom w:w="110" w:type="dxa"/>
              <w:right w:w="180" w:type="dxa"/>
            </w:tcMar>
          </w:tcPr>
          <w:p w14:paraId="345DF6ED" w14:textId="77777777" w:rsidR="00780BB5" w:rsidRDefault="00780BB5" w:rsidP="00780BB5">
            <w:pPr>
              <w:spacing w:after="80"/>
              <w:rPr>
                <w:b/>
                <w:bCs/>
                <w:color w:val="1E7A45"/>
              </w:rPr>
            </w:pPr>
            <w:r>
              <w:rPr>
                <w:b/>
                <w:bCs/>
                <w:color w:val="1E7A45"/>
              </w:rPr>
              <w:t>Zamawiający przyjmuje wniosek.</w:t>
            </w:r>
          </w:p>
          <w:p w14:paraId="10200034" w14:textId="41B768CE" w:rsidR="007D543F" w:rsidRDefault="00773754">
            <w:pPr>
              <w:spacing w:after="70"/>
            </w:pPr>
            <w:r w:rsidRPr="00773754">
              <w:t>Zamawiający przyjmuje wniosek. Zamawiający dopuszcza rozwiązania macierzowe pracujące w trybie asymetrycznego active-active (ALUA), pod warunkiem że oba kontrolery aktywnie uczestniczą w obsłudze operacji I/O i żaden z kontrolerów nie pełni wyłącznie roli urządzenia przekazującego ruch</w:t>
            </w:r>
          </w:p>
        </w:tc>
      </w:tr>
      <w:tr w:rsidR="00AA2026" w14:paraId="1020003A" w14:textId="77777777">
        <w:tc>
          <w:tcPr>
            <w:tcW w:w="6200" w:type="dxa"/>
            <w:tcBorders>
              <w:top w:val="single" w:sz="1" w:space="0" w:color="CCCCCC"/>
              <w:left w:val="single" w:sz="1" w:space="0" w:color="CCCCCC"/>
              <w:bottom w:val="single" w:sz="1" w:space="0" w:color="CCCCCC"/>
              <w:right w:val="single" w:sz="1" w:space="0" w:color="CCCCCC"/>
            </w:tcBorders>
            <w:shd w:val="clear" w:color="auto" w:fill="EEF4FB"/>
            <w:tcMar>
              <w:top w:w="110" w:type="dxa"/>
              <w:left w:w="180" w:type="dxa"/>
              <w:bottom w:w="110" w:type="dxa"/>
              <w:right w:w="180" w:type="dxa"/>
            </w:tcMar>
          </w:tcPr>
          <w:p w14:paraId="10200036" w14:textId="77777777" w:rsidR="007D543F" w:rsidRDefault="007D543F">
            <w:pPr>
              <w:spacing w:after="70"/>
            </w:pPr>
            <w:r>
              <w:rPr>
                <w:b/>
                <w:bCs/>
                <w:color w:val="1A3A6A"/>
              </w:rPr>
              <w:t>Macierz Produkcyjna — gwarantowany współczynnik kompresji DRR 2:1</w:t>
            </w:r>
          </w:p>
          <w:p w14:paraId="10200037" w14:textId="77777777" w:rsidR="007D543F" w:rsidRDefault="007D543F">
            <w:pPr>
              <w:spacing w:after="70"/>
            </w:pPr>
          </w:p>
          <w:p w14:paraId="10200038" w14:textId="77777777" w:rsidR="007D543F" w:rsidRDefault="007D543F">
            <w:pPr>
              <w:spacing w:after="70"/>
            </w:pPr>
            <w:r>
              <w:rPr>
                <w:color w:val="1A1A2E"/>
              </w:rPr>
              <w:t>Wnosimy o wykreślenie zapisu „Dopuszczalny współczynnik kompresji gwarantowanej dla maszyn wirtualnych 2:1” z sekcji Pojemność użytkowa po kompresji.</w:t>
            </w:r>
          </w:p>
        </w:tc>
        <w:tc>
          <w:tcPr>
            <w:tcW w:w="6800" w:type="dxa"/>
            <w:tcBorders>
              <w:top w:val="single" w:sz="1" w:space="0" w:color="CCCCCC"/>
              <w:left w:val="single" w:sz="1" w:space="0" w:color="CCCCCC"/>
              <w:bottom w:val="single" w:sz="1" w:space="0" w:color="CCCCCC"/>
              <w:right w:val="single" w:sz="1" w:space="0" w:color="CCCCCC"/>
            </w:tcBorders>
            <w:shd w:val="clear" w:color="auto" w:fill="FFFFFF"/>
            <w:tcMar>
              <w:top w:w="110" w:type="dxa"/>
              <w:left w:w="180" w:type="dxa"/>
              <w:bottom w:w="110" w:type="dxa"/>
              <w:right w:w="180" w:type="dxa"/>
            </w:tcMar>
          </w:tcPr>
          <w:p w14:paraId="1D200019" w14:textId="77777777" w:rsidR="007D543F" w:rsidRDefault="007D543F">
            <w:pPr>
              <w:spacing w:after="80"/>
              <w:rPr>
                <w:b/>
                <w:bCs/>
                <w:color w:val="1E7A45"/>
              </w:rPr>
            </w:pPr>
            <w:r>
              <w:rPr>
                <w:b/>
                <w:bCs/>
                <w:color w:val="1E7A45"/>
              </w:rPr>
              <w:t>Zamawiający przyjmuje wniosek.</w:t>
            </w:r>
          </w:p>
          <w:p w14:paraId="10200039" w14:textId="2BCB380E" w:rsidR="007D543F" w:rsidRDefault="007D543F">
            <w:pPr>
              <w:spacing w:after="70"/>
            </w:pPr>
            <w:r>
              <w:rPr>
                <w:color w:val="1A1A2E"/>
              </w:rPr>
              <w:t xml:space="preserve">Zamawiający wyjaśnia: zapis „Dopuszczalny współczynnik kompresji gwarantowanej dla maszyn wirtualnych 2:1” jest sformułowany niejednoznacznie i mógł prowadzić do błędnej interpretacji. Zamawiający precyzuje, że wymagany minimalny gwarantowany współczynnik redukcji danych (DRR) wynosi 2:1 zgodnie z odpowiedzią na wymaganie 3.24. Podpunkt „Dopuszczalny współczynnik kompresji gwarantowanej” zostaje usunięty jako zduplikowany. Wymaganie DRR 2:1 pozostaje wyłącznie w sekcji wymagania 3.24 (Gwarancja DRR). </w:t>
            </w:r>
          </w:p>
        </w:tc>
      </w:tr>
      <w:tr w:rsidR="00AA2026" w14:paraId="1020003F" w14:textId="77777777">
        <w:tc>
          <w:tcPr>
            <w:tcW w:w="6200" w:type="dxa"/>
            <w:tcBorders>
              <w:top w:val="single" w:sz="1" w:space="0" w:color="CCCCCC"/>
              <w:left w:val="single" w:sz="1" w:space="0" w:color="CCCCCC"/>
              <w:bottom w:val="single" w:sz="1" w:space="0" w:color="CCCCCC"/>
              <w:right w:val="single" w:sz="1" w:space="0" w:color="CCCCCC"/>
            </w:tcBorders>
            <w:shd w:val="clear" w:color="auto" w:fill="F5F7FA"/>
            <w:tcMar>
              <w:top w:w="110" w:type="dxa"/>
              <w:left w:w="180" w:type="dxa"/>
              <w:bottom w:w="110" w:type="dxa"/>
              <w:right w:w="180" w:type="dxa"/>
            </w:tcMar>
          </w:tcPr>
          <w:p w14:paraId="1020003B" w14:textId="77777777" w:rsidR="007D543F" w:rsidRDefault="007D543F">
            <w:pPr>
              <w:spacing w:after="70"/>
            </w:pPr>
            <w:r>
              <w:rPr>
                <w:b/>
                <w:bCs/>
                <w:color w:val="1A3A6A"/>
              </w:rPr>
              <w:t>Macierz Produkcyjna — Arbiter/Witness: wymagania VM (Min. vs Max.)</w:t>
            </w:r>
          </w:p>
          <w:p w14:paraId="1020003C" w14:textId="77777777" w:rsidR="007D543F" w:rsidRDefault="007D543F">
            <w:pPr>
              <w:spacing w:after="70"/>
            </w:pPr>
          </w:p>
          <w:p w14:paraId="1020003D" w14:textId="77777777" w:rsidR="007D543F" w:rsidRDefault="007D543F">
            <w:pPr>
              <w:spacing w:after="70"/>
            </w:pPr>
            <w:r>
              <w:rPr>
                <w:color w:val="1A1A2E"/>
              </w:rPr>
              <w:t>Wnosimy o zmianę zapisu: „Komponent kworum instalowalny jako maszyna wirtualna Linux w trzeciej lokalizacji. Komunikacja przez sieć IP/WAN (nie FC). Min. wymagania VM: 2 vCPU, 4 GB RAM, 20 GB dysk.” na: „Max. wymagania VM: 2 vCPU, 4 GB RAM, 20 GB dysk.” — zmiana „Min.” na „Max.” oddaje faktyczny charakter wymagania (nie jest to wartość minimalna alokowaną przez zamawiającego, lecz maksimum, jakie może wymagać komponent kworum).</w:t>
            </w:r>
          </w:p>
        </w:tc>
        <w:tc>
          <w:tcPr>
            <w:tcW w:w="6800" w:type="dxa"/>
            <w:tcBorders>
              <w:top w:val="single" w:sz="1" w:space="0" w:color="CCCCCC"/>
              <w:left w:val="single" w:sz="1" w:space="0" w:color="CCCCCC"/>
              <w:bottom w:val="single" w:sz="1" w:space="0" w:color="CCCCCC"/>
              <w:right w:val="single" w:sz="1" w:space="0" w:color="CCCCCC"/>
            </w:tcBorders>
            <w:shd w:val="clear" w:color="auto" w:fill="FFFFFF"/>
            <w:tcMar>
              <w:top w:w="110" w:type="dxa"/>
              <w:left w:w="180" w:type="dxa"/>
              <w:bottom w:w="110" w:type="dxa"/>
              <w:right w:w="180" w:type="dxa"/>
            </w:tcMar>
          </w:tcPr>
          <w:p w14:paraId="1D20001A" w14:textId="77777777" w:rsidR="007D543F" w:rsidRDefault="007D543F">
            <w:pPr>
              <w:spacing w:after="80"/>
              <w:rPr>
                <w:b/>
                <w:bCs/>
                <w:color w:val="1E7A45"/>
              </w:rPr>
            </w:pPr>
            <w:r>
              <w:rPr>
                <w:b/>
                <w:bCs/>
                <w:color w:val="1E7A45"/>
              </w:rPr>
              <w:t>Zamawiający przyjmuje wniosek.</w:t>
            </w:r>
          </w:p>
          <w:p w14:paraId="1020003E" w14:textId="2E322BE8" w:rsidR="007D543F" w:rsidRDefault="007D543F">
            <w:pPr>
              <w:spacing w:after="70"/>
            </w:pPr>
            <w:r>
              <w:rPr>
                <w:color w:val="1A1A2E"/>
              </w:rPr>
              <w:t xml:space="preserve">Zamawiający przyjmuje wniosek. Zmiana „Min. wymagania VM” na „Max. wymagania VM” jest zasadna — określenie dotyczy maksymalnych zasobów wymaganych przez komponent kworum, nie minimalnej alokacji. Zapis po zmianie: „Komponent kworum instalowalny jako maszyna wirtualna Linux w trzeciej lokalizacji. Komunikacja przez sieć IP/WAN (nie FC). Max. wymagania VM: 2 vCPU, 4 GB RAM, 20 GB dysk.” </w:t>
            </w:r>
          </w:p>
        </w:tc>
      </w:tr>
      <w:tr w:rsidR="00AA2026" w14:paraId="10200044" w14:textId="77777777">
        <w:tc>
          <w:tcPr>
            <w:tcW w:w="6200" w:type="dxa"/>
            <w:tcBorders>
              <w:top w:val="single" w:sz="1" w:space="0" w:color="CCCCCC"/>
              <w:left w:val="single" w:sz="1" w:space="0" w:color="CCCCCC"/>
              <w:bottom w:val="single" w:sz="1" w:space="0" w:color="CCCCCC"/>
              <w:right w:val="single" w:sz="1" w:space="0" w:color="CCCCCC"/>
            </w:tcBorders>
            <w:shd w:val="clear" w:color="auto" w:fill="EEF4FB"/>
            <w:tcMar>
              <w:top w:w="110" w:type="dxa"/>
              <w:left w:w="180" w:type="dxa"/>
              <w:bottom w:w="110" w:type="dxa"/>
              <w:right w:w="180" w:type="dxa"/>
            </w:tcMar>
          </w:tcPr>
          <w:p w14:paraId="10200040" w14:textId="77777777" w:rsidR="007D543F" w:rsidRDefault="007D543F">
            <w:pPr>
              <w:spacing w:after="70"/>
            </w:pPr>
            <w:r>
              <w:rPr>
                <w:b/>
                <w:bCs/>
                <w:color w:val="1A3A6A"/>
              </w:rPr>
              <w:t>Macierz Produkcyjna — Akceleracja sprzętowa redukcji danych / wymagania wydajnościowe</w:t>
            </w:r>
          </w:p>
          <w:p w14:paraId="10200041" w14:textId="77777777" w:rsidR="007D543F" w:rsidRDefault="007D543F">
            <w:pPr>
              <w:spacing w:after="70"/>
            </w:pPr>
          </w:p>
          <w:p w14:paraId="10200042" w14:textId="77777777" w:rsidR="007D543F" w:rsidRDefault="007D543F">
            <w:pPr>
              <w:spacing w:after="70"/>
            </w:pPr>
            <w:r>
              <w:rPr>
                <w:color w:val="1A1A2E"/>
              </w:rPr>
              <w:t xml:space="preserve">Wnosimy o wykreślenie całego podpunktu „Akceleracja sprzętowa redukcji danych” i zastąpienie go zapisem: „Wydajność macierzy: Oferowana konfiguracja macierzy musi oferować wydajność min. 165 000 IOPS przy ruchu losowym 100%, bloku 8 kB, stosunku odczytów do zapisów 70/30, włączonych mechanizmach redukcji rozmiaru danych (deduplikacja i kompresja) i czasie odpowiedzi nieprzekraczającym 1 ms. Powyższy wynik należy potwierdzić wydrukiem z oficjalnego </w:t>
            </w:r>
            <w:r>
              <w:rPr>
                <w:color w:val="1A1A2E"/>
              </w:rPr>
              <w:lastRenderedPageBreak/>
              <w:t>konfiguratora producenta oferowanej macierzy oraz oświadczeniem przedstawiciela producenta.”</w:t>
            </w:r>
          </w:p>
        </w:tc>
        <w:tc>
          <w:tcPr>
            <w:tcW w:w="6800" w:type="dxa"/>
            <w:tcBorders>
              <w:top w:val="single" w:sz="1" w:space="0" w:color="CCCCCC"/>
              <w:left w:val="single" w:sz="1" w:space="0" w:color="CCCCCC"/>
              <w:bottom w:val="single" w:sz="1" w:space="0" w:color="CCCCCC"/>
              <w:right w:val="single" w:sz="1" w:space="0" w:color="CCCCCC"/>
            </w:tcBorders>
            <w:shd w:val="clear" w:color="auto" w:fill="FFFFFF"/>
            <w:tcMar>
              <w:top w:w="110" w:type="dxa"/>
              <w:left w:w="180" w:type="dxa"/>
              <w:bottom w:w="110" w:type="dxa"/>
              <w:right w:w="180" w:type="dxa"/>
            </w:tcMar>
          </w:tcPr>
          <w:p w14:paraId="3E1327CD" w14:textId="77777777" w:rsidR="005A4A99" w:rsidRDefault="005A4A99" w:rsidP="005A4A99">
            <w:pPr>
              <w:spacing w:after="80"/>
              <w:rPr>
                <w:b/>
                <w:bCs/>
                <w:color w:val="1E7A45"/>
              </w:rPr>
            </w:pPr>
            <w:r>
              <w:rPr>
                <w:b/>
                <w:bCs/>
                <w:color w:val="1E7A45"/>
              </w:rPr>
              <w:lastRenderedPageBreak/>
              <w:t>Zamawiający przyjmuje wniosek.</w:t>
            </w:r>
          </w:p>
          <w:p w14:paraId="10200043" w14:textId="55CB2D4F" w:rsidR="007D543F" w:rsidRDefault="007D543F">
            <w:pPr>
              <w:spacing w:after="70"/>
            </w:pPr>
            <w:r>
              <w:rPr>
                <w:color w:val="1A1A2E"/>
              </w:rPr>
              <w:t>Zamawiający przyjmuje wniosek. Podpunkt „Akceleracja sprzętowa redukcji danych” zostaje usunięty i zastąpiony wymaganiem wydajnościowym w formie mierzalnego parametru IOPS. Nowe brzmienie: „Oferowana konfiguracja macierzy musi zapewniać wydajność minimum 16</w:t>
            </w:r>
            <w:r w:rsidR="00526A7F">
              <w:rPr>
                <w:color w:val="1A1A2E"/>
              </w:rPr>
              <w:t>0</w:t>
            </w:r>
            <w:r>
              <w:rPr>
                <w:color w:val="1A1A2E"/>
              </w:rPr>
              <w:t xml:space="preserve"> 000 IOPS przy ruchu losowym 100%, bloku 8 kB, stosunku odczytów do zapisów 70/30, przy włączonych mechanizmach redukcji danych (deduplikacja i kompresja) oraz czasie odpowiedzi nieprzekraczającym 1 ms. Wynik musi zostać potwierdzony wydrukiem z oficjalnego konfiguratora producenta oraz oświadczeniem autoryzowanego przedstawiciela producenta macierzy. </w:t>
            </w:r>
          </w:p>
        </w:tc>
      </w:tr>
      <w:tr w:rsidR="00AA2026" w14:paraId="10200049" w14:textId="77777777">
        <w:tc>
          <w:tcPr>
            <w:tcW w:w="6200" w:type="dxa"/>
            <w:tcBorders>
              <w:top w:val="single" w:sz="1" w:space="0" w:color="CCCCCC"/>
              <w:left w:val="single" w:sz="1" w:space="0" w:color="CCCCCC"/>
              <w:bottom w:val="single" w:sz="1" w:space="0" w:color="CCCCCC"/>
              <w:right w:val="single" w:sz="1" w:space="0" w:color="CCCCCC"/>
            </w:tcBorders>
            <w:shd w:val="clear" w:color="auto" w:fill="F5F7FA"/>
            <w:tcMar>
              <w:top w:w="110" w:type="dxa"/>
              <w:left w:w="180" w:type="dxa"/>
              <w:bottom w:w="110" w:type="dxa"/>
              <w:right w:w="180" w:type="dxa"/>
            </w:tcMar>
          </w:tcPr>
          <w:p w14:paraId="10200045" w14:textId="77777777" w:rsidR="007D543F" w:rsidRDefault="007D543F">
            <w:pPr>
              <w:spacing w:after="70"/>
            </w:pPr>
            <w:r>
              <w:rPr>
                <w:b/>
                <w:bCs/>
                <w:color w:val="1A3A6A"/>
              </w:rPr>
              <w:t>Macierz Produkcyjna — Serwis gwarancyjny</w:t>
            </w:r>
          </w:p>
          <w:p w14:paraId="10200046" w14:textId="77777777" w:rsidR="007D543F" w:rsidRDefault="007D543F">
            <w:pPr>
              <w:spacing w:after="70"/>
            </w:pPr>
          </w:p>
          <w:p w14:paraId="10200047" w14:textId="77777777" w:rsidR="007D543F" w:rsidRDefault="007D543F">
            <w:pPr>
              <w:spacing w:after="70"/>
            </w:pPr>
            <w:r>
              <w:rPr>
                <w:color w:val="1A1A2E"/>
              </w:rPr>
              <w:t>Wnosimy o zmianę zapisu: „Możliwość sprawdzenia statusu gwarancji przez stronę producenta podając unikalny numer urządzenia, oraz pobieranie uaktualnień mikrokodu oraz sterowników nawet w przypadku wygaśnięcia gwarancji systemu.” na: „Możliwość sprawdzenia statusu gwarancji przez stronę producenta podając unikalny numer urządzenia. W okresie gwarancji Zamawiający ma prawo do otrzymywania poprawek oraz aktualizacji wersji oprogramowania dostarczonego wraz z macierzą oraz oprogramowania wewnętrznego macierzy.”</w:t>
            </w:r>
          </w:p>
        </w:tc>
        <w:tc>
          <w:tcPr>
            <w:tcW w:w="6800" w:type="dxa"/>
            <w:tcBorders>
              <w:top w:val="single" w:sz="1" w:space="0" w:color="CCCCCC"/>
              <w:left w:val="single" w:sz="1" w:space="0" w:color="CCCCCC"/>
              <w:bottom w:val="single" w:sz="1" w:space="0" w:color="CCCCCC"/>
              <w:right w:val="single" w:sz="1" w:space="0" w:color="CCCCCC"/>
            </w:tcBorders>
            <w:shd w:val="clear" w:color="auto" w:fill="FFFFFF"/>
            <w:tcMar>
              <w:top w:w="110" w:type="dxa"/>
              <w:left w:w="180" w:type="dxa"/>
              <w:bottom w:w="110" w:type="dxa"/>
              <w:right w:w="180" w:type="dxa"/>
            </w:tcMar>
          </w:tcPr>
          <w:p w14:paraId="1D20001C" w14:textId="77777777" w:rsidR="007D543F" w:rsidRDefault="007D543F">
            <w:pPr>
              <w:spacing w:after="80"/>
              <w:rPr>
                <w:b/>
                <w:bCs/>
                <w:color w:val="1E7A45"/>
              </w:rPr>
            </w:pPr>
            <w:r>
              <w:rPr>
                <w:b/>
                <w:bCs/>
                <w:color w:val="1E7A45"/>
              </w:rPr>
              <w:t>Zamawiający przyjmuje wniosek.</w:t>
            </w:r>
          </w:p>
          <w:p w14:paraId="10200048" w14:textId="6E961B38" w:rsidR="007D543F" w:rsidRDefault="007D543F">
            <w:pPr>
              <w:spacing w:after="70"/>
            </w:pPr>
            <w:r>
              <w:rPr>
                <w:color w:val="1A1A2E"/>
              </w:rPr>
              <w:t xml:space="preserve">Zamawiający przyjmuje wniosek. Wymaganie dotyczące pobierania uaktualnień po wygaśnięciu gwarancji było już adresowane w odpowiedzi ogólnej (wymagania 1.27 i 2.21 oraz analogicznie 4.32 i 6.23). Zapis serwisu gwarancyjnego macierzy produkcyjnej zostaje zmieniony na: „Możliwość sprawdzenia statusu gwarancji przez stronę producenta podając unikalny numer urządzenia. W okresie gwarancji Zamawiający ma prawo do otrzymywania poprawek oraz aktualizacji wersji oprogramowania dostarczonego wraz z macierzą oraz oprogramowania wewnętrznego macierzy.” </w:t>
            </w:r>
          </w:p>
        </w:tc>
      </w:tr>
      <w:tr w:rsidR="00EF39E5" w14:paraId="1A33B0F5" w14:textId="77777777">
        <w:tc>
          <w:tcPr>
            <w:tcW w:w="13000" w:type="dxa"/>
            <w:gridSpan w:val="2"/>
            <w:tcBorders>
              <w:top w:val="single" w:sz="1" w:space="0" w:color="CCCCCC"/>
              <w:left w:val="single" w:sz="1" w:space="0" w:color="CCCCCC"/>
              <w:bottom w:val="single" w:sz="1" w:space="0" w:color="CCCCCC"/>
              <w:right w:val="single" w:sz="1" w:space="0" w:color="CCCCCC"/>
            </w:tcBorders>
            <w:shd w:val="clear" w:color="auto" w:fill="1F3864"/>
            <w:tcMar>
              <w:top w:w="90" w:type="dxa"/>
              <w:left w:w="180" w:type="dxa"/>
              <w:bottom w:w="90" w:type="dxa"/>
              <w:right w:w="180" w:type="dxa"/>
            </w:tcMar>
          </w:tcPr>
          <w:p w14:paraId="3EA34FA8" w14:textId="77777777" w:rsidR="00EF39E5" w:rsidRDefault="007D543F">
            <w:r>
              <w:rPr>
                <w:b/>
                <w:bCs/>
                <w:color w:val="FFFFFF"/>
                <w:sz w:val="20"/>
                <w:szCs w:val="20"/>
              </w:rPr>
              <w:t>MACIERZ BACKUPOWA HDD — wymagania 4.3, 4.5, 4.9, 4.10</w:t>
            </w:r>
          </w:p>
        </w:tc>
      </w:tr>
      <w:tr w:rsidR="00EF39E5" w14:paraId="68C7B296" w14:textId="77777777">
        <w:tc>
          <w:tcPr>
            <w:tcW w:w="6200" w:type="dxa"/>
            <w:tcBorders>
              <w:top w:val="single" w:sz="1" w:space="0" w:color="CCCCCC"/>
              <w:left w:val="single" w:sz="1" w:space="0" w:color="CCCCCC"/>
              <w:bottom w:val="single" w:sz="1" w:space="0" w:color="CCCCCC"/>
              <w:right w:val="single" w:sz="1" w:space="0" w:color="CCCCCC"/>
            </w:tcBorders>
            <w:shd w:val="clear" w:color="auto" w:fill="EEF4FB"/>
            <w:tcMar>
              <w:top w:w="110" w:type="dxa"/>
              <w:left w:w="180" w:type="dxa"/>
              <w:bottom w:w="110" w:type="dxa"/>
              <w:right w:w="180" w:type="dxa"/>
            </w:tcMar>
          </w:tcPr>
          <w:p w14:paraId="4C186113" w14:textId="77777777" w:rsidR="00EF39E5" w:rsidRDefault="007D543F">
            <w:pPr>
              <w:spacing w:after="70"/>
            </w:pPr>
            <w:r>
              <w:rPr>
                <w:b/>
                <w:bCs/>
                <w:color w:val="1A3A6A"/>
              </w:rPr>
              <w:t>Wymaganie 4.3</w:t>
            </w:r>
          </w:p>
          <w:p w14:paraId="5E50E6F9" w14:textId="77777777" w:rsidR="00EF39E5" w:rsidRDefault="00EF39E5">
            <w:pPr>
              <w:spacing w:after="70"/>
            </w:pPr>
          </w:p>
          <w:p w14:paraId="60B9CCD3" w14:textId="77777777" w:rsidR="00EF39E5" w:rsidRDefault="007D543F">
            <w:r>
              <w:rPr>
                <w:color w:val="1A1A2E"/>
              </w:rPr>
              <w:t>Czy Zamawiający zaakceptuje zastosowanie w macierzy dysków twardych z interfejsem SAS 12 Gbps o pojemności 18 TB?</w:t>
            </w:r>
          </w:p>
        </w:tc>
        <w:tc>
          <w:tcPr>
            <w:tcW w:w="6800" w:type="dxa"/>
            <w:tcBorders>
              <w:top w:val="single" w:sz="1" w:space="0" w:color="CCCCCC"/>
              <w:left w:val="single" w:sz="1" w:space="0" w:color="CCCCCC"/>
              <w:bottom w:val="single" w:sz="1" w:space="0" w:color="CCCCCC"/>
              <w:right w:val="single" w:sz="1" w:space="0" w:color="CCCCCC"/>
            </w:tcBorders>
            <w:shd w:val="clear" w:color="auto" w:fill="FFFFFF"/>
            <w:tcMar>
              <w:top w:w="110" w:type="dxa"/>
              <w:left w:w="180" w:type="dxa"/>
              <w:bottom w:w="110" w:type="dxa"/>
              <w:right w:w="180" w:type="dxa"/>
            </w:tcMar>
          </w:tcPr>
          <w:p w14:paraId="1D20001D" w14:textId="77777777" w:rsidR="007D543F" w:rsidRDefault="007D543F">
            <w:pPr>
              <w:spacing w:after="80"/>
              <w:rPr>
                <w:b/>
                <w:bCs/>
                <w:color w:val="1E7A45"/>
              </w:rPr>
            </w:pPr>
            <w:r>
              <w:rPr>
                <w:b/>
                <w:bCs/>
                <w:color w:val="1E7A45"/>
              </w:rPr>
              <w:t>Zamawiający przyjmuje wniosek.</w:t>
            </w:r>
          </w:p>
          <w:p w14:paraId="52F3A9D8" w14:textId="0F9F2649" w:rsidR="00EF39E5" w:rsidRDefault="007D543F">
            <w:r>
              <w:rPr>
                <w:color w:val="1A1A2E"/>
              </w:rPr>
              <w:t xml:space="preserve">Zamawiający dopuszcza zastosowanie dysków twardych z interfejsem SAS 12 Gbps o pojemności min. 18 TB, pod warunkiem że zaoferowana macierz zapewni wymaganą minimalną pojemność użytkową wskazaną w wymaganiu 4.5. </w:t>
            </w:r>
          </w:p>
        </w:tc>
      </w:tr>
      <w:tr w:rsidR="00EF39E5" w14:paraId="1FBF4C0D" w14:textId="77777777">
        <w:tc>
          <w:tcPr>
            <w:tcW w:w="6200" w:type="dxa"/>
            <w:tcBorders>
              <w:top w:val="single" w:sz="1" w:space="0" w:color="CCCCCC"/>
              <w:left w:val="single" w:sz="1" w:space="0" w:color="CCCCCC"/>
              <w:bottom w:val="single" w:sz="1" w:space="0" w:color="CCCCCC"/>
              <w:right w:val="single" w:sz="1" w:space="0" w:color="CCCCCC"/>
            </w:tcBorders>
            <w:shd w:val="clear" w:color="auto" w:fill="F5F7FA"/>
            <w:tcMar>
              <w:top w:w="110" w:type="dxa"/>
              <w:left w:w="180" w:type="dxa"/>
              <w:bottom w:w="110" w:type="dxa"/>
              <w:right w:w="180" w:type="dxa"/>
            </w:tcMar>
          </w:tcPr>
          <w:p w14:paraId="501B0CA4" w14:textId="77777777" w:rsidR="00EF39E5" w:rsidRDefault="007D543F">
            <w:pPr>
              <w:spacing w:after="70"/>
            </w:pPr>
            <w:r>
              <w:rPr>
                <w:b/>
                <w:bCs/>
                <w:color w:val="1A3A6A"/>
              </w:rPr>
              <w:t>Wymaganie 4.5</w:t>
            </w:r>
          </w:p>
          <w:p w14:paraId="38C0DBDA" w14:textId="77777777" w:rsidR="00EF39E5" w:rsidRDefault="00EF39E5">
            <w:pPr>
              <w:spacing w:after="70"/>
            </w:pPr>
          </w:p>
          <w:p w14:paraId="59BEFFBA" w14:textId="77777777" w:rsidR="00EF39E5" w:rsidRDefault="007D543F">
            <w:r>
              <w:rPr>
                <w:color w:val="1A1A2E"/>
              </w:rPr>
              <w:t>Czy Zamawiający ma na myśli przestrzeń użytkową dostępną dla serwerów? Czy Zamawiający zgodzi się na dostarczenie urządzenia udostępniającego serwerom przestrzeń użytkową o pojemności 1 570 TB?</w:t>
            </w:r>
          </w:p>
        </w:tc>
        <w:tc>
          <w:tcPr>
            <w:tcW w:w="6800" w:type="dxa"/>
            <w:tcBorders>
              <w:top w:val="single" w:sz="1" w:space="0" w:color="CCCCCC"/>
              <w:left w:val="single" w:sz="1" w:space="0" w:color="CCCCCC"/>
              <w:bottom w:val="single" w:sz="1" w:space="0" w:color="CCCCCC"/>
              <w:right w:val="single" w:sz="1" w:space="0" w:color="CCCCCC"/>
            </w:tcBorders>
            <w:shd w:val="clear" w:color="auto" w:fill="FFFFFF"/>
            <w:tcMar>
              <w:top w:w="110" w:type="dxa"/>
              <w:left w:w="180" w:type="dxa"/>
              <w:bottom w:w="110" w:type="dxa"/>
              <w:right w:w="180" w:type="dxa"/>
            </w:tcMar>
          </w:tcPr>
          <w:p w14:paraId="0B15963E" w14:textId="1898EBD3" w:rsidR="005A4A99" w:rsidRDefault="005A4A99" w:rsidP="005A4A99">
            <w:pPr>
              <w:spacing w:after="80"/>
              <w:rPr>
                <w:b/>
                <w:bCs/>
                <w:color w:val="1E7A45"/>
              </w:rPr>
            </w:pPr>
            <w:r>
              <w:rPr>
                <w:b/>
                <w:bCs/>
                <w:color w:val="1E7A45"/>
              </w:rPr>
              <w:t>Zamawiający przyjmuje wniosek.</w:t>
            </w:r>
            <w:r w:rsidR="00773754">
              <w:rPr>
                <w:b/>
                <w:bCs/>
                <w:color w:val="1E7A45"/>
              </w:rPr>
              <w:br/>
            </w:r>
            <w:r w:rsidR="00773754" w:rsidRPr="00773754">
              <w:rPr>
                <w:color w:val="1A1A2E"/>
              </w:rPr>
              <w:t>Zamawiający przyjmuje wniosek. Zamawiający dopuszcza przestrzeń użytkową nie mniejszą niż 1 570 TB jako spełnienie wymagania</w:t>
            </w:r>
          </w:p>
          <w:p w14:paraId="5031C0D3" w14:textId="07E128BE" w:rsidR="00EF39E5" w:rsidRDefault="00EF39E5"/>
        </w:tc>
      </w:tr>
      <w:tr w:rsidR="00EF39E5" w14:paraId="62C8E01A" w14:textId="77777777">
        <w:tc>
          <w:tcPr>
            <w:tcW w:w="6200" w:type="dxa"/>
            <w:tcBorders>
              <w:top w:val="single" w:sz="1" w:space="0" w:color="CCCCCC"/>
              <w:left w:val="single" w:sz="1" w:space="0" w:color="CCCCCC"/>
              <w:bottom w:val="single" w:sz="1" w:space="0" w:color="CCCCCC"/>
              <w:right w:val="single" w:sz="1" w:space="0" w:color="CCCCCC"/>
            </w:tcBorders>
            <w:shd w:val="clear" w:color="auto" w:fill="EEF4FB"/>
            <w:tcMar>
              <w:top w:w="110" w:type="dxa"/>
              <w:left w:w="180" w:type="dxa"/>
              <w:bottom w:w="110" w:type="dxa"/>
              <w:right w:w="180" w:type="dxa"/>
            </w:tcMar>
          </w:tcPr>
          <w:p w14:paraId="08D549B2" w14:textId="77777777" w:rsidR="00EF39E5" w:rsidRDefault="007D543F">
            <w:pPr>
              <w:spacing w:after="70"/>
            </w:pPr>
            <w:r>
              <w:rPr>
                <w:b/>
                <w:bCs/>
                <w:color w:val="1A3A6A"/>
              </w:rPr>
              <w:t>Wymaganie 4.9</w:t>
            </w:r>
          </w:p>
          <w:p w14:paraId="7978E343" w14:textId="77777777" w:rsidR="00EF39E5" w:rsidRDefault="00EF39E5">
            <w:pPr>
              <w:spacing w:after="70"/>
            </w:pPr>
          </w:p>
          <w:p w14:paraId="2DB38AFC" w14:textId="77777777" w:rsidR="00EF39E5" w:rsidRDefault="007D543F">
            <w:r>
              <w:rPr>
                <w:color w:val="1A1A2E"/>
              </w:rPr>
              <w:t>Czy Zamawiający zgodzi się na usunięcie zapisu o możliwości dodania kolejnych nodów? Wymaganie to znacznie ogranicza możliwość zaoferowania konkurencyjnych rozwiązań.</w:t>
            </w:r>
          </w:p>
        </w:tc>
        <w:tc>
          <w:tcPr>
            <w:tcW w:w="6800" w:type="dxa"/>
            <w:tcBorders>
              <w:top w:val="single" w:sz="1" w:space="0" w:color="CCCCCC"/>
              <w:left w:val="single" w:sz="1" w:space="0" w:color="CCCCCC"/>
              <w:bottom w:val="single" w:sz="1" w:space="0" w:color="CCCCCC"/>
              <w:right w:val="single" w:sz="1" w:space="0" w:color="CCCCCC"/>
            </w:tcBorders>
            <w:shd w:val="clear" w:color="auto" w:fill="FFFFFF"/>
            <w:tcMar>
              <w:top w:w="110" w:type="dxa"/>
              <w:left w:w="180" w:type="dxa"/>
              <w:bottom w:w="110" w:type="dxa"/>
              <w:right w:w="180" w:type="dxa"/>
            </w:tcMar>
          </w:tcPr>
          <w:p w14:paraId="1D20001E" w14:textId="77777777" w:rsidR="007D543F" w:rsidRDefault="007D543F">
            <w:pPr>
              <w:spacing w:after="80"/>
              <w:rPr>
                <w:b/>
                <w:bCs/>
                <w:color w:val="C00000"/>
              </w:rPr>
            </w:pPr>
            <w:r>
              <w:rPr>
                <w:b/>
                <w:bCs/>
                <w:color w:val="C00000"/>
              </w:rPr>
              <w:t>Zamawiający podtrzymuje wymaganie.</w:t>
            </w:r>
          </w:p>
          <w:p w14:paraId="5BE7B2F2" w14:textId="77777777" w:rsidR="00EF39E5" w:rsidRDefault="007D543F">
            <w:r>
              <w:rPr>
                <w:color w:val="1A1A2E"/>
              </w:rPr>
              <w:t>Zamawiający podtrzymuje wymaganie możliwości rozbudowy macierzy backupowej o kolejne węzły (scale-out) bez przerywania dostępu do danych. Wymóg ten wynika z planowanego wzrostu wolumenu danych archiwalnych i jest spełniany przez macierze klasy enterprise dostępne u co najmniej kilku producentów.</w:t>
            </w:r>
          </w:p>
        </w:tc>
      </w:tr>
      <w:tr w:rsidR="00EF39E5" w14:paraId="73F26F25" w14:textId="77777777">
        <w:tc>
          <w:tcPr>
            <w:tcW w:w="6200" w:type="dxa"/>
            <w:tcBorders>
              <w:top w:val="single" w:sz="1" w:space="0" w:color="CCCCCC"/>
              <w:left w:val="single" w:sz="1" w:space="0" w:color="CCCCCC"/>
              <w:bottom w:val="single" w:sz="1" w:space="0" w:color="CCCCCC"/>
              <w:right w:val="single" w:sz="1" w:space="0" w:color="CCCCCC"/>
            </w:tcBorders>
            <w:shd w:val="clear" w:color="auto" w:fill="F5F7FA"/>
            <w:tcMar>
              <w:top w:w="110" w:type="dxa"/>
              <w:left w:w="180" w:type="dxa"/>
              <w:bottom w:w="110" w:type="dxa"/>
              <w:right w:w="180" w:type="dxa"/>
            </w:tcMar>
          </w:tcPr>
          <w:p w14:paraId="4F4A3EC1" w14:textId="77777777" w:rsidR="00EF39E5" w:rsidRDefault="007D543F">
            <w:pPr>
              <w:spacing w:after="70"/>
            </w:pPr>
            <w:r>
              <w:rPr>
                <w:b/>
                <w:bCs/>
                <w:color w:val="1A3A6A"/>
              </w:rPr>
              <w:t>Wymaganie 4.10</w:t>
            </w:r>
          </w:p>
          <w:p w14:paraId="6E564EDF" w14:textId="77777777" w:rsidR="00EF39E5" w:rsidRDefault="00EF39E5">
            <w:pPr>
              <w:spacing w:after="70"/>
            </w:pPr>
          </w:p>
          <w:p w14:paraId="001CBC46" w14:textId="77777777" w:rsidR="00EF39E5" w:rsidRDefault="007D543F">
            <w:r>
              <w:rPr>
                <w:color w:val="1A1A2E"/>
              </w:rPr>
              <w:t>Czy Zamawiający wymaga dostarczenia urządzenia wyposażonego sumarycznie w 4 porty FC 32 Gbps?</w:t>
            </w:r>
          </w:p>
        </w:tc>
        <w:tc>
          <w:tcPr>
            <w:tcW w:w="6800" w:type="dxa"/>
            <w:tcBorders>
              <w:top w:val="single" w:sz="1" w:space="0" w:color="CCCCCC"/>
              <w:left w:val="single" w:sz="1" w:space="0" w:color="CCCCCC"/>
              <w:bottom w:val="single" w:sz="1" w:space="0" w:color="CCCCCC"/>
              <w:right w:val="single" w:sz="1" w:space="0" w:color="CCCCCC"/>
            </w:tcBorders>
            <w:shd w:val="clear" w:color="auto" w:fill="FFFFFF"/>
            <w:tcMar>
              <w:top w:w="110" w:type="dxa"/>
              <w:left w:w="180" w:type="dxa"/>
              <w:bottom w:w="110" w:type="dxa"/>
              <w:right w:w="180" w:type="dxa"/>
            </w:tcMar>
          </w:tcPr>
          <w:p w14:paraId="1D20001F" w14:textId="77777777" w:rsidR="007D543F" w:rsidRDefault="007D543F">
            <w:pPr>
              <w:spacing w:after="80"/>
              <w:rPr>
                <w:b/>
                <w:bCs/>
                <w:color w:val="1A3A7A"/>
              </w:rPr>
            </w:pPr>
            <w:r>
              <w:rPr>
                <w:b/>
                <w:bCs/>
                <w:color w:val="1A3A7A"/>
              </w:rPr>
              <w:t>Zamawiający wyjaśnia.</w:t>
            </w:r>
          </w:p>
          <w:p w14:paraId="696F7543" w14:textId="77777777" w:rsidR="00EF39E5" w:rsidRDefault="007D543F">
            <w:r>
              <w:rPr>
                <w:color w:val="1A1A2E"/>
              </w:rPr>
              <w:t>Zamawiający potwierdza: wymaganie dotyczy łącznie 4 portów FC 32 Gbps dla całego klastra (2 węzły × minimum 2 porty FC = 4 porty łącznie). Każdy węzeł musi posiadać minimum 2 porty FC umożliwiające podłączenie do obu fabric (Fabric A i Fabric B).</w:t>
            </w:r>
          </w:p>
        </w:tc>
      </w:tr>
      <w:tr w:rsidR="005A4A99" w14:paraId="1020004E" w14:textId="77777777">
        <w:tc>
          <w:tcPr>
            <w:tcW w:w="6200" w:type="dxa"/>
            <w:tcBorders>
              <w:top w:val="single" w:sz="1" w:space="0" w:color="CCCCCC"/>
              <w:left w:val="single" w:sz="1" w:space="0" w:color="CCCCCC"/>
              <w:bottom w:val="single" w:sz="1" w:space="0" w:color="CCCCCC"/>
              <w:right w:val="single" w:sz="1" w:space="0" w:color="CCCCCC"/>
            </w:tcBorders>
            <w:shd w:val="clear" w:color="auto" w:fill="EEF4FB"/>
            <w:tcMar>
              <w:top w:w="110" w:type="dxa"/>
              <w:left w:w="180" w:type="dxa"/>
              <w:bottom w:w="110" w:type="dxa"/>
              <w:right w:w="180" w:type="dxa"/>
            </w:tcMar>
          </w:tcPr>
          <w:p w14:paraId="1020004A" w14:textId="77777777" w:rsidR="005A4A99" w:rsidRDefault="005A4A99" w:rsidP="005A4A99">
            <w:pPr>
              <w:spacing w:after="70"/>
            </w:pPr>
            <w:r>
              <w:rPr>
                <w:b/>
                <w:bCs/>
                <w:color w:val="1A3A6A"/>
              </w:rPr>
              <w:lastRenderedPageBreak/>
              <w:t>Macierz Backupowa — protokoły plikowe CIFS/NFS i porty ETH</w:t>
            </w:r>
          </w:p>
          <w:p w14:paraId="1020004B" w14:textId="77777777" w:rsidR="005A4A99" w:rsidRDefault="005A4A99" w:rsidP="005A4A99">
            <w:pPr>
              <w:spacing w:after="70"/>
            </w:pPr>
          </w:p>
          <w:p w14:paraId="1020004C" w14:textId="77777777" w:rsidR="005A4A99" w:rsidRDefault="005A4A99" w:rsidP="005A4A99">
            <w:pPr>
              <w:spacing w:after="70"/>
            </w:pPr>
            <w:r>
              <w:rPr>
                <w:color w:val="1A1A2E"/>
              </w:rPr>
              <w:t>Zamawiający opisuje macierz jako urządzenie blokowo-plikowe jednocześnie specyfikując tylko porty FC/NVMe. Czy Zamawiający wymaga dostarczenia rozwiązania z protokołami CIFS/NFS oraz z jaką ilością portów ETH?</w:t>
            </w:r>
          </w:p>
        </w:tc>
        <w:tc>
          <w:tcPr>
            <w:tcW w:w="6800" w:type="dxa"/>
            <w:tcBorders>
              <w:top w:val="single" w:sz="1" w:space="0" w:color="CCCCCC"/>
              <w:left w:val="single" w:sz="1" w:space="0" w:color="CCCCCC"/>
              <w:bottom w:val="single" w:sz="1" w:space="0" w:color="CCCCCC"/>
              <w:right w:val="single" w:sz="1" w:space="0" w:color="CCCCCC"/>
            </w:tcBorders>
            <w:shd w:val="clear" w:color="auto" w:fill="FFFFFF"/>
            <w:tcMar>
              <w:top w:w="110" w:type="dxa"/>
              <w:left w:w="180" w:type="dxa"/>
              <w:bottom w:w="110" w:type="dxa"/>
              <w:right w:w="180" w:type="dxa"/>
            </w:tcMar>
          </w:tcPr>
          <w:p w14:paraId="63E96CCB" w14:textId="77777777" w:rsidR="005A4A99" w:rsidRDefault="005A4A99" w:rsidP="005A4A99">
            <w:pPr>
              <w:spacing w:after="80"/>
              <w:rPr>
                <w:b/>
                <w:bCs/>
                <w:color w:val="1E7A45"/>
              </w:rPr>
            </w:pPr>
            <w:r>
              <w:rPr>
                <w:b/>
                <w:bCs/>
                <w:color w:val="1E7A45"/>
              </w:rPr>
              <w:t>Zamawiający przyjmuje wniosek.</w:t>
            </w:r>
          </w:p>
          <w:p w14:paraId="1020004D" w14:textId="678C8A92" w:rsidR="005A4A99" w:rsidRDefault="005A4A99" w:rsidP="005A4A99">
            <w:pPr>
              <w:spacing w:after="70"/>
            </w:pPr>
            <w:r>
              <w:rPr>
                <w:color w:val="1A1A2E"/>
              </w:rPr>
              <w:t xml:space="preserve">Zamawiający przyjmuje uwagę. Zapis o zasobach plikowych zostaje usunięty. Kontrolery udostępniają wyłącznie urządzenia LUN (FC/iSCSI). Wymaganie zostanie zmienione na brzmienie zaproponowane przez Wykonawcę. </w:t>
            </w:r>
          </w:p>
        </w:tc>
      </w:tr>
      <w:tr w:rsidR="005A4A99" w14:paraId="10200053" w14:textId="77777777">
        <w:tc>
          <w:tcPr>
            <w:tcW w:w="6200" w:type="dxa"/>
            <w:tcBorders>
              <w:top w:val="single" w:sz="1" w:space="0" w:color="CCCCCC"/>
              <w:left w:val="single" w:sz="1" w:space="0" w:color="CCCCCC"/>
              <w:bottom w:val="single" w:sz="1" w:space="0" w:color="CCCCCC"/>
              <w:right w:val="single" w:sz="1" w:space="0" w:color="CCCCCC"/>
            </w:tcBorders>
            <w:shd w:val="clear" w:color="auto" w:fill="F5F7FA"/>
            <w:tcMar>
              <w:top w:w="110" w:type="dxa"/>
              <w:left w:w="180" w:type="dxa"/>
              <w:bottom w:w="110" w:type="dxa"/>
              <w:right w:w="180" w:type="dxa"/>
            </w:tcMar>
          </w:tcPr>
          <w:p w14:paraId="1020004F" w14:textId="77777777" w:rsidR="005A4A99" w:rsidRDefault="005A4A99" w:rsidP="005A4A99">
            <w:pPr>
              <w:spacing w:after="70"/>
            </w:pPr>
            <w:r>
              <w:rPr>
                <w:b/>
                <w:bCs/>
                <w:color w:val="1A3A6A"/>
              </w:rPr>
              <w:t>Macierz Backupowa — tryb ALUA (asymetryczne active-active)</w:t>
            </w:r>
          </w:p>
          <w:p w14:paraId="10200050" w14:textId="77777777" w:rsidR="005A4A99" w:rsidRDefault="005A4A99" w:rsidP="005A4A99">
            <w:pPr>
              <w:spacing w:after="70"/>
            </w:pPr>
          </w:p>
          <w:p w14:paraId="10200051" w14:textId="77777777" w:rsidR="005A4A99" w:rsidRDefault="005A4A99" w:rsidP="005A4A99">
            <w:pPr>
              <w:spacing w:after="70"/>
            </w:pPr>
            <w:r>
              <w:rPr>
                <w:color w:val="1A1A2E"/>
              </w:rPr>
              <w:t>Czy Zamawiający dopuszcza rozwiązanie macierzowe pracujące w trybie asymetrycznego active-active (ALUA)? Oba kontrolery aktywnie obsługują operacje I/O, dostęp do LUN realizowany zgodnie ze standardem ALUA powszechnie wspieranym przez systemy operacyjne i aplikacje.</w:t>
            </w:r>
          </w:p>
        </w:tc>
        <w:tc>
          <w:tcPr>
            <w:tcW w:w="6800" w:type="dxa"/>
            <w:tcBorders>
              <w:top w:val="single" w:sz="1" w:space="0" w:color="CCCCCC"/>
              <w:left w:val="single" w:sz="1" w:space="0" w:color="CCCCCC"/>
              <w:bottom w:val="single" w:sz="1" w:space="0" w:color="CCCCCC"/>
              <w:right w:val="single" w:sz="1" w:space="0" w:color="CCCCCC"/>
            </w:tcBorders>
            <w:shd w:val="clear" w:color="auto" w:fill="FFFFFF"/>
            <w:tcMar>
              <w:top w:w="110" w:type="dxa"/>
              <w:left w:w="180" w:type="dxa"/>
              <w:bottom w:w="110" w:type="dxa"/>
              <w:right w:w="180" w:type="dxa"/>
            </w:tcMar>
          </w:tcPr>
          <w:p w14:paraId="13A9217A" w14:textId="77777777" w:rsidR="005A4A99" w:rsidRDefault="005A4A99" w:rsidP="005A4A99">
            <w:pPr>
              <w:spacing w:after="80"/>
              <w:rPr>
                <w:b/>
                <w:bCs/>
                <w:color w:val="1E7A45"/>
              </w:rPr>
            </w:pPr>
            <w:r>
              <w:rPr>
                <w:b/>
                <w:bCs/>
                <w:color w:val="1E7A45"/>
              </w:rPr>
              <w:t>Zamawiający przyjmuje wniosek.</w:t>
            </w:r>
          </w:p>
          <w:p w14:paraId="10200052" w14:textId="66C1C8B8" w:rsidR="005A4A99" w:rsidRDefault="00773754" w:rsidP="005A4A99">
            <w:pPr>
              <w:spacing w:after="70"/>
            </w:pPr>
            <w:r w:rsidRPr="00773754">
              <w:t>Zamawiający przyjmuje wniosek. Zamawiający dopuszcza ALUA dla macierzy backupowej — analogicznie jak dla macierzy produkcyjnej: oba kontrolery aktywnie obsługują I/O, żaden nie pełni wyłącznie roli przekaźnika ruchu</w:t>
            </w:r>
          </w:p>
        </w:tc>
      </w:tr>
      <w:tr w:rsidR="005A4A99" w14:paraId="10200058" w14:textId="77777777">
        <w:tc>
          <w:tcPr>
            <w:tcW w:w="6200" w:type="dxa"/>
            <w:tcBorders>
              <w:top w:val="single" w:sz="1" w:space="0" w:color="CCCCCC"/>
              <w:left w:val="single" w:sz="1" w:space="0" w:color="CCCCCC"/>
              <w:bottom w:val="single" w:sz="1" w:space="0" w:color="CCCCCC"/>
              <w:right w:val="single" w:sz="1" w:space="0" w:color="CCCCCC"/>
            </w:tcBorders>
            <w:shd w:val="clear" w:color="auto" w:fill="EEF4FB"/>
            <w:tcMar>
              <w:top w:w="110" w:type="dxa"/>
              <w:left w:w="180" w:type="dxa"/>
              <w:bottom w:w="110" w:type="dxa"/>
              <w:right w:w="180" w:type="dxa"/>
            </w:tcMar>
          </w:tcPr>
          <w:p w14:paraId="10200054" w14:textId="77777777" w:rsidR="005A4A99" w:rsidRDefault="005A4A99" w:rsidP="005A4A99">
            <w:pPr>
              <w:spacing w:after="70"/>
            </w:pPr>
            <w:r>
              <w:rPr>
                <w:b/>
                <w:bCs/>
                <w:color w:val="1A3A6A"/>
              </w:rPr>
              <w:t>Macierz Backupowa — rozbudowa (scale-out)</w:t>
            </w:r>
          </w:p>
          <w:p w14:paraId="10200055" w14:textId="77777777" w:rsidR="005A4A99" w:rsidRDefault="005A4A99" w:rsidP="005A4A99">
            <w:pPr>
              <w:spacing w:after="70"/>
            </w:pPr>
          </w:p>
          <w:p w14:paraId="10200056" w14:textId="77777777" w:rsidR="005A4A99" w:rsidRDefault="005A4A99" w:rsidP="005A4A99">
            <w:pPr>
              <w:spacing w:after="70"/>
            </w:pPr>
            <w:r>
              <w:rPr>
                <w:color w:val="1A1A2E"/>
              </w:rPr>
              <w:t>Wnosimy o zmianę zapisu dotyczącego rozbudowy: wykreślenie określenia „(scale-out)” i zmianę treści na: „Macierz musi umożliwiać rozbudowę (bez wymiany kontrolerów macierzy) do co najmniej 120 dysków 3,5” oraz minimum 2,88 PB pojemności surowej.”</w:t>
            </w:r>
          </w:p>
        </w:tc>
        <w:tc>
          <w:tcPr>
            <w:tcW w:w="6800" w:type="dxa"/>
            <w:tcBorders>
              <w:top w:val="single" w:sz="1" w:space="0" w:color="CCCCCC"/>
              <w:left w:val="single" w:sz="1" w:space="0" w:color="CCCCCC"/>
              <w:bottom w:val="single" w:sz="1" w:space="0" w:color="CCCCCC"/>
              <w:right w:val="single" w:sz="1" w:space="0" w:color="CCCCCC"/>
            </w:tcBorders>
            <w:shd w:val="clear" w:color="auto" w:fill="FFFFFF"/>
            <w:tcMar>
              <w:top w:w="110" w:type="dxa"/>
              <w:left w:w="180" w:type="dxa"/>
              <w:bottom w:w="110" w:type="dxa"/>
              <w:right w:w="180" w:type="dxa"/>
            </w:tcMar>
          </w:tcPr>
          <w:p w14:paraId="1D200022" w14:textId="77777777" w:rsidR="005A4A99" w:rsidRDefault="005A4A99" w:rsidP="005A4A99">
            <w:pPr>
              <w:spacing w:after="80"/>
              <w:rPr>
                <w:b/>
                <w:bCs/>
                <w:color w:val="1E7A45"/>
              </w:rPr>
            </w:pPr>
            <w:r>
              <w:rPr>
                <w:b/>
                <w:bCs/>
                <w:color w:val="1E7A45"/>
              </w:rPr>
              <w:t>Zamawiający przyjmuje wniosek.</w:t>
            </w:r>
          </w:p>
          <w:p w14:paraId="10200057" w14:textId="15ACEAE5" w:rsidR="005A4A99" w:rsidRDefault="005A4A99" w:rsidP="005A4A99">
            <w:pPr>
              <w:spacing w:after="70"/>
            </w:pPr>
            <w:r>
              <w:rPr>
                <w:color w:val="1A1A2E"/>
              </w:rPr>
              <w:t xml:space="preserve">Zamawiający przyjmuje wniosek. Zapis zostaje zmieniony na: „Macierz musi umożliwiać rozbudowę bez wymiany kontrolerów macierzy do co najmniej 120 dysków 3,5 cala oraz minimum 2,88 PB pojemności surowej.” Określenie „(scale-out)” zostaje usunięte. </w:t>
            </w:r>
          </w:p>
        </w:tc>
      </w:tr>
      <w:tr w:rsidR="005A4A99" w14:paraId="1020006C" w14:textId="77777777">
        <w:tc>
          <w:tcPr>
            <w:tcW w:w="6200" w:type="dxa"/>
            <w:tcBorders>
              <w:top w:val="single" w:sz="1" w:space="0" w:color="CCCCCC"/>
              <w:left w:val="single" w:sz="1" w:space="0" w:color="CCCCCC"/>
              <w:bottom w:val="single" w:sz="1" w:space="0" w:color="CCCCCC"/>
              <w:right w:val="single" w:sz="1" w:space="0" w:color="CCCCCC"/>
            </w:tcBorders>
            <w:shd w:val="clear" w:color="auto" w:fill="F5F7FA"/>
            <w:tcMar>
              <w:top w:w="110" w:type="dxa"/>
              <w:left w:w="180" w:type="dxa"/>
              <w:bottom w:w="110" w:type="dxa"/>
              <w:right w:w="180" w:type="dxa"/>
            </w:tcMar>
          </w:tcPr>
          <w:p w14:paraId="10200059" w14:textId="77777777" w:rsidR="005A4A99" w:rsidRDefault="005A4A99" w:rsidP="005A4A99">
            <w:pPr>
              <w:spacing w:after="70"/>
            </w:pPr>
            <w:r>
              <w:rPr>
                <w:b/>
                <w:bCs/>
                <w:color w:val="1A3A6A"/>
              </w:rPr>
              <w:t>Macierz Backupowa — wniosek o wykreślenie lub zmianę podpunktów</w:t>
            </w:r>
          </w:p>
          <w:p w14:paraId="1020005A" w14:textId="77777777" w:rsidR="005A4A99" w:rsidRDefault="005A4A99" w:rsidP="005A4A99">
            <w:pPr>
              <w:spacing w:after="70"/>
            </w:pPr>
          </w:p>
          <w:p w14:paraId="1020005B" w14:textId="77777777" w:rsidR="005A4A99" w:rsidRDefault="005A4A99" w:rsidP="005A4A99">
            <w:pPr>
              <w:spacing w:after="70"/>
            </w:pPr>
            <w:r>
              <w:rPr>
                <w:color w:val="1A1A2E"/>
              </w:rPr>
              <w:t>Wnosimy o następujące zmiany w sekcji Macierzy Backupowej:</w:t>
            </w:r>
          </w:p>
          <w:p w14:paraId="1020005C" w14:textId="77777777" w:rsidR="005A4A99" w:rsidRDefault="005A4A99" w:rsidP="005A4A99">
            <w:pPr>
              <w:spacing w:after="70"/>
            </w:pPr>
            <w:r>
              <w:rPr>
                <w:color w:val="1A1A2E"/>
              </w:rPr>
              <w:t>1. Wykreślenie podpunktu „Szyfrowanie at rest”.</w:t>
            </w:r>
          </w:p>
          <w:p w14:paraId="1020005D" w14:textId="77777777" w:rsidR="005A4A99" w:rsidRDefault="005A4A99" w:rsidP="005A4A99">
            <w:pPr>
              <w:spacing w:after="70"/>
            </w:pPr>
            <w:r>
              <w:rPr>
                <w:color w:val="1A1A2E"/>
              </w:rPr>
              <w:t>2. Wykreślenie podpunktu „KMIP”.</w:t>
            </w:r>
          </w:p>
          <w:p w14:paraId="1020005E" w14:textId="77777777" w:rsidR="005A4A99" w:rsidRDefault="005A4A99" w:rsidP="005A4A99">
            <w:pPr>
              <w:spacing w:after="70"/>
            </w:pPr>
            <w:r>
              <w:rPr>
                <w:color w:val="1A1A2E"/>
              </w:rPr>
              <w:t>3. Wykreślenie podpunktu „Migawki z blokadą retencji” i zastąpienie zapisem o standardowych wewnętrznych kopiach migawkowych (min. 512 migawek, bez alokacji dodatkowej przestrzeni).</w:t>
            </w:r>
          </w:p>
          <w:p w14:paraId="1020005F" w14:textId="77777777" w:rsidR="005A4A99" w:rsidRDefault="005A4A99" w:rsidP="005A4A99">
            <w:pPr>
              <w:spacing w:after="70"/>
            </w:pPr>
            <w:r>
              <w:rPr>
                <w:color w:val="1A1A2E"/>
              </w:rPr>
              <w:t>4. Wykreślenie podpunktu „Wykrywanie anomalii (ransomware)”.</w:t>
            </w:r>
          </w:p>
          <w:p w14:paraId="10200060" w14:textId="77777777" w:rsidR="005A4A99" w:rsidRDefault="005A4A99" w:rsidP="005A4A99">
            <w:pPr>
              <w:spacing w:after="70"/>
            </w:pPr>
            <w:r>
              <w:rPr>
                <w:color w:val="1A1A2E"/>
              </w:rPr>
              <w:t>5. Wykreślenie podpunktu „Podpisywanie firmware”.</w:t>
            </w:r>
          </w:p>
          <w:p w14:paraId="10200061" w14:textId="77777777" w:rsidR="005A4A99" w:rsidRDefault="005A4A99" w:rsidP="005A4A99">
            <w:pPr>
              <w:spacing w:after="70"/>
            </w:pPr>
            <w:r>
              <w:rPr>
                <w:color w:val="1A1A2E"/>
              </w:rPr>
              <w:t>6. Wykreślenie podpunktów „Deduplikacja” i „Kompresja”.</w:t>
            </w:r>
          </w:p>
          <w:p w14:paraId="10200062" w14:textId="77777777" w:rsidR="005A4A99" w:rsidRDefault="005A4A99" w:rsidP="005A4A99">
            <w:pPr>
              <w:spacing w:after="70"/>
            </w:pPr>
            <w:r>
              <w:rPr>
                <w:color w:val="1A1A2E"/>
              </w:rPr>
              <w:t>7. Wykreślenie podpunktu „Certyfikacja VASA”.</w:t>
            </w:r>
          </w:p>
        </w:tc>
        <w:tc>
          <w:tcPr>
            <w:tcW w:w="6800" w:type="dxa"/>
            <w:tcBorders>
              <w:top w:val="single" w:sz="1" w:space="0" w:color="CCCCCC"/>
              <w:left w:val="single" w:sz="1" w:space="0" w:color="CCCCCC"/>
              <w:bottom w:val="single" w:sz="1" w:space="0" w:color="CCCCCC"/>
              <w:right w:val="single" w:sz="1" w:space="0" w:color="CCCCCC"/>
            </w:tcBorders>
            <w:shd w:val="clear" w:color="auto" w:fill="FFFFFF"/>
            <w:tcMar>
              <w:top w:w="110" w:type="dxa"/>
              <w:left w:w="180" w:type="dxa"/>
              <w:bottom w:w="110" w:type="dxa"/>
              <w:right w:w="180" w:type="dxa"/>
            </w:tcMar>
          </w:tcPr>
          <w:p w14:paraId="1D200023" w14:textId="77777777" w:rsidR="005A4A99" w:rsidRDefault="005A4A99" w:rsidP="005A4A99">
            <w:pPr>
              <w:spacing w:after="80"/>
              <w:rPr>
                <w:b/>
                <w:bCs/>
                <w:color w:val="B8860B"/>
              </w:rPr>
            </w:pPr>
            <w:r>
              <w:rPr>
                <w:b/>
                <w:bCs/>
                <w:color w:val="B8860B"/>
              </w:rPr>
              <w:t>Zamawiający częściowo przyjmuje wniosek.</w:t>
            </w:r>
          </w:p>
          <w:p w14:paraId="10200063" w14:textId="77777777" w:rsidR="005A4A99" w:rsidRDefault="005A4A99" w:rsidP="005A4A99">
            <w:pPr>
              <w:spacing w:after="70"/>
            </w:pPr>
            <w:r>
              <w:rPr>
                <w:color w:val="1A1A2E"/>
              </w:rPr>
              <w:t>Zamawiający rozpatruje wnioski następująco:</w:t>
            </w:r>
          </w:p>
          <w:p w14:paraId="10200064" w14:textId="77777777" w:rsidR="005A4A99" w:rsidRDefault="005A4A99" w:rsidP="005A4A99">
            <w:pPr>
              <w:spacing w:after="70"/>
            </w:pPr>
          </w:p>
          <w:p w14:paraId="10200065" w14:textId="77777777" w:rsidR="005A4A99" w:rsidRDefault="005A4A99" w:rsidP="005A4A99">
            <w:pPr>
              <w:spacing w:after="70"/>
            </w:pPr>
            <w:r>
              <w:rPr>
                <w:color w:val="1A1A2E"/>
              </w:rPr>
              <w:t>1. Szyfrowanie at-rest (4.12) — Zamawiający nie przyjmuje wniosku. Wymaganie pozostaje. PFRON jako podmiot kluczowy KSC jest zobowiązany do stosowania szyfrowania danych w spoczynku. Wymaganie jest spełniane przez macierze klasy enterprise dostępne na rynku u co najmniej kilku producentów.</w:t>
            </w:r>
          </w:p>
          <w:p w14:paraId="10200066" w14:textId="77777777" w:rsidR="005A4A99" w:rsidRDefault="005A4A99" w:rsidP="005A4A99">
            <w:pPr>
              <w:spacing w:after="70"/>
            </w:pPr>
            <w:r>
              <w:rPr>
                <w:color w:val="1A1A2E"/>
              </w:rPr>
              <w:t>2. KMIP (4.13) — Zamawiający nie przyjmuje wniosku. Wymaganie pozostaje. Centralne zarządzanie kluczami szyfrowania przez serwer KMIP jest wymogiem bezpieczeństwa zgodnym z KSC i RODO.</w:t>
            </w:r>
          </w:p>
          <w:p w14:paraId="10200067" w14:textId="77777777" w:rsidR="005A4A99" w:rsidRDefault="005A4A99" w:rsidP="005A4A99">
            <w:pPr>
              <w:spacing w:after="70"/>
            </w:pPr>
            <w:r>
              <w:rPr>
                <w:color w:val="1A1A2E"/>
              </w:rPr>
              <w:t>3. Migawki z blokadą retencji (4.14) — Zamawiający nie przyjmuje wniosku. Wymaganie pozostaje. Niemodyfikowalne migawki z czasową blokadą retencji stanowią kluczowy mechanizm ochrony danych backupowych przed atakami ransomware. Wymaganie spełniane przez macierze klasy enterprise dostępne na rynku.</w:t>
            </w:r>
          </w:p>
          <w:p w14:paraId="10200068" w14:textId="77777777" w:rsidR="005A4A99" w:rsidRDefault="005A4A99" w:rsidP="005A4A99">
            <w:pPr>
              <w:spacing w:after="70"/>
            </w:pPr>
            <w:r>
              <w:rPr>
                <w:color w:val="1A1A2E"/>
              </w:rPr>
              <w:t xml:space="preserve">4. Wykrywanie anomalii (4.16) — Zamawiający nie przyjmuje wniosku. Wymaganie pozostaje. Proaktywne wykrywanie wzorców szyfrowania </w:t>
            </w:r>
            <w:r>
              <w:rPr>
                <w:color w:val="1A1A2E"/>
              </w:rPr>
              <w:lastRenderedPageBreak/>
              <w:t>ransomware i automatyczne tworzenie migawki ochronnej jest wymaganiem zgodności z polityką cyberbezpieczeństwa KSC.</w:t>
            </w:r>
          </w:p>
          <w:p w14:paraId="10200069" w14:textId="77777777" w:rsidR="005A4A99" w:rsidRDefault="005A4A99" w:rsidP="005A4A99">
            <w:pPr>
              <w:spacing w:after="70"/>
            </w:pPr>
            <w:r>
              <w:rPr>
                <w:color w:val="1A1A2E"/>
              </w:rPr>
              <w:t>5. 5. Podpisywanie firmware (4.17) — Zamawiający nie przyjmuje wniosku. Wymaganie pozostaje. Weryfikacja cyfrowego podpisu firmware przed instalacją jest podstawowym wymogiem bezpieczeństwa sprzętu dla podmiotu kluczowego KSC.</w:t>
            </w:r>
          </w:p>
          <w:p w14:paraId="1020006A" w14:textId="77777777" w:rsidR="005A4A99" w:rsidRDefault="005A4A99" w:rsidP="005A4A99">
            <w:pPr>
              <w:spacing w:after="70"/>
            </w:pPr>
            <w:r>
              <w:rPr>
                <w:color w:val="1A1A2E"/>
              </w:rPr>
              <w:t>6. Deduplikacja (4.19) i Kompresja (4.20) — Zamawiający nie przyjmuje wniosku. Wymagania pozostają. Mechanizmy redukcji danych są standardem dla macierzy klasy enterprise i istotnie wpływają na ekonomikę przechowywania danych backupowych (redukcja 2–5x). Wymagania spełniane przez dostępne na rynku macierze klasy enterprise.</w:t>
            </w:r>
          </w:p>
          <w:p w14:paraId="1020006B" w14:textId="25BBFD3A" w:rsidR="005A4A99" w:rsidRDefault="005A4A99" w:rsidP="005A4A99">
            <w:pPr>
              <w:spacing w:after="70"/>
            </w:pPr>
            <w:r>
              <w:rPr>
                <w:color w:val="1A1A2E"/>
              </w:rPr>
              <w:t xml:space="preserve">7. Certyfikacja VASA (4.24) — Zamawiający przyjmuje wniosek. Wymaganie VASA zostaje wykreślone z sekcji macierzy backupowej. Certyfikacja VASA dotyczy integracji VMware SPBM i jest wymagana wyłącznie dla macierzy produkcyjnej. Macierz backupowa pełni rolę celu Veeam Backup i nie wymaga VASA. </w:t>
            </w:r>
          </w:p>
        </w:tc>
      </w:tr>
      <w:tr w:rsidR="005A4A99" w14:paraId="10200071" w14:textId="77777777">
        <w:tc>
          <w:tcPr>
            <w:tcW w:w="6200" w:type="dxa"/>
            <w:tcBorders>
              <w:top w:val="single" w:sz="1" w:space="0" w:color="CCCCCC"/>
              <w:left w:val="single" w:sz="1" w:space="0" w:color="CCCCCC"/>
              <w:bottom w:val="single" w:sz="1" w:space="0" w:color="CCCCCC"/>
              <w:right w:val="single" w:sz="1" w:space="0" w:color="CCCCCC"/>
            </w:tcBorders>
            <w:shd w:val="clear" w:color="auto" w:fill="EEF4FB"/>
            <w:tcMar>
              <w:top w:w="110" w:type="dxa"/>
              <w:left w:w="180" w:type="dxa"/>
              <w:bottom w:w="110" w:type="dxa"/>
              <w:right w:w="180" w:type="dxa"/>
            </w:tcMar>
          </w:tcPr>
          <w:p w14:paraId="1020006D" w14:textId="77777777" w:rsidR="005A4A99" w:rsidRDefault="005A4A99" w:rsidP="005A4A99">
            <w:pPr>
              <w:spacing w:after="70"/>
            </w:pPr>
            <w:r>
              <w:rPr>
                <w:b/>
                <w:bCs/>
                <w:color w:val="1A3A6A"/>
              </w:rPr>
              <w:lastRenderedPageBreak/>
              <w:t>Macierz Backupowa — Serwis gwarancyjny</w:t>
            </w:r>
          </w:p>
          <w:p w14:paraId="1020006E" w14:textId="77777777" w:rsidR="005A4A99" w:rsidRDefault="005A4A99" w:rsidP="005A4A99">
            <w:pPr>
              <w:spacing w:after="70"/>
            </w:pPr>
          </w:p>
          <w:p w14:paraId="1020006F" w14:textId="77777777" w:rsidR="005A4A99" w:rsidRDefault="005A4A99" w:rsidP="005A4A99">
            <w:pPr>
              <w:spacing w:after="70"/>
            </w:pPr>
            <w:r>
              <w:rPr>
                <w:color w:val="1A1A2E"/>
              </w:rPr>
              <w:t>Wnosimy o zmianę zapisu serwisu gwarancyjnego: usunięcie fragmentu o pobieraniu uaktualnień po wygaśnięciu gwarancji i zastąpienie prawem do poprawek i aktualizacji w okresie gwarancji.</w:t>
            </w:r>
          </w:p>
        </w:tc>
        <w:tc>
          <w:tcPr>
            <w:tcW w:w="6800" w:type="dxa"/>
            <w:tcBorders>
              <w:top w:val="single" w:sz="1" w:space="0" w:color="CCCCCC"/>
              <w:left w:val="single" w:sz="1" w:space="0" w:color="CCCCCC"/>
              <w:bottom w:val="single" w:sz="1" w:space="0" w:color="CCCCCC"/>
              <w:right w:val="single" w:sz="1" w:space="0" w:color="CCCCCC"/>
            </w:tcBorders>
            <w:shd w:val="clear" w:color="auto" w:fill="FFFFFF"/>
            <w:tcMar>
              <w:top w:w="110" w:type="dxa"/>
              <w:left w:w="180" w:type="dxa"/>
              <w:bottom w:w="110" w:type="dxa"/>
              <w:right w:w="180" w:type="dxa"/>
            </w:tcMar>
          </w:tcPr>
          <w:p w14:paraId="1D200024" w14:textId="77777777" w:rsidR="005A4A99" w:rsidRDefault="005A4A99" w:rsidP="005A4A99">
            <w:pPr>
              <w:spacing w:after="80"/>
              <w:rPr>
                <w:b/>
                <w:bCs/>
                <w:color w:val="1E7A45"/>
              </w:rPr>
            </w:pPr>
            <w:r>
              <w:rPr>
                <w:b/>
                <w:bCs/>
                <w:color w:val="1E7A45"/>
              </w:rPr>
              <w:t>Zamawiający przyjmuje wniosek.</w:t>
            </w:r>
          </w:p>
          <w:p w14:paraId="10200070" w14:textId="37EE7017" w:rsidR="005A4A99" w:rsidRDefault="005A4A99" w:rsidP="005A4A99">
            <w:pPr>
              <w:spacing w:after="70"/>
            </w:pPr>
            <w:r>
              <w:rPr>
                <w:color w:val="1A1A2E"/>
              </w:rPr>
              <w:t xml:space="preserve">Zamawiający przyjmuje wniosek — analogicznie jak dla macierzy produkcyjnej i na podstawie odpowiedzi ogólnej dotyczącej wymagania 4.32. Zapis serwisu gwarancyjnego macierzy backupowej zostaje zmieniony na: „Możliwość sprawdzenia statusu gwarancji przez stronę producenta podając unikalny numer urządzenia. W okresie gwarancji Zamawiający ma prawo do otrzymywania poprawek oraz aktualizacji wersji oprogramowania dostarczonego wraz z macierzą oraz oprogramowania wewnętrznego macierzy.” </w:t>
            </w:r>
          </w:p>
        </w:tc>
      </w:tr>
      <w:tr w:rsidR="005A4A99" w14:paraId="03E7DEB3" w14:textId="77777777">
        <w:tc>
          <w:tcPr>
            <w:tcW w:w="13000" w:type="dxa"/>
            <w:gridSpan w:val="2"/>
            <w:tcBorders>
              <w:top w:val="single" w:sz="1" w:space="0" w:color="CCCCCC"/>
              <w:left w:val="single" w:sz="1" w:space="0" w:color="CCCCCC"/>
              <w:bottom w:val="single" w:sz="1" w:space="0" w:color="CCCCCC"/>
              <w:right w:val="single" w:sz="1" w:space="0" w:color="CCCCCC"/>
            </w:tcBorders>
            <w:shd w:val="clear" w:color="auto" w:fill="1F3864"/>
            <w:tcMar>
              <w:top w:w="90" w:type="dxa"/>
              <w:left w:w="180" w:type="dxa"/>
              <w:bottom w:w="90" w:type="dxa"/>
              <w:right w:w="180" w:type="dxa"/>
            </w:tcMar>
          </w:tcPr>
          <w:p w14:paraId="369EC492" w14:textId="77777777" w:rsidR="005A4A99" w:rsidRDefault="005A4A99" w:rsidP="005A4A99">
            <w:r>
              <w:rPr>
                <w:b/>
                <w:bCs/>
                <w:color w:val="FFFFFF"/>
                <w:sz w:val="20"/>
                <w:szCs w:val="20"/>
              </w:rPr>
              <w:t>PRZEŁĄCZNIKI SAN — wymaganie 5.1</w:t>
            </w:r>
          </w:p>
        </w:tc>
      </w:tr>
      <w:tr w:rsidR="005A4A99" w14:paraId="246D4D68" w14:textId="77777777">
        <w:tc>
          <w:tcPr>
            <w:tcW w:w="6200" w:type="dxa"/>
            <w:tcBorders>
              <w:top w:val="single" w:sz="1" w:space="0" w:color="CCCCCC"/>
              <w:left w:val="single" w:sz="1" w:space="0" w:color="CCCCCC"/>
              <w:bottom w:val="single" w:sz="1" w:space="0" w:color="CCCCCC"/>
              <w:right w:val="single" w:sz="1" w:space="0" w:color="CCCCCC"/>
            </w:tcBorders>
            <w:shd w:val="clear" w:color="auto" w:fill="EEF4FB"/>
            <w:tcMar>
              <w:top w:w="110" w:type="dxa"/>
              <w:left w:w="180" w:type="dxa"/>
              <w:bottom w:w="110" w:type="dxa"/>
              <w:right w:w="180" w:type="dxa"/>
            </w:tcMar>
          </w:tcPr>
          <w:p w14:paraId="71571B58" w14:textId="77777777" w:rsidR="005A4A99" w:rsidRDefault="005A4A99" w:rsidP="005A4A99">
            <w:pPr>
              <w:spacing w:after="70"/>
            </w:pPr>
            <w:r>
              <w:rPr>
                <w:b/>
                <w:bCs/>
                <w:color w:val="1A3A6A"/>
              </w:rPr>
              <w:t>Wymaganie 5.1</w:t>
            </w:r>
          </w:p>
          <w:p w14:paraId="35C0E027" w14:textId="77777777" w:rsidR="005A4A99" w:rsidRDefault="005A4A99" w:rsidP="005A4A99">
            <w:pPr>
              <w:spacing w:after="70"/>
            </w:pPr>
          </w:p>
          <w:p w14:paraId="43640246" w14:textId="77777777" w:rsidR="005A4A99" w:rsidRDefault="005A4A99" w:rsidP="005A4A99">
            <w:r>
              <w:rPr>
                <w:color w:val="1A1A2E"/>
              </w:rPr>
              <w:t>Czy przełącznik ma wydmuchiwać, czy zaciągać powietrze od strony portów?</w:t>
            </w:r>
          </w:p>
        </w:tc>
        <w:tc>
          <w:tcPr>
            <w:tcW w:w="6800" w:type="dxa"/>
            <w:tcBorders>
              <w:top w:val="single" w:sz="1" w:space="0" w:color="CCCCCC"/>
              <w:left w:val="single" w:sz="1" w:space="0" w:color="CCCCCC"/>
              <w:bottom w:val="single" w:sz="1" w:space="0" w:color="CCCCCC"/>
              <w:right w:val="single" w:sz="1" w:space="0" w:color="CCCCCC"/>
            </w:tcBorders>
            <w:shd w:val="clear" w:color="auto" w:fill="FFFFFF"/>
            <w:tcMar>
              <w:top w:w="110" w:type="dxa"/>
              <w:left w:w="180" w:type="dxa"/>
              <w:bottom w:w="110" w:type="dxa"/>
              <w:right w:w="180" w:type="dxa"/>
            </w:tcMar>
          </w:tcPr>
          <w:p w14:paraId="1D200025" w14:textId="77777777" w:rsidR="005A4A99" w:rsidRDefault="005A4A99" w:rsidP="005A4A99">
            <w:pPr>
              <w:spacing w:after="80"/>
              <w:rPr>
                <w:b/>
                <w:bCs/>
                <w:color w:val="1A3A7A"/>
              </w:rPr>
            </w:pPr>
            <w:r>
              <w:rPr>
                <w:b/>
                <w:bCs/>
                <w:color w:val="1A3A7A"/>
              </w:rPr>
              <w:t>Zamawiający wyjaśnia.</w:t>
            </w:r>
          </w:p>
          <w:p w14:paraId="6EB8038E" w14:textId="7F4E3925" w:rsidR="005A4A99" w:rsidRDefault="005A4A99" w:rsidP="005A4A99">
            <w:r>
              <w:rPr>
                <w:color w:val="1A1A2E"/>
              </w:rPr>
              <w:t>Zamawiający dopuszcza oba rozwiązania.</w:t>
            </w:r>
          </w:p>
        </w:tc>
      </w:tr>
      <w:tr w:rsidR="005A4A99" w14:paraId="10200081" w14:textId="77777777">
        <w:tc>
          <w:tcPr>
            <w:tcW w:w="6200" w:type="dxa"/>
            <w:tcBorders>
              <w:top w:val="single" w:sz="1" w:space="0" w:color="CCCCCC"/>
              <w:left w:val="single" w:sz="1" w:space="0" w:color="CCCCCC"/>
              <w:bottom w:val="single" w:sz="1" w:space="0" w:color="CCCCCC"/>
              <w:right w:val="single" w:sz="1" w:space="0" w:color="CCCCCC"/>
            </w:tcBorders>
            <w:shd w:val="clear" w:color="auto" w:fill="EEF4FB"/>
            <w:tcMar>
              <w:top w:w="110" w:type="dxa"/>
              <w:left w:w="180" w:type="dxa"/>
              <w:bottom w:w="110" w:type="dxa"/>
              <w:right w:w="180" w:type="dxa"/>
            </w:tcMar>
          </w:tcPr>
          <w:p w14:paraId="10200072" w14:textId="77777777" w:rsidR="005A4A99" w:rsidRDefault="005A4A99" w:rsidP="005A4A99">
            <w:pPr>
              <w:spacing w:after="70"/>
            </w:pPr>
            <w:r>
              <w:rPr>
                <w:b/>
                <w:bCs/>
                <w:color w:val="1A3A6A"/>
              </w:rPr>
              <w:t>Przełączniki SAN — porty FC i moduły SFP+</w:t>
            </w:r>
          </w:p>
          <w:p w14:paraId="10200073" w14:textId="77777777" w:rsidR="005A4A99" w:rsidRDefault="005A4A99" w:rsidP="005A4A99">
            <w:pPr>
              <w:spacing w:after="70"/>
            </w:pPr>
          </w:p>
          <w:p w14:paraId="10200074" w14:textId="77777777" w:rsidR="005A4A99" w:rsidRDefault="005A4A99" w:rsidP="005A4A99">
            <w:pPr>
              <w:spacing w:after="70"/>
            </w:pPr>
            <w:r>
              <w:rPr>
                <w:color w:val="1A1A2E"/>
              </w:rPr>
              <w:t>Wnosimy o zmianę zapisów dotyczących portów FC i modułów SFP+ na następujące:</w:t>
            </w:r>
          </w:p>
          <w:p w14:paraId="10200075" w14:textId="77777777" w:rsidR="005A4A99" w:rsidRDefault="005A4A99" w:rsidP="005A4A99">
            <w:pPr>
              <w:spacing w:after="70"/>
            </w:pPr>
            <w:r>
              <w:rPr>
                <w:color w:val="1A1A2E"/>
              </w:rPr>
              <w:t>i. Aktywne 96 portów 64G FC.</w:t>
            </w:r>
          </w:p>
          <w:p w14:paraId="10200076" w14:textId="77777777" w:rsidR="005A4A99" w:rsidRDefault="005A4A99" w:rsidP="005A4A99">
            <w:pPr>
              <w:spacing w:after="70"/>
            </w:pPr>
            <w:r>
              <w:rPr>
                <w:color w:val="1A1A2E"/>
              </w:rPr>
              <w:t>ii. Ilość dostarczonych modułów SFP+ FC dla każdego przełącznika:</w:t>
            </w:r>
          </w:p>
          <w:p w14:paraId="10200077" w14:textId="77777777" w:rsidR="005A4A99" w:rsidRDefault="005A4A99" w:rsidP="005A4A99">
            <w:pPr>
              <w:spacing w:after="70"/>
            </w:pPr>
            <w:r>
              <w:rPr>
                <w:color w:val="1A1A2E"/>
              </w:rPr>
              <w:t>– 20 szt. 32G modułów krótkiego zasięgu (SWL) do połączeń lokalnych,</w:t>
            </w:r>
          </w:p>
          <w:p w14:paraId="10200078" w14:textId="77777777" w:rsidR="005A4A99" w:rsidRDefault="005A4A99" w:rsidP="005A4A99">
            <w:pPr>
              <w:spacing w:after="70"/>
            </w:pPr>
            <w:r>
              <w:rPr>
                <w:color w:val="1A1A2E"/>
              </w:rPr>
              <w:lastRenderedPageBreak/>
              <w:t>– 48 szt. 64G modułów krótkiego zasięgu (SWL) do połączeń lokalnych,</w:t>
            </w:r>
          </w:p>
          <w:p w14:paraId="10200079" w14:textId="77777777" w:rsidR="005A4A99" w:rsidRDefault="005A4A99" w:rsidP="005A4A99">
            <w:pPr>
              <w:spacing w:after="70"/>
            </w:pPr>
            <w:r>
              <w:rPr>
                <w:color w:val="1A1A2E"/>
              </w:rPr>
              <w:t>– 6 szt. 64G modułów długiego zasięgu (LWL/LR) o zasięgu min. 10 km do połączeń ISL między ośrodkami.</w:t>
            </w:r>
          </w:p>
          <w:p w14:paraId="1020007A" w14:textId="77777777" w:rsidR="005A4A99" w:rsidRDefault="005A4A99" w:rsidP="005A4A99">
            <w:pPr>
              <w:spacing w:after="70"/>
            </w:pPr>
            <w:r>
              <w:rPr>
                <w:color w:val="1A1A2E"/>
              </w:rPr>
              <w:t>iii. Wszystkie moduły muszą być oryginalne lub certyfikowane przez producenta urządzenia.</w:t>
            </w:r>
          </w:p>
        </w:tc>
        <w:tc>
          <w:tcPr>
            <w:tcW w:w="6800" w:type="dxa"/>
            <w:tcBorders>
              <w:top w:val="single" w:sz="1" w:space="0" w:color="CCCCCC"/>
              <w:left w:val="single" w:sz="1" w:space="0" w:color="CCCCCC"/>
              <w:bottom w:val="single" w:sz="1" w:space="0" w:color="CCCCCC"/>
              <w:right w:val="single" w:sz="1" w:space="0" w:color="CCCCCC"/>
            </w:tcBorders>
            <w:shd w:val="clear" w:color="auto" w:fill="FFFFFF"/>
            <w:tcMar>
              <w:top w:w="110" w:type="dxa"/>
              <w:left w:w="180" w:type="dxa"/>
              <w:bottom w:w="110" w:type="dxa"/>
              <w:right w:w="180" w:type="dxa"/>
            </w:tcMar>
          </w:tcPr>
          <w:p w14:paraId="4A6F18B8" w14:textId="77777777" w:rsidR="005624C8" w:rsidRDefault="005624C8" w:rsidP="005624C8">
            <w:pPr>
              <w:spacing w:after="80"/>
              <w:rPr>
                <w:b/>
                <w:bCs/>
                <w:color w:val="C00000"/>
              </w:rPr>
            </w:pPr>
            <w:r>
              <w:rPr>
                <w:b/>
                <w:bCs/>
                <w:color w:val="C00000"/>
              </w:rPr>
              <w:lastRenderedPageBreak/>
              <w:t>Zamawiający podtrzymuje wymaganie.</w:t>
            </w:r>
          </w:p>
          <w:p w14:paraId="1020007B" w14:textId="55BC2BA9" w:rsidR="005A4A99" w:rsidRDefault="005A4A99" w:rsidP="005A4A99">
            <w:pPr>
              <w:spacing w:after="70"/>
            </w:pPr>
          </w:p>
          <w:p w14:paraId="1020007C" w14:textId="77777777" w:rsidR="005A4A99" w:rsidRDefault="005A4A99" w:rsidP="005A4A99">
            <w:pPr>
              <w:spacing w:after="70"/>
            </w:pPr>
          </w:p>
          <w:p w14:paraId="28131FB9" w14:textId="77777777" w:rsidR="00D063FC" w:rsidRPr="002216B5" w:rsidRDefault="005A4A99" w:rsidP="00D063FC">
            <w:r>
              <w:rPr>
                <w:color w:val="1A1A2E"/>
              </w:rPr>
              <w:t xml:space="preserve">Aktywne porty: Zamawiający </w:t>
            </w:r>
            <w:r w:rsidR="00D063FC">
              <w:rPr>
                <w:color w:val="1A1A2E"/>
              </w:rPr>
              <w:t xml:space="preserve">nie </w:t>
            </w:r>
            <w:r>
              <w:rPr>
                <w:color w:val="1A1A2E"/>
              </w:rPr>
              <w:t>przyjmuje zmian</w:t>
            </w:r>
            <w:r w:rsidR="00D063FC">
              <w:rPr>
                <w:color w:val="1A1A2E"/>
              </w:rPr>
              <w:t>.</w:t>
            </w:r>
            <w:r>
              <w:rPr>
                <w:color w:val="1A1A2E"/>
              </w:rPr>
              <w:t xml:space="preserve"> </w:t>
            </w:r>
            <w:r w:rsidR="00D063FC">
              <w:rPr>
                <w:color w:val="1A1A2E"/>
              </w:rPr>
              <w:t>Jednocześnie informuje, że dokona zmiany w specyfikacji:</w:t>
            </w:r>
            <w:r w:rsidR="00D063FC">
              <w:rPr>
                <w:color w:val="1A1A2E"/>
              </w:rPr>
              <w:br/>
            </w:r>
            <w:r w:rsidR="00D063FC" w:rsidRPr="56139685">
              <w:t>Aktywne 92 porty 64G FC</w:t>
            </w:r>
          </w:p>
          <w:p w14:paraId="00B4B90E" w14:textId="77777777" w:rsidR="00D063FC" w:rsidRPr="002216B5" w:rsidRDefault="00D063FC" w:rsidP="00D063FC">
            <w:r w:rsidRPr="56139685">
              <w:t>Ilość dostarczonych modułów SFP+ FC dla każdego przełącznika, w tym:</w:t>
            </w:r>
          </w:p>
          <w:p w14:paraId="302BEE15" w14:textId="5832115C" w:rsidR="00D063FC" w:rsidRPr="002216B5" w:rsidRDefault="00D063FC" w:rsidP="00D063FC">
            <w:r w:rsidRPr="56139685">
              <w:lastRenderedPageBreak/>
              <w:t>1. 68 szt. modułów krótkiego zasięgu (SWL)</w:t>
            </w:r>
            <w:r>
              <w:t xml:space="preserve"> prędkości minimalnej 32G </w:t>
            </w:r>
            <w:r w:rsidRPr="56139685">
              <w:t>do połączeń lokalnych</w:t>
            </w:r>
            <w:r>
              <w:t xml:space="preserve"> z dodatkowym wymaganiem, że nie mniej niż 8 portów będzie o prędkości 32G</w:t>
            </w:r>
          </w:p>
          <w:p w14:paraId="2059649D" w14:textId="77777777" w:rsidR="00D063FC" w:rsidRPr="002216B5" w:rsidRDefault="00D063FC" w:rsidP="00D063FC">
            <w:r w:rsidRPr="56139685">
              <w:t>2. 6 szt. 64G modułów długiego zasięgu (LWL/LR) o zasięgu min. 10 km do połączeń ISL między ośrodkami.</w:t>
            </w:r>
          </w:p>
          <w:p w14:paraId="1020007D" w14:textId="1CC9A1CE" w:rsidR="00D063FC" w:rsidRDefault="00D063FC" w:rsidP="00D063FC">
            <w:pPr>
              <w:spacing w:after="70"/>
            </w:pPr>
            <w:r>
              <w:t>Wszystkie moduły muszą być oryginalne lub certyfikowane przez producenta urządzenia.</w:t>
            </w:r>
            <w:r>
              <w:br/>
            </w:r>
          </w:p>
          <w:p w14:paraId="10200080" w14:textId="01F42448" w:rsidR="005A4A99" w:rsidRDefault="005A4A99" w:rsidP="005A4A99">
            <w:pPr>
              <w:spacing w:after="70"/>
            </w:pPr>
          </w:p>
        </w:tc>
      </w:tr>
      <w:tr w:rsidR="005A4A99" w14:paraId="10200086" w14:textId="77777777">
        <w:tc>
          <w:tcPr>
            <w:tcW w:w="6200" w:type="dxa"/>
            <w:tcBorders>
              <w:top w:val="single" w:sz="1" w:space="0" w:color="CCCCCC"/>
              <w:left w:val="single" w:sz="1" w:space="0" w:color="CCCCCC"/>
              <w:bottom w:val="single" w:sz="1" w:space="0" w:color="CCCCCC"/>
              <w:right w:val="single" w:sz="1" w:space="0" w:color="CCCCCC"/>
            </w:tcBorders>
            <w:shd w:val="clear" w:color="auto" w:fill="F5F7FA"/>
            <w:tcMar>
              <w:top w:w="110" w:type="dxa"/>
              <w:left w:w="180" w:type="dxa"/>
              <w:bottom w:w="110" w:type="dxa"/>
              <w:right w:w="180" w:type="dxa"/>
            </w:tcMar>
          </w:tcPr>
          <w:p w14:paraId="10200082" w14:textId="77777777" w:rsidR="005A4A99" w:rsidRDefault="005A4A99" w:rsidP="005A4A99">
            <w:pPr>
              <w:spacing w:after="70"/>
            </w:pPr>
            <w:r>
              <w:rPr>
                <w:b/>
                <w:bCs/>
                <w:color w:val="1A3A6A"/>
              </w:rPr>
              <w:lastRenderedPageBreak/>
              <w:t>Przełączniki SAN — Serwis gwarancyjny</w:t>
            </w:r>
          </w:p>
          <w:p w14:paraId="10200083" w14:textId="77777777" w:rsidR="005A4A99" w:rsidRDefault="005A4A99" w:rsidP="005A4A99">
            <w:pPr>
              <w:spacing w:after="70"/>
            </w:pPr>
          </w:p>
          <w:p w14:paraId="10200084" w14:textId="77777777" w:rsidR="005A4A99" w:rsidRDefault="005A4A99" w:rsidP="005A4A99">
            <w:pPr>
              <w:spacing w:after="70"/>
            </w:pPr>
            <w:r>
              <w:rPr>
                <w:color w:val="1A1A2E"/>
              </w:rPr>
              <w:t>Wnosimy o zmianę zapisu serwisu gwarancyjnego przełączników: usunięcie fragmentu o pobieraniu uaktualnień po wygaśnięciu gwarancji i zastąpienie prawem do poprawek i aktualizacji w okresie gwarancji.</w:t>
            </w:r>
          </w:p>
        </w:tc>
        <w:tc>
          <w:tcPr>
            <w:tcW w:w="6800" w:type="dxa"/>
            <w:tcBorders>
              <w:top w:val="single" w:sz="1" w:space="0" w:color="CCCCCC"/>
              <w:left w:val="single" w:sz="1" w:space="0" w:color="CCCCCC"/>
              <w:bottom w:val="single" w:sz="1" w:space="0" w:color="CCCCCC"/>
              <w:right w:val="single" w:sz="1" w:space="0" w:color="CCCCCC"/>
            </w:tcBorders>
            <w:shd w:val="clear" w:color="auto" w:fill="FFFFFF"/>
            <w:tcMar>
              <w:top w:w="110" w:type="dxa"/>
              <w:left w:w="180" w:type="dxa"/>
              <w:bottom w:w="110" w:type="dxa"/>
              <w:right w:w="180" w:type="dxa"/>
            </w:tcMar>
          </w:tcPr>
          <w:p w14:paraId="1D200027" w14:textId="77777777" w:rsidR="005A4A99" w:rsidRDefault="005A4A99" w:rsidP="005A4A99">
            <w:pPr>
              <w:spacing w:after="80"/>
              <w:rPr>
                <w:b/>
                <w:bCs/>
                <w:color w:val="1E7A45"/>
              </w:rPr>
            </w:pPr>
            <w:r>
              <w:rPr>
                <w:b/>
                <w:bCs/>
                <w:color w:val="1E7A45"/>
              </w:rPr>
              <w:t>Zamawiający przyjmuje wniosek.</w:t>
            </w:r>
          </w:p>
          <w:p w14:paraId="10200085" w14:textId="003EC8C2" w:rsidR="005A4A99" w:rsidRDefault="005A4A99" w:rsidP="005A4A99">
            <w:pPr>
              <w:spacing w:after="70"/>
            </w:pPr>
            <w:r>
              <w:rPr>
                <w:color w:val="1A1A2E"/>
              </w:rPr>
              <w:t xml:space="preserve">Zamawiający przyjmuje wniosek. Zapis serwisu gwarancyjnego przełączników SAN zostaje zmieniony na: „Możliwość sprawdzenia statusu gwarancji przez stronę producenta podając unikalny numer urządzenia. W okresie gwarancji Zamawiający ma prawo do otrzymywania poprawek oraz aktualizacji wersji oprogramowania dostarczonego wraz z przełącznikiem oraz oprogramowania wewnętrznego przełącznika.” </w:t>
            </w:r>
          </w:p>
        </w:tc>
      </w:tr>
      <w:tr w:rsidR="005A4A99" w14:paraId="699804B6" w14:textId="77777777">
        <w:tc>
          <w:tcPr>
            <w:tcW w:w="13000" w:type="dxa"/>
            <w:gridSpan w:val="2"/>
            <w:tcBorders>
              <w:top w:val="single" w:sz="1" w:space="0" w:color="CCCCCC"/>
              <w:left w:val="single" w:sz="1" w:space="0" w:color="CCCCCC"/>
              <w:bottom w:val="single" w:sz="1" w:space="0" w:color="CCCCCC"/>
              <w:right w:val="single" w:sz="1" w:space="0" w:color="CCCCCC"/>
            </w:tcBorders>
            <w:shd w:val="clear" w:color="auto" w:fill="1F3864"/>
            <w:tcMar>
              <w:top w:w="90" w:type="dxa"/>
              <w:left w:w="180" w:type="dxa"/>
              <w:bottom w:w="90" w:type="dxa"/>
              <w:right w:w="180" w:type="dxa"/>
            </w:tcMar>
          </w:tcPr>
          <w:p w14:paraId="103F5B23" w14:textId="77777777" w:rsidR="005A4A99" w:rsidRDefault="005A4A99" w:rsidP="005A4A99">
            <w:r>
              <w:rPr>
                <w:b/>
                <w:bCs/>
                <w:color w:val="FFFFFF"/>
                <w:sz w:val="20"/>
                <w:szCs w:val="20"/>
              </w:rPr>
              <w:t>BIBLIOTEKI TAŚMOWE LTO — wymagania 6.2, 6.3, 6.9, 6.10, 6.23</w:t>
            </w:r>
          </w:p>
        </w:tc>
      </w:tr>
      <w:tr w:rsidR="005A4A99" w14:paraId="252724D0" w14:textId="77777777">
        <w:tc>
          <w:tcPr>
            <w:tcW w:w="6200" w:type="dxa"/>
            <w:tcBorders>
              <w:top w:val="single" w:sz="1" w:space="0" w:color="CCCCCC"/>
              <w:left w:val="single" w:sz="1" w:space="0" w:color="CCCCCC"/>
              <w:bottom w:val="single" w:sz="1" w:space="0" w:color="CCCCCC"/>
              <w:right w:val="single" w:sz="1" w:space="0" w:color="CCCCCC"/>
            </w:tcBorders>
            <w:shd w:val="clear" w:color="auto" w:fill="F5F7FA"/>
            <w:tcMar>
              <w:top w:w="110" w:type="dxa"/>
              <w:left w:w="180" w:type="dxa"/>
              <w:bottom w:w="110" w:type="dxa"/>
              <w:right w:w="180" w:type="dxa"/>
            </w:tcMar>
          </w:tcPr>
          <w:p w14:paraId="07F9A066" w14:textId="77777777" w:rsidR="005A4A99" w:rsidRDefault="005A4A99" w:rsidP="005A4A99">
            <w:pPr>
              <w:spacing w:after="70"/>
            </w:pPr>
            <w:r>
              <w:rPr>
                <w:b/>
                <w:bCs/>
                <w:color w:val="1A3A6A"/>
              </w:rPr>
              <w:t>Wymaganie 6.2</w:t>
            </w:r>
          </w:p>
          <w:p w14:paraId="0E8B1A36" w14:textId="77777777" w:rsidR="005A4A99" w:rsidRDefault="005A4A99" w:rsidP="005A4A99">
            <w:pPr>
              <w:spacing w:after="70"/>
            </w:pPr>
          </w:p>
          <w:p w14:paraId="09794317" w14:textId="77777777" w:rsidR="005A4A99" w:rsidRDefault="005A4A99" w:rsidP="005A4A99">
            <w:r>
              <w:rPr>
                <w:color w:val="1A1A2E"/>
              </w:rPr>
              <w:t>Czy Zamawiający ma na myśli sloty w obrębie całego dostarczonego rozwiązania czy jednego modułu? Czy Zamawiający dopuści rozwiązanie oferujące 40 slotów?</w:t>
            </w:r>
          </w:p>
        </w:tc>
        <w:tc>
          <w:tcPr>
            <w:tcW w:w="6800" w:type="dxa"/>
            <w:tcBorders>
              <w:top w:val="single" w:sz="1" w:space="0" w:color="CCCCCC"/>
              <w:left w:val="single" w:sz="1" w:space="0" w:color="CCCCCC"/>
              <w:bottom w:val="single" w:sz="1" w:space="0" w:color="CCCCCC"/>
              <w:right w:val="single" w:sz="1" w:space="0" w:color="CCCCCC"/>
            </w:tcBorders>
            <w:shd w:val="clear" w:color="auto" w:fill="FFFFFF"/>
            <w:tcMar>
              <w:top w:w="110" w:type="dxa"/>
              <w:left w:w="180" w:type="dxa"/>
              <w:bottom w:w="110" w:type="dxa"/>
              <w:right w:w="180" w:type="dxa"/>
            </w:tcMar>
          </w:tcPr>
          <w:p w14:paraId="1D200028" w14:textId="77777777" w:rsidR="005A4A99" w:rsidRDefault="005A4A99" w:rsidP="005A4A99">
            <w:pPr>
              <w:spacing w:after="80"/>
              <w:rPr>
                <w:b/>
                <w:bCs/>
                <w:color w:val="C00000"/>
              </w:rPr>
            </w:pPr>
            <w:r>
              <w:rPr>
                <w:b/>
                <w:bCs/>
                <w:color w:val="C00000"/>
              </w:rPr>
              <w:t>Zamawiający podtrzymuje wymaganie.</w:t>
            </w:r>
          </w:p>
          <w:p w14:paraId="0C0F890C" w14:textId="77777777" w:rsidR="005A4A99" w:rsidRDefault="005A4A99" w:rsidP="005A4A99">
            <w:pPr>
              <w:spacing w:after="70"/>
            </w:pPr>
            <w:r>
              <w:rPr>
                <w:color w:val="1A1A2E"/>
              </w:rPr>
              <w:t>Zamawiający wyjaśnia: wymaganie 50 aktywnych slotów (odblokowanych licencyjnie na dzień dostawy) dotyczy całego dostarczonego rozwiązania, nie pojedynczego modułu.</w:t>
            </w:r>
          </w:p>
          <w:p w14:paraId="4B0953F8" w14:textId="77777777" w:rsidR="005A4A99" w:rsidRDefault="005A4A99" w:rsidP="005A4A99">
            <w:pPr>
              <w:spacing w:after="70"/>
            </w:pPr>
          </w:p>
          <w:p w14:paraId="3FE73D4A" w14:textId="77777777" w:rsidR="005A4A99" w:rsidRDefault="005A4A99" w:rsidP="005A4A99">
            <w:r>
              <w:rPr>
                <w:color w:val="1A1A2E"/>
              </w:rPr>
              <w:t>Zamawiający nie dopuszcza biblioteki z mniej niż 50 aktywnymi slotami. Minimalna pojemność wynika z wymaganej polityki retencji danych i harmonogramu rotacji nośników.</w:t>
            </w:r>
          </w:p>
        </w:tc>
      </w:tr>
      <w:tr w:rsidR="005A4A99" w14:paraId="59AB18F1" w14:textId="77777777">
        <w:tc>
          <w:tcPr>
            <w:tcW w:w="6200" w:type="dxa"/>
            <w:tcBorders>
              <w:top w:val="single" w:sz="1" w:space="0" w:color="CCCCCC"/>
              <w:left w:val="single" w:sz="1" w:space="0" w:color="CCCCCC"/>
              <w:bottom w:val="single" w:sz="1" w:space="0" w:color="CCCCCC"/>
              <w:right w:val="single" w:sz="1" w:space="0" w:color="CCCCCC"/>
            </w:tcBorders>
            <w:shd w:val="clear" w:color="auto" w:fill="EEF4FB"/>
            <w:tcMar>
              <w:top w:w="110" w:type="dxa"/>
              <w:left w:w="180" w:type="dxa"/>
              <w:bottom w:w="110" w:type="dxa"/>
              <w:right w:w="180" w:type="dxa"/>
            </w:tcMar>
          </w:tcPr>
          <w:p w14:paraId="69BC0CBD" w14:textId="77777777" w:rsidR="005A4A99" w:rsidRDefault="005A4A99" w:rsidP="005A4A99">
            <w:pPr>
              <w:spacing w:after="70"/>
            </w:pPr>
            <w:r>
              <w:rPr>
                <w:b/>
                <w:bCs/>
                <w:color w:val="1A3A6A"/>
              </w:rPr>
              <w:t>Wymaganie 6.3</w:t>
            </w:r>
          </w:p>
          <w:p w14:paraId="6E418BF2" w14:textId="77777777" w:rsidR="005A4A99" w:rsidRDefault="005A4A99" w:rsidP="005A4A99">
            <w:pPr>
              <w:spacing w:after="70"/>
            </w:pPr>
          </w:p>
          <w:p w14:paraId="63A2A239" w14:textId="77777777" w:rsidR="005A4A99" w:rsidRDefault="005A4A99" w:rsidP="005A4A99">
            <w:r>
              <w:rPr>
                <w:color w:val="1A1A2E"/>
              </w:rPr>
              <w:t>Zamawiający wymaga, aby rozwiązanie bazowe posiadało maksymalną wysokość 3U. Taki zapis sugeruje ograniczenie konkurencji jedynie do produktów HPE. Zwracamy się z prośbą o dopuszczenie bibliotek taśmowych, w których rozwiązanie bazowe zajmuje nie więcej niż 6U lub określenie maksymalnej wielkości całej biblioteki.</w:t>
            </w:r>
          </w:p>
        </w:tc>
        <w:tc>
          <w:tcPr>
            <w:tcW w:w="6800" w:type="dxa"/>
            <w:tcBorders>
              <w:top w:val="single" w:sz="1" w:space="0" w:color="CCCCCC"/>
              <w:left w:val="single" w:sz="1" w:space="0" w:color="CCCCCC"/>
              <w:bottom w:val="single" w:sz="1" w:space="0" w:color="CCCCCC"/>
              <w:right w:val="single" w:sz="1" w:space="0" w:color="CCCCCC"/>
            </w:tcBorders>
            <w:shd w:val="clear" w:color="auto" w:fill="FFFFFF"/>
            <w:tcMar>
              <w:top w:w="110" w:type="dxa"/>
              <w:left w:w="180" w:type="dxa"/>
              <w:bottom w:w="110" w:type="dxa"/>
              <w:right w:w="180" w:type="dxa"/>
            </w:tcMar>
          </w:tcPr>
          <w:p w14:paraId="5AC85B7B" w14:textId="77777777" w:rsidR="005624C8" w:rsidRDefault="005624C8" w:rsidP="005624C8">
            <w:pPr>
              <w:spacing w:after="80"/>
              <w:rPr>
                <w:b/>
                <w:bCs/>
                <w:color w:val="1E7A45"/>
              </w:rPr>
            </w:pPr>
            <w:r>
              <w:rPr>
                <w:b/>
                <w:bCs/>
                <w:color w:val="1E7A45"/>
              </w:rPr>
              <w:t>Zamawiający przyjmuje wniosek.</w:t>
            </w:r>
          </w:p>
          <w:p w14:paraId="02A6F253" w14:textId="654F60F5" w:rsidR="005A4A99" w:rsidRDefault="00773754" w:rsidP="005A4A99">
            <w:r w:rsidRPr="00773754">
              <w:rPr>
                <w:color w:val="1A1A2E"/>
              </w:rPr>
              <w:t>Zamawiający przyjmuje wniosek. Zamawiający zmienia wymaganie dotyczące maksymalnej wysokości modułu bazowego biblioteki taśmowej z 3U na maksymalnie 6U. Wymóg dostarczenia dedykowanych szyn do szafy 19" pozostaje bez zmian</w:t>
            </w:r>
            <w:r>
              <w:rPr>
                <w:color w:val="1A1A2E"/>
              </w:rPr>
              <w:t>.</w:t>
            </w:r>
          </w:p>
        </w:tc>
      </w:tr>
      <w:tr w:rsidR="005A4A99" w14:paraId="62C5B70A" w14:textId="77777777">
        <w:tc>
          <w:tcPr>
            <w:tcW w:w="6200" w:type="dxa"/>
            <w:tcBorders>
              <w:top w:val="single" w:sz="1" w:space="0" w:color="CCCCCC"/>
              <w:left w:val="single" w:sz="1" w:space="0" w:color="CCCCCC"/>
              <w:bottom w:val="single" w:sz="1" w:space="0" w:color="CCCCCC"/>
              <w:right w:val="single" w:sz="1" w:space="0" w:color="CCCCCC"/>
            </w:tcBorders>
            <w:shd w:val="clear" w:color="auto" w:fill="F5F7FA"/>
            <w:tcMar>
              <w:top w:w="110" w:type="dxa"/>
              <w:left w:w="180" w:type="dxa"/>
              <w:bottom w:w="110" w:type="dxa"/>
              <w:right w:w="180" w:type="dxa"/>
            </w:tcMar>
          </w:tcPr>
          <w:p w14:paraId="13E8B7A3" w14:textId="77777777" w:rsidR="005A4A99" w:rsidRDefault="005A4A99" w:rsidP="005A4A99">
            <w:pPr>
              <w:spacing w:after="70"/>
            </w:pPr>
            <w:r>
              <w:rPr>
                <w:b/>
                <w:bCs/>
                <w:color w:val="1A3A6A"/>
              </w:rPr>
              <w:t>Wymaganie 6.9</w:t>
            </w:r>
          </w:p>
          <w:p w14:paraId="61D9A9C6" w14:textId="77777777" w:rsidR="005A4A99" w:rsidRDefault="005A4A99" w:rsidP="005A4A99">
            <w:pPr>
              <w:spacing w:after="70"/>
            </w:pPr>
          </w:p>
          <w:p w14:paraId="76530EA8" w14:textId="77777777" w:rsidR="005A4A99" w:rsidRDefault="005A4A99" w:rsidP="005A4A99">
            <w:r>
              <w:rPr>
                <w:color w:val="1A1A2E"/>
              </w:rPr>
              <w:t xml:space="preserve">Czy Zamawiający dopuszcza rezygnację z tego wymogu lub zastąpienie go równoważnym mechanizmem weryfikacji kondycji nośników </w:t>
            </w:r>
            <w:r>
              <w:rPr>
                <w:color w:val="1A1A2E"/>
              </w:rPr>
              <w:lastRenderedPageBreak/>
              <w:t>realizowanym przez oprogramowanie backupowe (np. media scan w Veeam/Spectrum Protect), przy założeniu że sama biblioteka nie oferuje tej funkcji sprzętowo?</w:t>
            </w:r>
          </w:p>
        </w:tc>
        <w:tc>
          <w:tcPr>
            <w:tcW w:w="6800" w:type="dxa"/>
            <w:tcBorders>
              <w:top w:val="single" w:sz="1" w:space="0" w:color="CCCCCC"/>
              <w:left w:val="single" w:sz="1" w:space="0" w:color="CCCCCC"/>
              <w:bottom w:val="single" w:sz="1" w:space="0" w:color="CCCCCC"/>
              <w:right w:val="single" w:sz="1" w:space="0" w:color="CCCCCC"/>
            </w:tcBorders>
            <w:shd w:val="clear" w:color="auto" w:fill="FFFFFF"/>
            <w:tcMar>
              <w:top w:w="110" w:type="dxa"/>
              <w:left w:w="180" w:type="dxa"/>
              <w:bottom w:w="110" w:type="dxa"/>
              <w:right w:w="180" w:type="dxa"/>
            </w:tcMar>
          </w:tcPr>
          <w:p w14:paraId="1D20002A" w14:textId="77777777" w:rsidR="005A4A99" w:rsidRDefault="005A4A99" w:rsidP="005A4A99">
            <w:pPr>
              <w:spacing w:after="80"/>
              <w:rPr>
                <w:b/>
                <w:bCs/>
                <w:color w:val="B8860B"/>
              </w:rPr>
            </w:pPr>
            <w:r>
              <w:rPr>
                <w:b/>
                <w:bCs/>
                <w:color w:val="B8860B"/>
              </w:rPr>
              <w:lastRenderedPageBreak/>
              <w:t>Zamawiający częściowo przyjmuje wniosek.</w:t>
            </w:r>
          </w:p>
          <w:p w14:paraId="6B663B4A" w14:textId="77777777" w:rsidR="005A4A99" w:rsidRDefault="005A4A99" w:rsidP="005A4A99">
            <w:pPr>
              <w:spacing w:after="70"/>
            </w:pPr>
            <w:r>
              <w:rPr>
                <w:color w:val="1A1A2E"/>
              </w:rPr>
              <w:t>Zamawiający nie dopuszcza zastąpienia mechanizmu weryfikacji kondycji nośników wyłącznie przez oprogramowanie backupowe (Veeam, IBM Spectrum Protect lub równoważne).</w:t>
            </w:r>
          </w:p>
          <w:p w14:paraId="4BFD7440" w14:textId="77777777" w:rsidR="005A4A99" w:rsidRDefault="005A4A99" w:rsidP="005A4A99">
            <w:pPr>
              <w:spacing w:after="70"/>
            </w:pPr>
          </w:p>
          <w:p w14:paraId="5561AA84" w14:textId="77777777" w:rsidR="005A4A99" w:rsidRDefault="005A4A99" w:rsidP="005A4A99">
            <w:pPr>
              <w:spacing w:after="70"/>
            </w:pPr>
            <w:r>
              <w:rPr>
                <w:color w:val="1A1A2E"/>
              </w:rPr>
              <w:t>Zamawiający dopuszcza natomiast realizację tego wymagania przez dedykowane oprogramowanie diagnostyczne dostarczone przez producenta biblioteki (np. IBM Tape Diagnostic Tool, HPE Command View TL, Quantum iLayer Media Analysis lub równoważne), pod warunkiem dostarczenia go w ramach zamówienia.</w:t>
            </w:r>
          </w:p>
          <w:p w14:paraId="1ED7800B" w14:textId="77777777" w:rsidR="005A4A99" w:rsidRDefault="005A4A99" w:rsidP="005A4A99">
            <w:pPr>
              <w:spacing w:after="70"/>
            </w:pPr>
          </w:p>
          <w:p w14:paraId="4C57E3A9" w14:textId="03A868C9" w:rsidR="005A4A99" w:rsidRDefault="005A4A99" w:rsidP="005A4A99"/>
        </w:tc>
      </w:tr>
      <w:tr w:rsidR="005A4A99" w14:paraId="0238A14E" w14:textId="77777777">
        <w:tc>
          <w:tcPr>
            <w:tcW w:w="6200" w:type="dxa"/>
            <w:tcBorders>
              <w:top w:val="single" w:sz="1" w:space="0" w:color="CCCCCC"/>
              <w:left w:val="single" w:sz="1" w:space="0" w:color="CCCCCC"/>
              <w:bottom w:val="single" w:sz="1" w:space="0" w:color="CCCCCC"/>
              <w:right w:val="single" w:sz="1" w:space="0" w:color="CCCCCC"/>
            </w:tcBorders>
            <w:shd w:val="clear" w:color="auto" w:fill="EEF4FB"/>
            <w:tcMar>
              <w:top w:w="110" w:type="dxa"/>
              <w:left w:w="180" w:type="dxa"/>
              <w:bottom w:w="110" w:type="dxa"/>
              <w:right w:w="180" w:type="dxa"/>
            </w:tcMar>
          </w:tcPr>
          <w:p w14:paraId="560BE302" w14:textId="77777777" w:rsidR="005A4A99" w:rsidRDefault="005A4A99" w:rsidP="005A4A99">
            <w:pPr>
              <w:spacing w:after="70"/>
            </w:pPr>
            <w:r>
              <w:rPr>
                <w:b/>
                <w:bCs/>
                <w:color w:val="1A3A6A"/>
              </w:rPr>
              <w:lastRenderedPageBreak/>
              <w:t>Wymaganie 6.10</w:t>
            </w:r>
          </w:p>
          <w:p w14:paraId="21109E8B" w14:textId="77777777" w:rsidR="005A4A99" w:rsidRDefault="005A4A99" w:rsidP="005A4A99">
            <w:pPr>
              <w:spacing w:after="70"/>
            </w:pPr>
          </w:p>
          <w:p w14:paraId="159EF3AB" w14:textId="77777777" w:rsidR="005A4A99" w:rsidRDefault="005A4A99" w:rsidP="005A4A99">
            <w:r>
              <w:rPr>
                <w:color w:val="1A1A2E"/>
              </w:rPr>
              <w:t>Czy Zamawiający dopuszcza realizację wymagań z zakresu analityki, raportowania wydajności i audytu bezpieczeństwa biblioteki taśmowej przez zewnętrzne oprogramowanie zarządzające dostarczane przez producenta biblioteki (np. IBM Spectrum Protect), bez konieczności zintegrowania tych funkcji bezpośrednio w firmware/oprogramowaniu samej biblioteki?</w:t>
            </w:r>
          </w:p>
        </w:tc>
        <w:tc>
          <w:tcPr>
            <w:tcW w:w="6800" w:type="dxa"/>
            <w:tcBorders>
              <w:top w:val="single" w:sz="1" w:space="0" w:color="CCCCCC"/>
              <w:left w:val="single" w:sz="1" w:space="0" w:color="CCCCCC"/>
              <w:bottom w:val="single" w:sz="1" w:space="0" w:color="CCCCCC"/>
              <w:right w:val="single" w:sz="1" w:space="0" w:color="CCCCCC"/>
            </w:tcBorders>
            <w:shd w:val="clear" w:color="auto" w:fill="FFFFFF"/>
            <w:tcMar>
              <w:top w:w="110" w:type="dxa"/>
              <w:left w:w="180" w:type="dxa"/>
              <w:bottom w:w="110" w:type="dxa"/>
              <w:right w:w="180" w:type="dxa"/>
            </w:tcMar>
          </w:tcPr>
          <w:p w14:paraId="7DE4C426" w14:textId="77777777" w:rsidR="005A4A99" w:rsidRDefault="005A4A99" w:rsidP="005A4A99">
            <w:pPr>
              <w:spacing w:after="80"/>
              <w:rPr>
                <w:b/>
                <w:bCs/>
                <w:color w:val="1E7A45"/>
              </w:rPr>
            </w:pPr>
            <w:r>
              <w:rPr>
                <w:b/>
                <w:bCs/>
                <w:color w:val="1E7A45"/>
              </w:rPr>
              <w:t>Zamawiający przyjmuje wniosek.</w:t>
            </w:r>
          </w:p>
          <w:p w14:paraId="0DF6B14E" w14:textId="2DF7EAAF" w:rsidR="005A4A99" w:rsidRDefault="005A4A99" w:rsidP="005A4A99">
            <w:pPr>
              <w:spacing w:after="70"/>
            </w:pPr>
            <w:r>
              <w:rPr>
                <w:color w:val="1A1A2E"/>
              </w:rPr>
              <w:t>Zamawiający dopuszcza realizację wymagań z zakresu analityki, raportowania wydajności i audytu bezpieczeństwa przez oprogramowanie zarządzające dostarczone przez producenta biblioteki, pod warunkiem że:</w:t>
            </w:r>
          </w:p>
          <w:p w14:paraId="4BFCAA11" w14:textId="77777777" w:rsidR="005A4A99" w:rsidRDefault="005A4A99" w:rsidP="005A4A99">
            <w:pPr>
              <w:spacing w:after="70"/>
            </w:pPr>
            <w:r>
              <w:rPr>
                <w:color w:val="1A1A2E"/>
              </w:rPr>
              <w:t>1. Oprogramowanie jest przeznaczone do zarządzania biblioteką taśmową (nie jest oprogramowaniem backupowym).</w:t>
            </w:r>
          </w:p>
          <w:p w14:paraId="371538E0" w14:textId="77777777" w:rsidR="005A4A99" w:rsidRDefault="005A4A99" w:rsidP="005A4A99">
            <w:pPr>
              <w:spacing w:after="70"/>
            </w:pPr>
            <w:r>
              <w:rPr>
                <w:color w:val="1A1A2E"/>
              </w:rPr>
              <w:t>2. Oprogramowanie jest dostarczone przez producenta biblioteki w ramach niniejszego zamówienia.</w:t>
            </w:r>
          </w:p>
          <w:p w14:paraId="4433B607" w14:textId="77777777" w:rsidR="005A4A99" w:rsidRDefault="005A4A99" w:rsidP="005A4A99">
            <w:pPr>
              <w:spacing w:after="70"/>
            </w:pPr>
          </w:p>
          <w:p w14:paraId="0EDAFD6B" w14:textId="6EC8A43C" w:rsidR="005A4A99" w:rsidRDefault="005A4A99" w:rsidP="005A4A99"/>
        </w:tc>
      </w:tr>
      <w:tr w:rsidR="005A4A99" w14:paraId="0EB0014B" w14:textId="77777777">
        <w:tc>
          <w:tcPr>
            <w:tcW w:w="6200" w:type="dxa"/>
            <w:tcBorders>
              <w:top w:val="single" w:sz="1" w:space="0" w:color="CCCCCC"/>
              <w:left w:val="single" w:sz="1" w:space="0" w:color="CCCCCC"/>
              <w:bottom w:val="single" w:sz="1" w:space="0" w:color="CCCCCC"/>
              <w:right w:val="single" w:sz="1" w:space="0" w:color="CCCCCC"/>
            </w:tcBorders>
            <w:shd w:val="clear" w:color="auto" w:fill="F5F7FA"/>
            <w:tcMar>
              <w:top w:w="110" w:type="dxa"/>
              <w:left w:w="180" w:type="dxa"/>
              <w:bottom w:w="110" w:type="dxa"/>
              <w:right w:w="180" w:type="dxa"/>
            </w:tcMar>
          </w:tcPr>
          <w:p w14:paraId="5190DFFD" w14:textId="77777777" w:rsidR="005A4A99" w:rsidRDefault="005A4A99" w:rsidP="005A4A99">
            <w:pPr>
              <w:spacing w:after="70"/>
            </w:pPr>
            <w:r>
              <w:rPr>
                <w:b/>
                <w:bCs/>
                <w:color w:val="1A3A6A"/>
              </w:rPr>
              <w:t>Wymaganie 6.23</w:t>
            </w:r>
          </w:p>
          <w:p w14:paraId="3DEDBEA9" w14:textId="77777777" w:rsidR="005A4A99" w:rsidRDefault="005A4A99" w:rsidP="005A4A99">
            <w:pPr>
              <w:spacing w:after="70"/>
            </w:pPr>
          </w:p>
          <w:p w14:paraId="64B82A64" w14:textId="77777777" w:rsidR="005A4A99" w:rsidRDefault="005A4A99" w:rsidP="005A4A99">
            <w:r>
              <w:rPr>
                <w:color w:val="1A1A2E"/>
              </w:rPr>
              <w:t>Zamawiający wymaga „Wymagany jest pojedynczy punkt kontaktu dla całego rozwiązania producenta, w tym także sprzedanego oprogramowania." Zwracamy się z prośbą o doprecyzowanie czy ww. zapis dotyczy tylko biblioteki taśmowej czy dotyczy wszystkich produktów oferowanych w ramach postępowania?</w:t>
            </w:r>
          </w:p>
        </w:tc>
        <w:tc>
          <w:tcPr>
            <w:tcW w:w="6800" w:type="dxa"/>
            <w:tcBorders>
              <w:top w:val="single" w:sz="1" w:space="0" w:color="CCCCCC"/>
              <w:left w:val="single" w:sz="1" w:space="0" w:color="CCCCCC"/>
              <w:bottom w:val="single" w:sz="1" w:space="0" w:color="CCCCCC"/>
              <w:right w:val="single" w:sz="1" w:space="0" w:color="CCCCCC"/>
            </w:tcBorders>
            <w:shd w:val="clear" w:color="auto" w:fill="FFFFFF"/>
            <w:tcMar>
              <w:top w:w="110" w:type="dxa"/>
              <w:left w:w="180" w:type="dxa"/>
              <w:bottom w:w="110" w:type="dxa"/>
              <w:right w:w="180" w:type="dxa"/>
            </w:tcMar>
          </w:tcPr>
          <w:p w14:paraId="1D20002C" w14:textId="77777777" w:rsidR="005A4A99" w:rsidRDefault="005A4A99" w:rsidP="005A4A99">
            <w:pPr>
              <w:spacing w:after="80"/>
              <w:rPr>
                <w:b/>
                <w:bCs/>
                <w:color w:val="1A3A7A"/>
              </w:rPr>
            </w:pPr>
            <w:r>
              <w:rPr>
                <w:b/>
                <w:bCs/>
                <w:color w:val="1A3A7A"/>
              </w:rPr>
              <w:t>Zamawiający wyjaśnia.</w:t>
            </w:r>
          </w:p>
          <w:p w14:paraId="083F25BC" w14:textId="77777777" w:rsidR="005A4A99" w:rsidRDefault="005A4A99" w:rsidP="005A4A99">
            <w:pPr>
              <w:spacing w:after="70"/>
            </w:pPr>
            <w:r>
              <w:rPr>
                <w:color w:val="1A1A2E"/>
              </w:rPr>
              <w:t>Zamawiający precyzuje: wymaganie pojedynczego punktu kontaktu (Single Point of Contact) w wymaganiu 6.23 dotyczy wyłącznie biblioteki taśmowej i dostarczonego w ramach zamówienia oprogramowania zarządzającego producenta biblioteki.</w:t>
            </w:r>
          </w:p>
          <w:p w14:paraId="799743E2" w14:textId="77777777" w:rsidR="005A4A99" w:rsidRDefault="005A4A99" w:rsidP="005A4A99">
            <w:pPr>
              <w:spacing w:after="70"/>
            </w:pPr>
          </w:p>
          <w:p w14:paraId="3B1423D9" w14:textId="2251895F" w:rsidR="005A4A99" w:rsidRDefault="005A4A99" w:rsidP="005A4A99">
            <w:r>
              <w:rPr>
                <w:color w:val="1A1A2E"/>
              </w:rPr>
              <w:t xml:space="preserve">Analogiczne wymagania dotyczące SPoC dla pozostałych urządzeń są opisane oddzielnie w odpowiednich sekcjach specyfikacji. </w:t>
            </w:r>
          </w:p>
        </w:tc>
      </w:tr>
      <w:tr w:rsidR="005A4A99" w14:paraId="10200096" w14:textId="77777777">
        <w:tc>
          <w:tcPr>
            <w:tcW w:w="6200" w:type="dxa"/>
            <w:tcBorders>
              <w:top w:val="single" w:sz="1" w:space="0" w:color="CCCCCC"/>
              <w:left w:val="single" w:sz="1" w:space="0" w:color="CCCCCC"/>
              <w:bottom w:val="single" w:sz="1" w:space="0" w:color="CCCCCC"/>
              <w:right w:val="single" w:sz="1" w:space="0" w:color="CCCCCC"/>
            </w:tcBorders>
            <w:shd w:val="clear" w:color="auto" w:fill="EEF4FB"/>
            <w:tcMar>
              <w:top w:w="110" w:type="dxa"/>
              <w:left w:w="180" w:type="dxa"/>
              <w:bottom w:w="110" w:type="dxa"/>
              <w:right w:w="180" w:type="dxa"/>
            </w:tcMar>
          </w:tcPr>
          <w:p w14:paraId="10200087" w14:textId="77777777" w:rsidR="005A4A99" w:rsidRDefault="005A4A99" w:rsidP="005A4A99">
            <w:pPr>
              <w:spacing w:after="70"/>
            </w:pPr>
            <w:r>
              <w:rPr>
                <w:b/>
                <w:bCs/>
                <w:color w:val="1A3A6A"/>
              </w:rPr>
              <w:t>Biblioteki Taśmowe LTO — typ napędów, interfejs, format (FH/HH), taśmy i serwis gwarancyjny</w:t>
            </w:r>
          </w:p>
          <w:p w14:paraId="10200088" w14:textId="77777777" w:rsidR="005A4A99" w:rsidRDefault="005A4A99" w:rsidP="005A4A99">
            <w:pPr>
              <w:spacing w:after="70"/>
            </w:pPr>
          </w:p>
          <w:p w14:paraId="10200089" w14:textId="77777777" w:rsidR="005A4A99" w:rsidRDefault="005A4A99" w:rsidP="005A4A99">
            <w:pPr>
              <w:spacing w:after="70"/>
            </w:pPr>
            <w:r>
              <w:rPr>
                <w:color w:val="1A1A2E"/>
              </w:rPr>
              <w:t>Wnosimy o następujące zmiany w sekcji Bibliotek Taśmowych LTO:</w:t>
            </w:r>
          </w:p>
          <w:p w14:paraId="1020008A" w14:textId="77777777" w:rsidR="005A4A99" w:rsidRDefault="005A4A99" w:rsidP="005A4A99">
            <w:pPr>
              <w:spacing w:after="70"/>
            </w:pPr>
            <w:r>
              <w:rPr>
                <w:color w:val="1A1A2E"/>
              </w:rPr>
              <w:t>1. Napędy LTO — typ: zmiana z „Min. LTO10” na „Min. LTO9”.</w:t>
            </w:r>
          </w:p>
          <w:p w14:paraId="1020008B" w14:textId="77777777" w:rsidR="005A4A99" w:rsidRDefault="005A4A99" w:rsidP="005A4A99">
            <w:pPr>
              <w:spacing w:after="70"/>
            </w:pPr>
            <w:r>
              <w:rPr>
                <w:color w:val="1A1A2E"/>
              </w:rPr>
              <w:t>2. Napędy LTO — interfejs: zmiana z „Fibre Channel: FC 16G lub FC 32G” na „Fibre Channel: FC 8G lub FC 16G lub FC 32G”.</w:t>
            </w:r>
          </w:p>
          <w:p w14:paraId="1020008C" w14:textId="77777777" w:rsidR="005A4A99" w:rsidRDefault="005A4A99" w:rsidP="005A4A99">
            <w:pPr>
              <w:spacing w:after="70"/>
            </w:pPr>
            <w:r>
              <w:rPr>
                <w:color w:val="1A1A2E"/>
              </w:rPr>
              <w:t>3. Napędy LTO — minimalna ilość: dodanie możliwości napędów HH (zapis: „4 napędy FH lub HH LTO”).</w:t>
            </w:r>
          </w:p>
          <w:p w14:paraId="1020008D" w14:textId="77777777" w:rsidR="005A4A99" w:rsidRDefault="005A4A99" w:rsidP="005A4A99">
            <w:pPr>
              <w:spacing w:after="70"/>
            </w:pPr>
            <w:r>
              <w:rPr>
                <w:color w:val="1A1A2E"/>
              </w:rPr>
              <w:lastRenderedPageBreak/>
              <w:t>4. Taśmy: zmiana z „LTO10” na „LTO9 lub LTO10 odpowiednio do dostarczonych napędów”.</w:t>
            </w:r>
          </w:p>
          <w:p w14:paraId="1020008E" w14:textId="77777777" w:rsidR="005A4A99" w:rsidRDefault="005A4A99" w:rsidP="005A4A99">
            <w:pPr>
              <w:spacing w:after="70"/>
            </w:pPr>
            <w:r>
              <w:rPr>
                <w:color w:val="1A1A2E"/>
              </w:rPr>
              <w:t>5. Serwis gwarancyjny: zmiana zapisu na model bez pobierania uaktualnień po wygaśnięciu gwarancji.</w:t>
            </w:r>
          </w:p>
        </w:tc>
        <w:tc>
          <w:tcPr>
            <w:tcW w:w="6800" w:type="dxa"/>
            <w:tcBorders>
              <w:top w:val="single" w:sz="1" w:space="0" w:color="CCCCCC"/>
              <w:left w:val="single" w:sz="1" w:space="0" w:color="CCCCCC"/>
              <w:bottom w:val="single" w:sz="1" w:space="0" w:color="CCCCCC"/>
              <w:right w:val="single" w:sz="1" w:space="0" w:color="CCCCCC"/>
            </w:tcBorders>
            <w:shd w:val="clear" w:color="auto" w:fill="FFFFFF"/>
            <w:tcMar>
              <w:top w:w="110" w:type="dxa"/>
              <w:left w:w="180" w:type="dxa"/>
              <w:bottom w:w="110" w:type="dxa"/>
              <w:right w:w="180" w:type="dxa"/>
            </w:tcMar>
          </w:tcPr>
          <w:p w14:paraId="10200090" w14:textId="22FFF9BC" w:rsidR="005A4A99" w:rsidRPr="00C25D59" w:rsidRDefault="005A4A99" w:rsidP="005A4A99">
            <w:pPr>
              <w:spacing w:after="70"/>
              <w:rPr>
                <w:b/>
                <w:bCs/>
                <w:color w:val="B8860B"/>
              </w:rPr>
            </w:pPr>
            <w:r>
              <w:rPr>
                <w:b/>
                <w:bCs/>
                <w:color w:val="B8860B"/>
              </w:rPr>
              <w:lastRenderedPageBreak/>
              <w:t>Zamawiający częściowo przyjmuje wniosek.</w:t>
            </w:r>
          </w:p>
          <w:p w14:paraId="774AC5E8" w14:textId="79B9DAB0" w:rsidR="005A4A99" w:rsidRDefault="005A4A99" w:rsidP="005A4A99">
            <w:pPr>
              <w:spacing w:after="70"/>
              <w:rPr>
                <w:color w:val="1A1A2E"/>
              </w:rPr>
            </w:pPr>
            <w:r>
              <w:rPr>
                <w:color w:val="1A1A2E"/>
              </w:rPr>
              <w:t xml:space="preserve">1. </w:t>
            </w:r>
            <w:r w:rsidRPr="002B03FF">
              <w:rPr>
                <w:color w:val="1A1A2E"/>
              </w:rPr>
              <w:t xml:space="preserve">Typ napędu: Zamawiający </w:t>
            </w:r>
            <w:r w:rsidR="00A10396">
              <w:rPr>
                <w:color w:val="1A1A2E"/>
              </w:rPr>
              <w:t xml:space="preserve">nie </w:t>
            </w:r>
            <w:r w:rsidRPr="002B03FF">
              <w:rPr>
                <w:color w:val="1A1A2E"/>
              </w:rPr>
              <w:t>zmienia wymaga</w:t>
            </w:r>
            <w:r w:rsidR="00A10396">
              <w:rPr>
                <w:color w:val="1A1A2E"/>
              </w:rPr>
              <w:t>ń</w:t>
            </w:r>
            <w:r w:rsidRPr="002B03FF">
              <w:rPr>
                <w:color w:val="1A1A2E"/>
              </w:rPr>
              <w:t xml:space="preserve"> z LTO-10 na LTO-9 jako minimalny wymagany typ napędu. </w:t>
            </w:r>
          </w:p>
          <w:p w14:paraId="1B029DD9" w14:textId="2D0FC0AE" w:rsidR="005A4A99" w:rsidRDefault="005A4A99" w:rsidP="005A4A99">
            <w:pPr>
              <w:spacing w:after="70"/>
              <w:rPr>
                <w:color w:val="1A1A2E"/>
              </w:rPr>
            </w:pPr>
            <w:r>
              <w:rPr>
                <w:color w:val="1A1A2E"/>
              </w:rPr>
              <w:t xml:space="preserve">2. </w:t>
            </w:r>
            <w:r w:rsidRPr="009D60F6">
              <w:rPr>
                <w:color w:val="1A1A2E"/>
              </w:rPr>
              <w:t>Interfejs FC: Zamawiający przyjmuje rozszerzenie zakresu prędkości interfejsu FC — dopuszczalne są napędy z interfejsem FC 32G</w:t>
            </w:r>
            <w:r w:rsidR="00A10396">
              <w:rPr>
                <w:color w:val="1A1A2E"/>
              </w:rPr>
              <w:t xml:space="preserve"> z kompatybilnością wsteczną do minimum jednej generacji. </w:t>
            </w:r>
          </w:p>
          <w:p w14:paraId="2FC7CD68" w14:textId="3CB0589C" w:rsidR="005A4A99" w:rsidRPr="009D60F6" w:rsidRDefault="005A4A99" w:rsidP="005A4A99">
            <w:pPr>
              <w:spacing w:after="70"/>
              <w:rPr>
                <w:color w:val="1A1A2E"/>
              </w:rPr>
            </w:pPr>
            <w:r>
              <w:rPr>
                <w:color w:val="1A1A2E"/>
              </w:rPr>
              <w:t xml:space="preserve">3. </w:t>
            </w:r>
            <w:r w:rsidRPr="009D60F6">
              <w:rPr>
                <w:color w:val="1A1A2E"/>
              </w:rPr>
              <w:t>Format napędu: Zamawiający nie przyjmuje wniosku. Podtrzymuje wymaganie napędów pełnowysokościowych (FH). Napędy pół</w:t>
            </w:r>
            <w:r>
              <w:rPr>
                <w:color w:val="1A1A2E"/>
              </w:rPr>
              <w:t>wysokościowe</w:t>
            </w:r>
            <w:r w:rsidRPr="009D60F6">
              <w:rPr>
                <w:color w:val="1A1A2E"/>
              </w:rPr>
              <w:t xml:space="preserve"> (HH) charakteryzują się niższymi parametrami eksploatacyjnymi (MTBF, wydajność) i nie odpowiadają standardowi enterprise wymaganemu w </w:t>
            </w:r>
            <w:r w:rsidRPr="009D60F6">
              <w:rPr>
                <w:color w:val="1A1A2E"/>
              </w:rPr>
              <w:lastRenderedPageBreak/>
              <w:t>środowisku produkcyjnym podmiotu kluczowego KSC. Wymaganie pozostaje: 4 napędy FH LTO na bibliotekę.</w:t>
            </w:r>
          </w:p>
          <w:p w14:paraId="75861AB1" w14:textId="77777777" w:rsidR="00A10396" w:rsidRDefault="005A4A99" w:rsidP="00A10396">
            <w:pPr>
              <w:spacing w:after="70"/>
              <w:rPr>
                <w:color w:val="1A1A2E"/>
              </w:rPr>
            </w:pPr>
            <w:r>
              <w:rPr>
                <w:color w:val="1A1A2E"/>
              </w:rPr>
              <w:t xml:space="preserve">4. </w:t>
            </w:r>
            <w:r w:rsidRPr="009D60F6">
              <w:rPr>
                <w:color w:val="1A1A2E"/>
              </w:rPr>
              <w:t xml:space="preserve">Taśmy: Zamawiający </w:t>
            </w:r>
            <w:r w:rsidR="00A10396">
              <w:rPr>
                <w:color w:val="1A1A2E"/>
              </w:rPr>
              <w:t xml:space="preserve">nie </w:t>
            </w:r>
            <w:r w:rsidRPr="009D60F6">
              <w:rPr>
                <w:color w:val="1A1A2E"/>
              </w:rPr>
              <w:t xml:space="preserve">przyjmuje zmian — wymagane taśmy muszą być zgodne z dostarczonymi napędami LTO-10 dla napędów LTO-10. </w:t>
            </w:r>
          </w:p>
          <w:p w14:paraId="10200095" w14:textId="505F8B68" w:rsidR="005A4A99" w:rsidRDefault="005A4A99" w:rsidP="00A10396">
            <w:pPr>
              <w:spacing w:after="70"/>
            </w:pPr>
            <w:r>
              <w:rPr>
                <w:color w:val="1A1A2E"/>
              </w:rPr>
              <w:t xml:space="preserve">5. </w:t>
            </w:r>
            <w:r w:rsidRPr="00C25D59">
              <w:rPr>
                <w:color w:val="1A1A2E"/>
              </w:rPr>
              <w:t xml:space="preserve">Serwis gwarancyjny: Zamawiający przyjmuje zmianę. Zapis zostaje zmieniony na: „Możliwość sprawdzenia statusu gwarancji przez stronę producenta podając unikalny numer urządzenia. W okresie gwarancji Zamawiający ma prawo do otrzymywania poprawek oraz aktualizacji wersji oprogramowania dostarczonego wraz z biblioteką oraz oprogramowania wewnętrznego biblioteki." </w:t>
            </w:r>
          </w:p>
        </w:tc>
      </w:tr>
      <w:tr w:rsidR="005A4A99" w14:paraId="3A990AA9" w14:textId="77777777">
        <w:tc>
          <w:tcPr>
            <w:tcW w:w="13000" w:type="dxa"/>
            <w:gridSpan w:val="2"/>
            <w:tcBorders>
              <w:top w:val="single" w:sz="1" w:space="0" w:color="CCCCCC"/>
              <w:left w:val="single" w:sz="1" w:space="0" w:color="CCCCCC"/>
              <w:bottom w:val="single" w:sz="1" w:space="0" w:color="CCCCCC"/>
              <w:right w:val="single" w:sz="1" w:space="0" w:color="CCCCCC"/>
            </w:tcBorders>
            <w:shd w:val="clear" w:color="auto" w:fill="1F3864"/>
            <w:tcMar>
              <w:top w:w="90" w:type="dxa"/>
              <w:left w:w="180" w:type="dxa"/>
              <w:bottom w:w="90" w:type="dxa"/>
              <w:right w:w="180" w:type="dxa"/>
            </w:tcMar>
          </w:tcPr>
          <w:p w14:paraId="112E5C56" w14:textId="77777777" w:rsidR="005A4A99" w:rsidRDefault="005A4A99" w:rsidP="005A4A99">
            <w:r>
              <w:rPr>
                <w:b/>
                <w:bCs/>
                <w:color w:val="FFFFFF"/>
                <w:sz w:val="20"/>
                <w:szCs w:val="20"/>
              </w:rPr>
              <w:lastRenderedPageBreak/>
              <w:t>INTEGRACJA Z VEEAM — wymaganie 8.6</w:t>
            </w:r>
          </w:p>
        </w:tc>
      </w:tr>
      <w:tr w:rsidR="005A4A99" w14:paraId="6A4E8B93" w14:textId="77777777">
        <w:tc>
          <w:tcPr>
            <w:tcW w:w="6200" w:type="dxa"/>
            <w:tcBorders>
              <w:top w:val="single" w:sz="1" w:space="0" w:color="CCCCCC"/>
              <w:left w:val="single" w:sz="1" w:space="0" w:color="CCCCCC"/>
              <w:bottom w:val="single" w:sz="1" w:space="0" w:color="CCCCCC"/>
              <w:right w:val="single" w:sz="1" w:space="0" w:color="CCCCCC"/>
            </w:tcBorders>
            <w:shd w:val="clear" w:color="auto" w:fill="EEF4FB"/>
            <w:tcMar>
              <w:top w:w="110" w:type="dxa"/>
              <w:left w:w="180" w:type="dxa"/>
              <w:bottom w:w="110" w:type="dxa"/>
              <w:right w:w="180" w:type="dxa"/>
            </w:tcMar>
          </w:tcPr>
          <w:p w14:paraId="1C3AD0CF" w14:textId="77777777" w:rsidR="005A4A99" w:rsidRDefault="005A4A99" w:rsidP="005A4A99">
            <w:pPr>
              <w:spacing w:after="70"/>
            </w:pPr>
            <w:r>
              <w:rPr>
                <w:b/>
                <w:bCs/>
                <w:color w:val="1A3A6A"/>
              </w:rPr>
              <w:t>Wymaganie 8.6 — Integracja z Veeam (pytania konfiguracyjne)</w:t>
            </w:r>
          </w:p>
          <w:p w14:paraId="17695FC1" w14:textId="77777777" w:rsidR="005A4A99" w:rsidRDefault="005A4A99" w:rsidP="005A4A99">
            <w:pPr>
              <w:spacing w:after="70"/>
            </w:pPr>
          </w:p>
          <w:p w14:paraId="408B3EB0" w14:textId="77777777" w:rsidR="005A4A99" w:rsidRDefault="005A4A99" w:rsidP="005A4A99">
            <w:r>
              <w:rPr>
                <w:color w:val="1A1A2E"/>
              </w:rPr>
              <w:t>Jakie są obecnie licencje Veeam Universal License (VUL) i w jakiej liczbie instancji? Czy są wykupione subskrypcje Veeam Data Cloud Vault? Czy funkcjonują licencje wieczyste (Legacy)? Czy licencje obejmują Veeam ONE lub Veeam Recovery Orchestrator? Czy nowa macierz HDD zostanie podłączona do serwera Linux z XFS? Czy planujemy Backup to Tape czy Backup Copy to Tape? Jaka jest polityka retencji na taśmach (GFS)? Czy posiadana macierz produkcyjna jest na liście wspieranych przez Veeam? Czy koncepcja Cyber Vault opiera się na usłudze chmurowej czy on-premise? Czy planujemy migrację dotychczasowych łańcuchów backupu? Czy konfigurujemy SureBackup?</w:t>
            </w:r>
          </w:p>
        </w:tc>
        <w:tc>
          <w:tcPr>
            <w:tcW w:w="6800" w:type="dxa"/>
            <w:tcBorders>
              <w:top w:val="single" w:sz="1" w:space="0" w:color="CCCCCC"/>
              <w:left w:val="single" w:sz="1" w:space="0" w:color="CCCCCC"/>
              <w:bottom w:val="single" w:sz="1" w:space="0" w:color="CCCCCC"/>
              <w:right w:val="single" w:sz="1" w:space="0" w:color="CCCCCC"/>
            </w:tcBorders>
            <w:shd w:val="clear" w:color="auto" w:fill="FFFFFF"/>
            <w:tcMar>
              <w:top w:w="110" w:type="dxa"/>
              <w:left w:w="180" w:type="dxa"/>
              <w:bottom w:w="110" w:type="dxa"/>
              <w:right w:w="180" w:type="dxa"/>
            </w:tcMar>
          </w:tcPr>
          <w:p w14:paraId="1D20002E" w14:textId="77777777" w:rsidR="005A4A99" w:rsidRDefault="005A4A99" w:rsidP="005A4A99">
            <w:pPr>
              <w:spacing w:after="80"/>
              <w:rPr>
                <w:b/>
                <w:bCs/>
                <w:color w:val="1A3A7A"/>
              </w:rPr>
            </w:pPr>
            <w:r>
              <w:rPr>
                <w:b/>
                <w:bCs/>
                <w:color w:val="1A3A7A"/>
              </w:rPr>
              <w:t>Zamawiający wyjaśnia.</w:t>
            </w:r>
          </w:p>
          <w:p w14:paraId="38F0BC08" w14:textId="77777777" w:rsidR="005A4A99" w:rsidRDefault="005A4A99" w:rsidP="005A4A99">
            <w:pPr>
              <w:spacing w:after="70"/>
            </w:pPr>
            <w:r>
              <w:rPr>
                <w:color w:val="1A1A2E"/>
              </w:rPr>
              <w:t>Zamawiający udziela następujących informacji ogólnych:</w:t>
            </w:r>
          </w:p>
          <w:p w14:paraId="066A4D6F" w14:textId="77777777" w:rsidR="005A4A99" w:rsidRDefault="005A4A99" w:rsidP="005A4A99">
            <w:pPr>
              <w:spacing w:after="70"/>
            </w:pPr>
          </w:p>
          <w:p w14:paraId="37295C96" w14:textId="77777777" w:rsidR="005A4A99" w:rsidRDefault="005A4A99" w:rsidP="005A4A99">
            <w:pPr>
              <w:spacing w:after="70"/>
            </w:pPr>
            <w:r>
              <w:rPr>
                <w:color w:val="1A1A2E"/>
              </w:rPr>
              <w:t>— Posiadane licencje Veeam: model VUL. Szczegóły zostaną przekazane wybranemu Wykonawcy na etapie wdrożenia.</w:t>
            </w:r>
          </w:p>
          <w:p w14:paraId="48D1C859" w14:textId="77777777" w:rsidR="005A4A99" w:rsidRDefault="005A4A99" w:rsidP="005A4A99">
            <w:pPr>
              <w:spacing w:after="70"/>
            </w:pPr>
            <w:r>
              <w:rPr>
                <w:color w:val="1A1A2E"/>
              </w:rPr>
              <w:t>— Cyber Vault: planowana realizacja on-premise (fizyczna macierz HDD z izolacją sieciową), nie jako usługa chmurowa Veeam Data Cloud Vault.</w:t>
            </w:r>
          </w:p>
          <w:p w14:paraId="32FFE0B7" w14:textId="77777777" w:rsidR="005A4A99" w:rsidRDefault="005A4A99" w:rsidP="005A4A99">
            <w:pPr>
              <w:spacing w:after="70"/>
            </w:pPr>
            <w:r>
              <w:rPr>
                <w:color w:val="1A1A2E"/>
              </w:rPr>
              <w:t>— Macierz HDD i XFS: planowane podłączenie do Linux z systemem plików XFS w celu uzyskania immutability.</w:t>
            </w:r>
          </w:p>
          <w:p w14:paraId="1D5C92EA" w14:textId="77777777" w:rsidR="005A4A99" w:rsidRDefault="005A4A99" w:rsidP="005A4A99">
            <w:pPr>
              <w:spacing w:after="70"/>
            </w:pPr>
            <w:r>
              <w:rPr>
                <w:color w:val="1A1A2E"/>
              </w:rPr>
              <w:t>— Taśmy: planowane zadania Backup Copy to Tape (niezależne punkty przywracania).</w:t>
            </w:r>
          </w:p>
          <w:p w14:paraId="037CEAF6" w14:textId="77777777" w:rsidR="005A4A99" w:rsidRDefault="005A4A99" w:rsidP="005A4A99">
            <w:r>
              <w:rPr>
                <w:color w:val="1A1A2E"/>
              </w:rPr>
              <w:t>— Pozostałe szczegóły konfiguracyjne (GFS, SureBackup, Move Backup, polityki niezmienności) zostaną uzgodnione z wybranym Wykonawcą podczas warsztatu projektowego (design session) po podpisaniu umowy.</w:t>
            </w:r>
          </w:p>
        </w:tc>
      </w:tr>
      <w:tr w:rsidR="005A4A99" w14:paraId="4E693113" w14:textId="77777777">
        <w:tc>
          <w:tcPr>
            <w:tcW w:w="13000" w:type="dxa"/>
            <w:gridSpan w:val="2"/>
            <w:tcBorders>
              <w:top w:val="single" w:sz="1" w:space="0" w:color="CCCCCC"/>
              <w:left w:val="single" w:sz="1" w:space="0" w:color="CCCCCC"/>
              <w:bottom w:val="single" w:sz="1" w:space="0" w:color="CCCCCC"/>
              <w:right w:val="single" w:sz="1" w:space="0" w:color="CCCCCC"/>
            </w:tcBorders>
            <w:shd w:val="clear" w:color="auto" w:fill="1F3864"/>
            <w:tcMar>
              <w:top w:w="90" w:type="dxa"/>
              <w:left w:w="180" w:type="dxa"/>
              <w:bottom w:w="90" w:type="dxa"/>
              <w:right w:w="180" w:type="dxa"/>
            </w:tcMar>
          </w:tcPr>
          <w:p w14:paraId="624D66AF" w14:textId="77777777" w:rsidR="005A4A99" w:rsidRDefault="005A4A99" w:rsidP="005A4A99">
            <w:r>
              <w:rPr>
                <w:b/>
                <w:bCs/>
                <w:color w:val="FFFFFF"/>
                <w:sz w:val="20"/>
                <w:szCs w:val="20"/>
              </w:rPr>
              <w:t>WNIOSEK O PRZEDŁUŻENIE TERMINU</w:t>
            </w:r>
          </w:p>
        </w:tc>
      </w:tr>
      <w:tr w:rsidR="005A4A99" w14:paraId="64C25B95" w14:textId="77777777">
        <w:tc>
          <w:tcPr>
            <w:tcW w:w="6200" w:type="dxa"/>
            <w:tcBorders>
              <w:top w:val="single" w:sz="1" w:space="0" w:color="CCCCCC"/>
              <w:left w:val="single" w:sz="1" w:space="0" w:color="CCCCCC"/>
              <w:bottom w:val="single" w:sz="1" w:space="0" w:color="CCCCCC"/>
              <w:right w:val="single" w:sz="1" w:space="0" w:color="CCCCCC"/>
            </w:tcBorders>
            <w:shd w:val="clear" w:color="auto" w:fill="F5F7FA"/>
            <w:tcMar>
              <w:top w:w="110" w:type="dxa"/>
              <w:left w:w="180" w:type="dxa"/>
              <w:bottom w:w="110" w:type="dxa"/>
              <w:right w:w="180" w:type="dxa"/>
            </w:tcMar>
          </w:tcPr>
          <w:p w14:paraId="348C7627" w14:textId="77777777" w:rsidR="005A4A99" w:rsidRDefault="005A4A99" w:rsidP="005A4A99">
            <w:r>
              <w:rPr>
                <w:color w:val="1A1A2E"/>
              </w:rPr>
              <w:t>Jednocześnie uprzejmie prosimy o przedłużenie terminu składania ofert do dnia 25.05.2026 r. Prośba ta wynika z konieczności przeprowadzenia pogłębionej analizy zakresu, doprecyzowania kluczowych założeń oraz skonsultowania rozwiązania z odpowiednimi specjalistami. Przy tak rozbudowanym projekcie właściwe przygotowanie oferty wymaga czasu oraz weryfikacji wielu istotnych zależności technicznych.</w:t>
            </w:r>
          </w:p>
        </w:tc>
        <w:tc>
          <w:tcPr>
            <w:tcW w:w="6800" w:type="dxa"/>
            <w:tcBorders>
              <w:top w:val="single" w:sz="1" w:space="0" w:color="CCCCCC"/>
              <w:left w:val="single" w:sz="1" w:space="0" w:color="CCCCCC"/>
              <w:bottom w:val="single" w:sz="1" w:space="0" w:color="CCCCCC"/>
              <w:right w:val="single" w:sz="1" w:space="0" w:color="CCCCCC"/>
            </w:tcBorders>
            <w:shd w:val="clear" w:color="auto" w:fill="FFFFFF"/>
            <w:tcMar>
              <w:top w:w="110" w:type="dxa"/>
              <w:left w:w="180" w:type="dxa"/>
              <w:bottom w:w="110" w:type="dxa"/>
              <w:right w:w="180" w:type="dxa"/>
            </w:tcMar>
          </w:tcPr>
          <w:p w14:paraId="1D20002F" w14:textId="77777777" w:rsidR="005A4A99" w:rsidRDefault="005A4A99" w:rsidP="005A4A99">
            <w:pPr>
              <w:spacing w:after="80"/>
              <w:rPr>
                <w:b/>
                <w:bCs/>
                <w:color w:val="1E7A45"/>
              </w:rPr>
            </w:pPr>
            <w:r>
              <w:rPr>
                <w:b/>
                <w:bCs/>
                <w:color w:val="1E7A45"/>
              </w:rPr>
              <w:t>Zamawiający przyjmuje wniosek.</w:t>
            </w:r>
          </w:p>
          <w:p w14:paraId="0B9D7E41" w14:textId="77777777" w:rsidR="005A4A99" w:rsidRDefault="005A4A99" w:rsidP="005A4A99">
            <w:pPr>
              <w:spacing w:after="70"/>
            </w:pPr>
            <w:r>
              <w:rPr>
                <w:color w:val="1A1A2E"/>
              </w:rPr>
              <w:t>Zamawiający przychyla się do wniosku o przedłużenie terminu składania ofert.</w:t>
            </w:r>
          </w:p>
          <w:p w14:paraId="34012D0D" w14:textId="77777777" w:rsidR="005A4A99" w:rsidRDefault="005A4A99" w:rsidP="005A4A99">
            <w:pPr>
              <w:spacing w:after="70"/>
            </w:pPr>
          </w:p>
          <w:p w14:paraId="2C2A105C" w14:textId="77777777" w:rsidR="005A4A99" w:rsidRDefault="005A4A99" w:rsidP="005A4A99">
            <w:r>
              <w:rPr>
                <w:color w:val="1A1A2E"/>
              </w:rPr>
              <w:t>Nowy termin składania ofert zostaje ustalony na dzień 25.05.2026 r. Zamawiający opublikuje stosowną informację na platformie zamówień publicznych.</w:t>
            </w:r>
          </w:p>
        </w:tc>
      </w:tr>
    </w:tbl>
    <w:p w14:paraId="0F404BE2" w14:textId="77777777" w:rsidR="007108E5" w:rsidRDefault="007108E5"/>
    <w:sectPr w:rsidR="007108E5" w:rsidSect="009014B8">
      <w:pgSz w:w="16838" w:h="11906"/>
      <w:pgMar w:top="900" w:right="800" w:bottom="900" w:left="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F63B6"/>
    <w:multiLevelType w:val="hybridMultilevel"/>
    <w:tmpl w:val="1B04D91A"/>
    <w:lvl w:ilvl="0" w:tplc="B3BA55FC">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ADF7026"/>
    <w:multiLevelType w:val="hybridMultilevel"/>
    <w:tmpl w:val="A4061700"/>
    <w:lvl w:ilvl="0" w:tplc="D7B49430">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CDB4D8A"/>
    <w:multiLevelType w:val="hybridMultilevel"/>
    <w:tmpl w:val="F00463EC"/>
    <w:lvl w:ilvl="0" w:tplc="B07653EC">
      <w:start w:val="1"/>
      <w:numFmt w:val="bullet"/>
      <w:lvlText w:val="●"/>
      <w:lvlJc w:val="left"/>
      <w:pPr>
        <w:ind w:left="720" w:hanging="360"/>
      </w:pPr>
    </w:lvl>
    <w:lvl w:ilvl="1" w:tplc="E9E69FC4">
      <w:start w:val="1"/>
      <w:numFmt w:val="bullet"/>
      <w:lvlText w:val="○"/>
      <w:lvlJc w:val="left"/>
      <w:pPr>
        <w:ind w:left="1440" w:hanging="360"/>
      </w:pPr>
    </w:lvl>
    <w:lvl w:ilvl="2" w:tplc="CA06D328">
      <w:start w:val="1"/>
      <w:numFmt w:val="bullet"/>
      <w:lvlText w:val="■"/>
      <w:lvlJc w:val="left"/>
      <w:pPr>
        <w:ind w:left="2160" w:hanging="360"/>
      </w:pPr>
    </w:lvl>
    <w:lvl w:ilvl="3" w:tplc="5794375E">
      <w:start w:val="1"/>
      <w:numFmt w:val="bullet"/>
      <w:lvlText w:val="●"/>
      <w:lvlJc w:val="left"/>
      <w:pPr>
        <w:ind w:left="2880" w:hanging="360"/>
      </w:pPr>
    </w:lvl>
    <w:lvl w:ilvl="4" w:tplc="7B1EAACC">
      <w:start w:val="1"/>
      <w:numFmt w:val="bullet"/>
      <w:lvlText w:val="○"/>
      <w:lvlJc w:val="left"/>
      <w:pPr>
        <w:ind w:left="3600" w:hanging="360"/>
      </w:pPr>
    </w:lvl>
    <w:lvl w:ilvl="5" w:tplc="E174B968">
      <w:start w:val="1"/>
      <w:numFmt w:val="bullet"/>
      <w:lvlText w:val="■"/>
      <w:lvlJc w:val="left"/>
      <w:pPr>
        <w:ind w:left="4320" w:hanging="360"/>
      </w:pPr>
    </w:lvl>
    <w:lvl w:ilvl="6" w:tplc="47748306">
      <w:start w:val="1"/>
      <w:numFmt w:val="bullet"/>
      <w:lvlText w:val="●"/>
      <w:lvlJc w:val="left"/>
      <w:pPr>
        <w:ind w:left="5040" w:hanging="360"/>
      </w:pPr>
    </w:lvl>
    <w:lvl w:ilvl="7" w:tplc="24FC4D66">
      <w:start w:val="1"/>
      <w:numFmt w:val="bullet"/>
      <w:lvlText w:val="●"/>
      <w:lvlJc w:val="left"/>
      <w:pPr>
        <w:ind w:left="5760" w:hanging="360"/>
      </w:pPr>
    </w:lvl>
    <w:lvl w:ilvl="8" w:tplc="DB56FF68">
      <w:start w:val="1"/>
      <w:numFmt w:val="bullet"/>
      <w:lvlText w:val="●"/>
      <w:lvlJc w:val="left"/>
      <w:pPr>
        <w:ind w:left="6480" w:hanging="360"/>
      </w:pPr>
    </w:lvl>
  </w:abstractNum>
  <w:num w:numId="1" w16cid:durableId="777796047">
    <w:abstractNumId w:val="2"/>
    <w:lvlOverride w:ilvl="0">
      <w:startOverride w:val="1"/>
    </w:lvlOverride>
  </w:num>
  <w:num w:numId="2" w16cid:durableId="1389300481">
    <w:abstractNumId w:val="0"/>
  </w:num>
  <w:num w:numId="3" w16cid:durableId="1437481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9E5"/>
    <w:rsid w:val="000502A8"/>
    <w:rsid w:val="001464CF"/>
    <w:rsid w:val="002B03FF"/>
    <w:rsid w:val="002B3AB9"/>
    <w:rsid w:val="003A22C4"/>
    <w:rsid w:val="003A39EB"/>
    <w:rsid w:val="003C329C"/>
    <w:rsid w:val="003F7078"/>
    <w:rsid w:val="00467F16"/>
    <w:rsid w:val="004D2D67"/>
    <w:rsid w:val="00526A7F"/>
    <w:rsid w:val="005624C8"/>
    <w:rsid w:val="005A4A99"/>
    <w:rsid w:val="005C4B0D"/>
    <w:rsid w:val="006E21CE"/>
    <w:rsid w:val="007108E5"/>
    <w:rsid w:val="00773754"/>
    <w:rsid w:val="00780BB5"/>
    <w:rsid w:val="007D543F"/>
    <w:rsid w:val="009014B8"/>
    <w:rsid w:val="0096521B"/>
    <w:rsid w:val="009D60F6"/>
    <w:rsid w:val="00A10396"/>
    <w:rsid w:val="00BC3E18"/>
    <w:rsid w:val="00C25D59"/>
    <w:rsid w:val="00CE1434"/>
    <w:rsid w:val="00CF567F"/>
    <w:rsid w:val="00D063FC"/>
    <w:rsid w:val="00E404B8"/>
    <w:rsid w:val="00E94461"/>
    <w:rsid w:val="00EF39E5"/>
    <w:rsid w:val="00FD2A71"/>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54798"/>
  <w15:docId w15:val="{4844B68C-5872-4D53-9AE0-4F43D11CC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uiPriority w:val="9"/>
    <w:qFormat/>
    <w:pPr>
      <w:outlineLvl w:val="0"/>
    </w:pPr>
    <w:rPr>
      <w:color w:val="2E74B5"/>
      <w:sz w:val="32"/>
      <w:szCs w:val="32"/>
    </w:rPr>
  </w:style>
  <w:style w:type="paragraph" w:styleId="Nagwek2">
    <w:name w:val="heading 2"/>
    <w:uiPriority w:val="9"/>
    <w:semiHidden/>
    <w:unhideWhenUsed/>
    <w:qFormat/>
    <w:pPr>
      <w:outlineLvl w:val="1"/>
    </w:pPr>
    <w:rPr>
      <w:color w:val="2E74B5"/>
      <w:sz w:val="26"/>
      <w:szCs w:val="26"/>
    </w:rPr>
  </w:style>
  <w:style w:type="paragraph" w:styleId="Nagwek3">
    <w:name w:val="heading 3"/>
    <w:uiPriority w:val="9"/>
    <w:semiHidden/>
    <w:unhideWhenUsed/>
    <w:qFormat/>
    <w:pPr>
      <w:outlineLvl w:val="2"/>
    </w:pPr>
    <w:rPr>
      <w:color w:val="1F4D78"/>
      <w:sz w:val="24"/>
      <w:szCs w:val="24"/>
    </w:rPr>
  </w:style>
  <w:style w:type="paragraph" w:styleId="Nagwek4">
    <w:name w:val="heading 4"/>
    <w:uiPriority w:val="9"/>
    <w:semiHidden/>
    <w:unhideWhenUsed/>
    <w:qFormat/>
    <w:pPr>
      <w:outlineLvl w:val="3"/>
    </w:pPr>
    <w:rPr>
      <w:i/>
      <w:iCs/>
      <w:color w:val="2E74B5"/>
    </w:rPr>
  </w:style>
  <w:style w:type="paragraph" w:styleId="Nagwek5">
    <w:name w:val="heading 5"/>
    <w:uiPriority w:val="9"/>
    <w:semiHidden/>
    <w:unhideWhenUsed/>
    <w:qFormat/>
    <w:pPr>
      <w:outlineLvl w:val="4"/>
    </w:pPr>
    <w:rPr>
      <w:color w:val="2E74B5"/>
    </w:rPr>
  </w:style>
  <w:style w:type="paragraph" w:styleId="Nagwek6">
    <w:name w:val="heading 6"/>
    <w:uiPriority w:val="9"/>
    <w:semiHidden/>
    <w:unhideWhenUsed/>
    <w:qFormat/>
    <w:pPr>
      <w:outlineLvl w:val="5"/>
    </w:pPr>
    <w:rPr>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uiPriority w:val="10"/>
    <w:qFormat/>
    <w:rPr>
      <w:sz w:val="56"/>
      <w:szCs w:val="56"/>
    </w:rPr>
  </w:style>
  <w:style w:type="paragraph" w:customStyle="1" w:styleId="Pogrubienie1">
    <w:name w:val="Pogrubienie1"/>
    <w:qFormat/>
    <w:rPr>
      <w:b/>
      <w:bCs/>
    </w:rPr>
  </w:style>
  <w:style w:type="paragraph" w:styleId="Akapitzlist">
    <w:name w:val="List Paragraph"/>
    <w:qFormat/>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rPr>
      <w:sz w:val="20"/>
      <w:szCs w:val="20"/>
    </w:rPr>
  </w:style>
  <w:style w:type="character" w:customStyle="1" w:styleId="TekstprzypisudolnegoZnak">
    <w:name w:val="Tekst przypisu dolnego Znak"/>
    <w:link w:val="Tekstprzypisudolnego"/>
    <w:uiPriority w:val="99"/>
    <w:semiHidden/>
    <w:unhideWhenUsed/>
    <w:rPr>
      <w:sz w:val="20"/>
      <w:szCs w:val="20"/>
    </w:rPr>
  </w:style>
  <w:style w:type="character" w:styleId="Odwoanieprzypisukocowego">
    <w:name w:val="endnote reference"/>
    <w:uiPriority w:val="99"/>
    <w:semiHidden/>
    <w:unhideWhenUsed/>
    <w:rPr>
      <w:vertAlign w:val="superscript"/>
    </w:rPr>
  </w:style>
  <w:style w:type="paragraph" w:styleId="Tekstprzypisukocowego">
    <w:name w:val="endnote text"/>
    <w:link w:val="TekstprzypisukocowegoZnak"/>
    <w:uiPriority w:val="99"/>
    <w:semiHidden/>
    <w:unhideWhenUsed/>
    <w:rPr>
      <w:sz w:val="20"/>
      <w:szCs w:val="20"/>
    </w:rPr>
  </w:style>
  <w:style w:type="character" w:customStyle="1" w:styleId="TekstprzypisukocowegoZnak">
    <w:name w:val="Tekst przypisu końcowego Znak"/>
    <w:link w:val="Tekstprzypisukocowego"/>
    <w:uiPriority w:val="99"/>
    <w:semiHidden/>
    <w:unhideWhenUsed/>
    <w:rPr>
      <w:sz w:val="20"/>
      <w:szCs w:val="20"/>
    </w:rPr>
  </w:style>
  <w:style w:type="character" w:styleId="Odwoaniedokomentarza">
    <w:name w:val="annotation reference"/>
    <w:basedOn w:val="Domylnaczcionkaakapitu"/>
    <w:uiPriority w:val="99"/>
    <w:semiHidden/>
    <w:unhideWhenUsed/>
    <w:rsid w:val="002B3AB9"/>
    <w:rPr>
      <w:sz w:val="16"/>
      <w:szCs w:val="16"/>
    </w:rPr>
  </w:style>
  <w:style w:type="paragraph" w:styleId="Tekstkomentarza">
    <w:name w:val="annotation text"/>
    <w:basedOn w:val="Normalny"/>
    <w:link w:val="TekstkomentarzaZnak"/>
    <w:uiPriority w:val="99"/>
    <w:unhideWhenUsed/>
    <w:rsid w:val="002B3AB9"/>
    <w:rPr>
      <w:sz w:val="20"/>
      <w:szCs w:val="20"/>
    </w:rPr>
  </w:style>
  <w:style w:type="character" w:customStyle="1" w:styleId="TekstkomentarzaZnak">
    <w:name w:val="Tekst komentarza Znak"/>
    <w:basedOn w:val="Domylnaczcionkaakapitu"/>
    <w:link w:val="Tekstkomentarza"/>
    <w:uiPriority w:val="99"/>
    <w:rsid w:val="002B3AB9"/>
    <w:rPr>
      <w:sz w:val="20"/>
      <w:szCs w:val="20"/>
    </w:rPr>
  </w:style>
  <w:style w:type="paragraph" w:styleId="Tematkomentarza">
    <w:name w:val="annotation subject"/>
    <w:basedOn w:val="Tekstkomentarza"/>
    <w:next w:val="Tekstkomentarza"/>
    <w:link w:val="TematkomentarzaZnak"/>
    <w:uiPriority w:val="99"/>
    <w:semiHidden/>
    <w:unhideWhenUsed/>
    <w:rsid w:val="002B3AB9"/>
    <w:rPr>
      <w:b/>
      <w:bCs/>
    </w:rPr>
  </w:style>
  <w:style w:type="character" w:customStyle="1" w:styleId="TematkomentarzaZnak">
    <w:name w:val="Temat komentarza Znak"/>
    <w:basedOn w:val="TekstkomentarzaZnak"/>
    <w:link w:val="Tematkomentarza"/>
    <w:uiPriority w:val="99"/>
    <w:semiHidden/>
    <w:rsid w:val="002B3AB9"/>
    <w:rPr>
      <w:b/>
      <w:bCs/>
      <w:sz w:val="20"/>
      <w:szCs w:val="20"/>
    </w:rPr>
  </w:style>
  <w:style w:type="character" w:styleId="Nierozpoznanawzmianka">
    <w:name w:val="Unresolved Mention"/>
    <w:basedOn w:val="Domylnaczcionkaakapitu"/>
    <w:uiPriority w:val="99"/>
    <w:semiHidden/>
    <w:unhideWhenUsed/>
    <w:rsid w:val="007737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peat.ne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E6DACAC468FED4FA878AD9CB9E07C65" ma:contentTypeVersion="12" ma:contentTypeDescription="Utwórz nowy dokument." ma:contentTypeScope="" ma:versionID="639a00a5e9b309b2d5af14efe6f5eb28">
  <xsd:schema xmlns:xsd="http://www.w3.org/2001/XMLSchema" xmlns:xs="http://www.w3.org/2001/XMLSchema" xmlns:p="http://schemas.microsoft.com/office/2006/metadata/properties" xmlns:ns1="http://schemas.microsoft.com/sharepoint/v3" xmlns:ns2="388f0f7a-2abe-4a30-acac-61effdd1fd04" xmlns:ns3="d1926fe7-ec65-4e90-8cf9-8dd64fe75b07" targetNamespace="http://schemas.microsoft.com/office/2006/metadata/properties" ma:root="true" ma:fieldsID="638f8e02b512050dcc6aa3540303094d" ns1:_="" ns2:_="" ns3:_="">
    <xsd:import namespace="http://schemas.microsoft.com/sharepoint/v3"/>
    <xsd:import namespace="388f0f7a-2abe-4a30-acac-61effdd1fd04"/>
    <xsd:import namespace="d1926fe7-ec65-4e90-8cf9-8dd64fe75b0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Właściwości ujednoliconych zasad zgodności" ma:hidden="true" ma:internalName="_ip_UnifiedCompliancePolicyProperties">
      <xsd:simpleType>
        <xsd:restriction base="dms:Note"/>
      </xsd:simpleType>
    </xsd:element>
    <xsd:element name="_ip_UnifiedCompliancePolicyUIAction" ma:index="12"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8f0f7a-2abe-4a30-acac-61effdd1f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Tagi obrazów" ma:readOnly="false" ma:fieldId="{5cf76f15-5ced-4ddc-b409-7134ff3c332f}" ma:taxonomyMulti="true" ma:sspId="a3091396-3003-4688-b3ef-3bb4b92834c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926fe7-ec65-4e90-8cf9-8dd64fe75b0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a995763-001e-4915-9f3c-ab28fd3d9ed8}" ma:internalName="TaxCatchAll" ma:showField="CatchAllData" ma:web="d1926fe7-ec65-4e90-8cf9-8dd64fe75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388f0f7a-2abe-4a30-acac-61effdd1fd04">
      <Terms xmlns="http://schemas.microsoft.com/office/infopath/2007/PartnerControls"/>
    </lcf76f155ced4ddcb4097134ff3c332f>
    <_ip_UnifiedCompliancePolicyProperties xmlns="http://schemas.microsoft.com/sharepoint/v3" xsi:nil="true"/>
    <TaxCatchAll xmlns="d1926fe7-ec65-4e90-8cf9-8dd64fe75b07" xsi:nil="true"/>
  </documentManagement>
</p:properties>
</file>

<file path=customXml/itemProps1.xml><?xml version="1.0" encoding="utf-8"?>
<ds:datastoreItem xmlns:ds="http://schemas.openxmlformats.org/officeDocument/2006/customXml" ds:itemID="{71C6516F-7360-471B-A91A-63A4BBA88826}">
  <ds:schemaRefs>
    <ds:schemaRef ds:uri="http://schemas.microsoft.com/sharepoint/v3/contenttype/forms"/>
  </ds:schemaRefs>
</ds:datastoreItem>
</file>

<file path=customXml/itemProps2.xml><?xml version="1.0" encoding="utf-8"?>
<ds:datastoreItem xmlns:ds="http://schemas.openxmlformats.org/officeDocument/2006/customXml" ds:itemID="{B7E2758D-E590-4A6F-B4C5-546E859161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88f0f7a-2abe-4a30-acac-61effdd1fd04"/>
    <ds:schemaRef ds:uri="d1926fe7-ec65-4e90-8cf9-8dd64fe75b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874FAF-C507-48ED-ADCF-D035FE4886E8}">
  <ds:schemaRefs>
    <ds:schemaRef ds:uri="http://schemas.microsoft.com/office/2006/metadata/properties"/>
    <ds:schemaRef ds:uri="http://schemas.microsoft.com/office/infopath/2007/PartnerControls"/>
    <ds:schemaRef ds:uri="http://schemas.microsoft.com/sharepoint/v3"/>
    <ds:schemaRef ds:uri="388f0f7a-2abe-4a30-acac-61effdd1fd04"/>
    <ds:schemaRef ds:uri="d1926fe7-ec65-4e90-8cf9-8dd64fe75b07"/>
  </ds:schemaRefs>
</ds:datastoreItem>
</file>

<file path=docMetadata/LabelInfo.xml><?xml version="1.0" encoding="utf-8"?>
<clbl:labelList xmlns:clbl="http://schemas.microsoft.com/office/2020/mipLabelMetadata">
  <clbl:label id="{7bf28170-c0c9-421d-b621-a14f8fd09838}" enabled="1" method="Standard" siteId="{4e80bc7d-72c3-4455-a15a-165f686713b8}"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14</Pages>
  <Words>5805</Words>
  <Characters>34834</Characters>
  <Application>Microsoft Office Word</Application>
  <DocSecurity>0</DocSecurity>
  <Lines>290</Lines>
  <Paragraphs>81</Paragraphs>
  <ScaleCrop>false</ScaleCrop>
  <Company/>
  <LinksUpToDate>false</LinksUpToDate>
  <CharactersWithSpaces>40558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Walczak Robert</cp:lastModifiedBy>
  <cp:revision>16</cp:revision>
  <dcterms:created xsi:type="dcterms:W3CDTF">2026-05-18T13:33:00Z</dcterms:created>
  <dcterms:modified xsi:type="dcterms:W3CDTF">2026-05-18T13:39:00Z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0x0101002E6DACAC468FED4FA878AD9CB9E07C65</vt:lpwstr>
  </property>
  <property fmtid="{D5CDD505-2E9C-101B-9397-08002B2CF9AE}" pid="3" name="MediaServiceImageTags">
    <vt:lpwstr/>
  </property>
</Properties>
</file>