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435F" w14:textId="77777777" w:rsidR="008A4DD4" w:rsidRPr="00AB2616" w:rsidRDefault="008A4DD4" w:rsidP="00A8514F"/>
    <w:p w14:paraId="14F77A9E" w14:textId="77777777" w:rsidR="008A4DD4" w:rsidRPr="00AB2616" w:rsidRDefault="00000000" w:rsidP="003225B7">
      <w:pPr>
        <w:pStyle w:val="Nagwek1"/>
        <w:jc w:val="center"/>
      </w:pPr>
      <w:r w:rsidRPr="00AB2616">
        <w:t>ZAPYTANIE O INFORMACJĘ (RFI)</w:t>
      </w:r>
    </w:p>
    <w:p w14:paraId="7527B079" w14:textId="77777777" w:rsidR="008A4DD4" w:rsidRPr="00AB2616" w:rsidRDefault="00000000" w:rsidP="003225B7">
      <w:pPr>
        <w:pStyle w:val="Nagwek1"/>
        <w:jc w:val="center"/>
      </w:pPr>
      <w:r w:rsidRPr="00AB2616">
        <w:t>Modernizacja infrastruktury sieciowej LAN i Data Center</w:t>
      </w:r>
    </w:p>
    <w:p w14:paraId="0EAA1130" w14:textId="77777777" w:rsidR="008A4DD4" w:rsidRPr="00AB2616" w:rsidRDefault="008A4DD4" w:rsidP="00A8514F"/>
    <w:p w14:paraId="78FD2A23" w14:textId="77777777" w:rsidR="008A4DD4" w:rsidRPr="00AB2616" w:rsidRDefault="008A4DD4" w:rsidP="00A8514F"/>
    <w:p w14:paraId="23467FA5" w14:textId="77777777" w:rsidR="008A4DD4" w:rsidRPr="00AB2616" w:rsidRDefault="00000000" w:rsidP="00A8514F">
      <w:r w:rsidRPr="00AB2616">
        <w:t>Niniejszy dokument stanowi zapytanie o informację (Request for Information) i nie jest zobowiązaniem do udzielenia zamówienia. Zamawiający zastrzega sobie prawo do wykorzystania uzyskanych informacji jako materiału wejściowego do przygotowania Opisu Przedmiotu Zamówienia (OPZ) oraz Specyfikacji Warunków Zamówienia (SWZ).</w:t>
      </w:r>
    </w:p>
    <w:p w14:paraId="629BAB3D" w14:textId="77777777" w:rsidR="008A4DD4" w:rsidRPr="00AB2616" w:rsidRDefault="00000000" w:rsidP="00A8514F">
      <w:r w:rsidRPr="00AB2616">
        <w:br w:type="page"/>
      </w:r>
    </w:p>
    <w:p w14:paraId="09053C3F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lastRenderedPageBreak/>
        <w:t>1. Cel i zakres dokumentu</w:t>
      </w:r>
    </w:p>
    <w:p w14:paraId="28E504BF" w14:textId="09C8A27E" w:rsidR="008A4DD4" w:rsidRPr="00AB2616" w:rsidRDefault="00000000" w:rsidP="00A8514F">
      <w:r w:rsidRPr="00AB2616">
        <w:t>Celem niniejszego RFI jest pozyskanie informacji rynkowej dotyczącej dostępnych rozwiązań do modernizacji infrastruktury sieciowej LAN oraz Data Center w rozległej organizacji sektora finansowego. Zamawiający eksploatuje sieć obsługującą ok. 1000 pracowników. Obecna infrastruktura przejściowa oparta jest na przełącznikach różnych generacji i wymaga ujednolicenia pod kątem zarządzania, bezpieczeństwa.</w:t>
      </w:r>
    </w:p>
    <w:p w14:paraId="74F3CE47" w14:textId="77777777" w:rsidR="008A4DD4" w:rsidRPr="00AB2616" w:rsidRDefault="00000000" w:rsidP="00A8514F">
      <w:r w:rsidRPr="00AB2616">
        <w:t>Zakres RFI obejmuje warstwę dostępową (Access), warstwę agregacji i rdzenia (Core/Aggregation), infrastrukturę Data Center, system kontroli dostępu do sieci (NAC) oraz platformę centralnego zarządzania. Zamawiający nie uwzględnia w tym zapytaniu infrastruktury bezprzewodowej (AP Fortinet) ani rozwiązań VPN (realizowanych na istniejących firewallach).</w:t>
      </w:r>
    </w:p>
    <w:p w14:paraId="483D7127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2. Charakterystyka obecnego środowiska</w:t>
      </w:r>
    </w:p>
    <w:p w14:paraId="782ACCA4" w14:textId="752711C2" w:rsidR="008A4DD4" w:rsidRPr="00AB2616" w:rsidRDefault="00000000" w:rsidP="00A8514F">
      <w:r w:rsidRPr="00AB2616">
        <w:t xml:space="preserve">Infrastruktura sieciowa jest rozproszona geograficznie i obejmuje lokalizacje centralne (Warszawa – JP2, NASK) </w:t>
      </w:r>
      <w:r w:rsidR="002613FE" w:rsidRPr="00AB2616">
        <w:t>oraz oddziały wojewódzkie (po jednym mieście w każdym z województw).</w:t>
      </w:r>
    </w:p>
    <w:p w14:paraId="1CF9A9DD" w14:textId="77777777" w:rsidR="008A4DD4" w:rsidRPr="00AB2616" w:rsidRDefault="00000000" w:rsidP="00A8514F">
      <w:r w:rsidRPr="00AB2616">
        <w:t>Lokalizacja JP2 pełni rolę głównego węzła dostępowego z dużą liczbą przełączników. NASK stanowi centrum przetwarzania danych z przełącznikami Data Center i bramami VoIP. Połączenia WAN są realizowane w topologii gwiazdy z koncentracją w Warszawie.</w:t>
      </w:r>
    </w:p>
    <w:p w14:paraId="30F6478C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2.1 Urządzenia końcowe</w:t>
      </w:r>
    </w:p>
    <w:p w14:paraId="73238B8A" w14:textId="77777777" w:rsidR="008A4DD4" w:rsidRPr="00AB2616" w:rsidRDefault="00000000" w:rsidP="00A8514F">
      <w:r w:rsidRPr="00AB2616">
        <w:t>Planowana obsługa następujących typów urządzeń: komputery stacjonarne i przenośne (PC/laptop), drukarki sieciowe, telefony VoIP, access pointy Fortinet (podłączane do portów Access z odpowiednim VLAN), urządzenia systemu kontroli dostępu fizycznego (czytniki kart, kontrolery). Każdy typ urządzenia wymaga odrębnej polityki dostępu i segmentacji VLAN.</w:t>
      </w:r>
    </w:p>
    <w:p w14:paraId="35AD2A7D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2.2 Obecne wyposażenie sieciowe</w:t>
      </w:r>
    </w:p>
    <w:p w14:paraId="4F43D2E7" w14:textId="77777777" w:rsidR="008A4DD4" w:rsidRPr="00AB2616" w:rsidRDefault="00000000" w:rsidP="00A8514F">
      <w:r w:rsidRPr="00AB2616">
        <w:t>Poniższa tabela przedstawia docelową liczbę i specyfikację przełączników objętych modernizacją: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200"/>
        <w:gridCol w:w="5326"/>
      </w:tblGrid>
      <w:tr w:rsidR="008A4DD4" w:rsidRPr="00FC02D8" w14:paraId="29E3DE6B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ECB6B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Rola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ED078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Ilość</w:t>
            </w:r>
          </w:p>
        </w:tc>
        <w:tc>
          <w:tcPr>
            <w:tcW w:w="53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20442B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Specyfikacja minimalna</w:t>
            </w:r>
          </w:p>
        </w:tc>
      </w:tr>
      <w:tr w:rsidR="008A4DD4" w:rsidRPr="00AB2616" w14:paraId="5DED5661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87C93" w14:textId="77777777" w:rsidR="008A4DD4" w:rsidRPr="00AB2616" w:rsidRDefault="00000000" w:rsidP="00A8514F">
            <w:r w:rsidRPr="00AB2616">
              <w:t>Core / Aggregation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2FD4BD" w14:textId="77777777" w:rsidR="008A4DD4" w:rsidRPr="00AB2616" w:rsidRDefault="00000000" w:rsidP="00A8514F">
            <w:r w:rsidRPr="00AB2616">
              <w:t>8 szt.</w:t>
            </w:r>
          </w:p>
        </w:tc>
        <w:tc>
          <w:tcPr>
            <w:tcW w:w="53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13F7C" w14:textId="77777777" w:rsidR="008A4DD4" w:rsidRPr="00AB2616" w:rsidRDefault="00000000" w:rsidP="00A8514F">
            <w:r w:rsidRPr="00AB2616">
              <w:t>Przełączniki szkieletowe, uplinki min. 40 Gbit/s, redundancja zasilania, stosowalny w topologii spine-leaf lub ring</w:t>
            </w:r>
          </w:p>
        </w:tc>
      </w:tr>
      <w:tr w:rsidR="008A4DD4" w:rsidRPr="00AB2616" w14:paraId="4E9BD808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7BB60" w14:textId="77777777" w:rsidR="008A4DD4" w:rsidRPr="00AB2616" w:rsidRDefault="00000000" w:rsidP="00A8514F">
            <w:r w:rsidRPr="00AB2616">
              <w:t>Access (48-port)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C408C" w14:textId="77777777" w:rsidR="008A4DD4" w:rsidRPr="00AB2616" w:rsidRDefault="00000000" w:rsidP="00A8514F">
            <w:r w:rsidRPr="00AB2616">
              <w:t>76 szt.</w:t>
            </w:r>
          </w:p>
        </w:tc>
        <w:tc>
          <w:tcPr>
            <w:tcW w:w="53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4F945" w14:textId="77777777" w:rsidR="008A4DD4" w:rsidRPr="00AB2616" w:rsidRDefault="00000000" w:rsidP="00A8514F">
            <w:r w:rsidRPr="00AB2616">
              <w:t>48x RJ-45 1G z PoE+ (802.3at), min. 4x SFP+ 10G trunk, obsługa 802.1X, LLDP-MED dla VoIP</w:t>
            </w:r>
          </w:p>
        </w:tc>
      </w:tr>
      <w:tr w:rsidR="008A4DD4" w:rsidRPr="00AB2616" w14:paraId="3079EB0A" w14:textId="77777777"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B906F" w14:textId="7A4E74D7" w:rsidR="008A4DD4" w:rsidRPr="00AB2616" w:rsidRDefault="00000000" w:rsidP="00A8514F">
            <w:r w:rsidRPr="00AB2616">
              <w:t>Access (</w:t>
            </w:r>
            <w:r w:rsidR="00590189" w:rsidRPr="00AB2616">
              <w:t>pasywne</w:t>
            </w:r>
            <w:r w:rsidRPr="00AB2616">
              <w:t>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0D0E1" w14:textId="77777777" w:rsidR="008A4DD4" w:rsidRPr="00AB2616" w:rsidRDefault="00000000" w:rsidP="00A8514F">
            <w:r w:rsidRPr="00AB2616">
              <w:t>8 szt.</w:t>
            </w:r>
          </w:p>
        </w:tc>
        <w:tc>
          <w:tcPr>
            <w:tcW w:w="53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A50C8" w14:textId="4F2E7B1D" w:rsidR="008A4DD4" w:rsidRPr="00AB2616" w:rsidRDefault="00000000" w:rsidP="00A8514F">
            <w:r w:rsidRPr="00AB2616">
              <w:t xml:space="preserve">8/12/16 portów RJ-45, przełączniki </w:t>
            </w:r>
            <w:r w:rsidR="002613FE" w:rsidRPr="00AB2616">
              <w:t xml:space="preserve">chłodzone </w:t>
            </w:r>
            <w:r w:rsidRPr="00AB2616">
              <w:t>pasywn</w:t>
            </w:r>
            <w:r w:rsidR="002613FE" w:rsidRPr="00AB2616">
              <w:t>i</w:t>
            </w:r>
            <w:r w:rsidRPr="00AB2616">
              <w:t xml:space="preserve">e </w:t>
            </w:r>
          </w:p>
        </w:tc>
      </w:tr>
    </w:tbl>
    <w:p w14:paraId="503AA511" w14:textId="77777777" w:rsidR="008A4DD4" w:rsidRPr="00AB2616" w:rsidRDefault="00000000" w:rsidP="00A8514F">
      <w:r w:rsidRPr="00AB2616">
        <w:t>Uwaga: Dokładna alokacja przełączników na poszczególne lokalizacje zostanie określona na etapie OPZ. Dostawca powinien założyć dostawy do wszystkich wymienionych lokalizacji.</w:t>
      </w:r>
    </w:p>
    <w:p w14:paraId="74DB4D1F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lastRenderedPageBreak/>
        <w:t>3. Wymagania techniczne – LAN Access</w:t>
      </w:r>
    </w:p>
    <w:p w14:paraId="1C2A9733" w14:textId="31C4A0EA" w:rsidR="008A4DD4" w:rsidRPr="00AB2616" w:rsidRDefault="00000000" w:rsidP="00A8514F">
      <w:r w:rsidRPr="00AB2616">
        <w:t>Warstwa dostępowa stanowi punkt styku z urządzeniami końcowymi i musi zapewnić zarówno wydajność transmisji, jak i separację ruchu na poziomie portu. Przełączniki Access (48-port) powinny oferować co najmniej 48 portów 1G RJ-45 z obsługą PoE+ (IEEE 802.3at, minimum 30W na port) oraz 4 porty uplink SFP+ 10G. Budżet PoE na przełącznik nie powinien być niższy niż 740W, co pozwoli na jednoczesne zasilanie telefonów VoIP, access pointów i urządzeń kontroli dostępu.</w:t>
      </w:r>
    </w:p>
    <w:p w14:paraId="28F73973" w14:textId="3AF575FF" w:rsidR="008A4DD4" w:rsidRPr="00AB2616" w:rsidRDefault="00000000" w:rsidP="00A8514F">
      <w:r w:rsidRPr="00AB2616">
        <w:t>Każdy przełącznik musi wspierać dynamiczną segmentację VLAN w oparciu o wynik autoryzacji 802.1X, obsługiwać LLDP-MED (automatyczne przypisanie voice VLAN dla telefonów VoIP)</w:t>
      </w:r>
      <w:r w:rsidR="00110AFF" w:rsidRPr="00AB2616">
        <w:t>, MACSEC</w:t>
      </w:r>
      <w:r w:rsidRPr="00AB2616">
        <w:t xml:space="preserve"> oraz implementować mechanizmy ochrony warstwy 2: DHCP snooping, Dynamic ARP Inspection, IP Source Guard, storm control. Przełączniki powinny umożliwiać konfigurację guest VLAN i MAC Authentication Bypass jako fallback dla urządzeń bez suplikanta 802.1X (drukarki, czytniki kart).</w:t>
      </w:r>
    </w:p>
    <w:p w14:paraId="2F63B3EA" w14:textId="4535E558" w:rsidR="008A4DD4" w:rsidRPr="00AB2616" w:rsidRDefault="00000000" w:rsidP="00A8514F">
      <w:r w:rsidRPr="00AB2616">
        <w:t>Wymagane są redundantne zasilacze oraz możliwość wymiany wentylatorów bez przerywania pracy (hot-swap) w przełącznikach 48-portowych. Dla przełączników kompaktowych (8/12/16-port) dopuszcza się zasilanie pojedyncze</w:t>
      </w:r>
      <w:r w:rsidR="00CA65A9" w:rsidRPr="00AB2616">
        <w:t>.</w:t>
      </w:r>
      <w:r w:rsidRPr="00AB2616">
        <w:t>.</w:t>
      </w:r>
    </w:p>
    <w:p w14:paraId="1EF9E842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4. Wymagania techniczne – LAN Core / Aggregation</w:t>
      </w:r>
    </w:p>
    <w:p w14:paraId="744FF40E" w14:textId="77777777" w:rsidR="008A4DD4" w:rsidRPr="00AB2616" w:rsidRDefault="00000000" w:rsidP="00A8514F">
      <w:r w:rsidRPr="00AB2616">
        <w:t>Warstwa Core/Aggregation odpowiada za konsolidację ruchu z warstwy dostępowej, routing między segmentami VLAN oraz zapewnienie determinizmu ruchu krytycznego. Przełączniki rdzeniowe (8 szt.) muszą obsługiwać uplinki o przepustowości nie mniejszej niż 40 Gbit/s, przy czym Zamawiający dopuszcza równoważne konfiguracje 25G/40G/100G w zależności od architektury proponowanej przez dostawcę.</w:t>
      </w:r>
    </w:p>
    <w:p w14:paraId="3A52B340" w14:textId="77777777" w:rsidR="008A4DD4" w:rsidRPr="00AB2616" w:rsidRDefault="00000000" w:rsidP="00A8514F">
      <w:r w:rsidRPr="00AB2616">
        <w:t>Oczekiwana funkcjonalność obejmuje: routing L3 z obsługą OSPF/BGP, wirtualną agregację chassis (MLAG, VSS, IRF lub odpowiednik), QoS z obsługą co najmniej 8 kolejek na port, mechanizmy redundancji typu non-stop forwarding / graceful restart, oraz pełną obsługę IPv4 i IPv6 w trybie dual-stack. Matryca przełączania powinna zapewniać non-blocking switching przy pełnym obciążeniu wszystkich portów.</w:t>
      </w:r>
    </w:p>
    <w:p w14:paraId="11B362F6" w14:textId="3FAC4AB1" w:rsidR="008A4DD4" w:rsidRPr="00AB2616" w:rsidRDefault="00000000" w:rsidP="00A8514F">
      <w:r w:rsidRPr="00AB2616">
        <w:t xml:space="preserve">W kontekście zgodności z </w:t>
      </w:r>
      <w:r w:rsidR="00F56E2C" w:rsidRPr="00AB2616">
        <w:t>bezpieczeństw</w:t>
      </w:r>
      <w:r w:rsidR="000C7DEE" w:rsidRPr="00AB2616">
        <w:t>em</w:t>
      </w:r>
      <w:r w:rsidRPr="00AB2616">
        <w:t xml:space="preserve">, każdy przełącznik Core musi wspierać mechanizmy logowania zdarzeń do zewnętrznego serwera syslog/SIEM, obsługiwać SNMP v3 (z szyfrowaniem i uwierzytelnianiem), </w:t>
      </w:r>
      <w:r w:rsidR="00CF7E42" w:rsidRPr="00AB2616">
        <w:t xml:space="preserve">MACSEC, </w:t>
      </w:r>
      <w:r w:rsidRPr="00AB2616">
        <w:t>uwierzytelnianie administracyjne przez TACACS+ oraz eksport danych NetFlow/sFlow/IPFIX do analizy ruchu.</w:t>
      </w:r>
    </w:p>
    <w:p w14:paraId="29E84080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5. Wymagania techniczne – Data Center</w:t>
      </w:r>
    </w:p>
    <w:p w14:paraId="4DFF2CC4" w14:textId="69DE93D1" w:rsidR="008A4DD4" w:rsidRPr="00AB2616" w:rsidRDefault="00000000" w:rsidP="00A8514F">
      <w:r w:rsidRPr="00AB2616">
        <w:t xml:space="preserve">Infrastruktura DC zlokalizowana jest w NASK i obsługuje środowiska wirtualizacyjne VMware ESXi, bramy VoIP oraz systemy backendowe. Przełączniki DC muszą realizować architekturę leaf-spine (lub równoważną) z </w:t>
      </w:r>
      <w:r w:rsidR="001052B2" w:rsidRPr="00AB2616">
        <w:t>fabryką</w:t>
      </w:r>
      <w:r w:rsidRPr="00AB2616">
        <w:t xml:space="preserve"> opartą o VXLAN/EVPN, zapewniającą mobilność maszyn wirtualnych i mikrosegmentację.</w:t>
      </w:r>
    </w:p>
    <w:p w14:paraId="516532DE" w14:textId="77777777" w:rsidR="008A4DD4" w:rsidRPr="00AB2616" w:rsidRDefault="00000000" w:rsidP="00A8514F">
      <w:r w:rsidRPr="00AB2616">
        <w:t xml:space="preserve">Połączenia leaf-spine powinny wykorzystywać interfejsy 25G/100G, a każdy przełącznik spine musi zapewniać łączną przepustowość fabric nie mniejszą niż 1,6 Tbit/s. Wymagana jest </w:t>
      </w:r>
      <w:r w:rsidRPr="00AB2616">
        <w:lastRenderedPageBreak/>
        <w:t>obsługa redundantnych połączeń do hiper-visorów (bonding LACP), a także wsparcie dla ruchu East-West między maszynami wirtualnymi bez konieczności hairpinningu przez firewall.</w:t>
      </w:r>
    </w:p>
    <w:p w14:paraId="325D5C6B" w14:textId="2C3551A3" w:rsidR="008A4DD4" w:rsidRPr="00AB2616" w:rsidRDefault="00000000" w:rsidP="00A8514F">
      <w:r w:rsidRPr="00AB2616">
        <w:t xml:space="preserve">Przełączniki DC powinny wspierać lossless Ethernet (PFC, ECN) dla środowisk storage, obsługę jumbo frames (MTU 9216) oraz telemetrię in-band (INT lub </w:t>
      </w:r>
      <w:r w:rsidR="00F56E2C" w:rsidRPr="00AB2616">
        <w:t xml:space="preserve">równoważne </w:t>
      </w:r>
      <w:r w:rsidRPr="00AB2616">
        <w:t>)</w:t>
      </w:r>
      <w:r w:rsidR="00CF7E42" w:rsidRPr="00AB2616">
        <w:t xml:space="preserve"> oraz mechanizm MACSEC</w:t>
      </w:r>
      <w:r w:rsidRPr="00AB2616">
        <w:t>. Zamawiający oczekuje, że dostawca zaproponuje liczbę i konfigurację przełączników DC adekwatną do opisanego środowiska.</w:t>
      </w:r>
    </w:p>
    <w:p w14:paraId="42AF52AE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6. Centralne zarządzanie LAN i DC</w:t>
      </w:r>
    </w:p>
    <w:p w14:paraId="5B03C6EF" w14:textId="4FBA4D74" w:rsidR="008A4DD4" w:rsidRPr="00AB2616" w:rsidRDefault="00000000" w:rsidP="00A8514F">
      <w:r w:rsidRPr="00AB2616">
        <w:t>Zamawiający wymaga jednolitej platformy zarządzania obejmującej całość infrastruktury przełącznikowej – warstwę Access, Core/Aggregation oraz Data Center. Platforma powinna zapewniać: centralne repozytorium konfiguracji z wersjonowaniem i audytem zmian (kto, kiedy, co zmienił), automatyzację provisioningu nowych przełączników (zero-touch provisioning lub odpowiednik), monitoring stanu portów i wykorzystania pasma w czasie rzeczywistym, zarządzanie firmware z możliwością planowania harmonogramu aktualizacji oraz eksport danych operacyjnych przez API REST.</w:t>
      </w:r>
    </w:p>
    <w:p w14:paraId="3AF3A3FA" w14:textId="5C43439F" w:rsidR="008A4DD4" w:rsidRPr="00AB2616" w:rsidRDefault="00000000" w:rsidP="00A8514F">
      <w:r w:rsidRPr="00AB2616">
        <w:t xml:space="preserve">Platforma musi obsługiwać RBAC (Role-Based Access Control) z integracją z Active Directory / Entra ID, rejestrować wszystkie operacje administracyjne w formacie przetwarzalnym przez SIEM, a także umożliwiać definiowanie polityk sieciowych w sposób szablonowy (template-based) z propagacją na grupy urządzeń. Dostawca powinien opisać model licencjonowania – Zamawiający preferuje licencje </w:t>
      </w:r>
      <w:r w:rsidR="001052B2" w:rsidRPr="00AB2616">
        <w:t>na 5 lat lub 7 lat.</w:t>
      </w:r>
    </w:p>
    <w:p w14:paraId="2FE68FE7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7. Kontrola dostępu do sieci (NAC)</w:t>
      </w:r>
    </w:p>
    <w:p w14:paraId="3B2B61D7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7.1 Architektura i protokoły</w:t>
      </w:r>
    </w:p>
    <w:p w14:paraId="0A55558B" w14:textId="0AD3367F" w:rsidR="008A4DD4" w:rsidRPr="00AB2616" w:rsidRDefault="00000000" w:rsidP="00A8514F">
      <w:r w:rsidRPr="00AB2616">
        <w:t xml:space="preserve">System NAC musi realizować uwierzytelnianie urządzeń końcowych w oparciu o standard IEEE 802.1X z wykorzystaniem metody EAP-TLS i certyfikatów X.509. Certyfikaty będą wydawane przez wewnętrzną infrastrukturę PKI Zamawiającego. Dla urządzeń bez suplikanta (drukarki, czytniki kart, urządzenia IoT kontroli dostępu) system musi obsługiwać </w:t>
      </w:r>
      <w:r w:rsidR="000C7DEE" w:rsidRPr="00AB2616">
        <w:t xml:space="preserve">min. </w:t>
      </w:r>
      <w:r w:rsidRPr="00AB2616">
        <w:t>MAC Authentication Bypass (MAB) z profilingów urządzeń.</w:t>
      </w:r>
    </w:p>
    <w:p w14:paraId="06BF6036" w14:textId="35EC711E" w:rsidR="008A4DD4" w:rsidRPr="00AB2616" w:rsidRDefault="00000000" w:rsidP="00A8514F">
      <w:r w:rsidRPr="00AB2616">
        <w:t>Serwer RADIUS pełniący rolę backendu autoryzacyjnego musi być wdrożony w trybie HA (minimum dwa węzły). Polityki dostępu powinny uwzględniać: typ urządzenia, stan zgodności (posture check – wersja OS, status antywirusa, aktualność patchy), członkostwo w grupach AD, lokalizację fizyczną (przełącznik i port). Wynikiem autoryzacji jest dynamiczne przypisanie VLAN, ACL lub SGT (Scalable Group Tag) albo równoważnik.</w:t>
      </w:r>
    </w:p>
    <w:p w14:paraId="76DA9942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7.2 Wdrożenie etapowe i tryb monitor-only</w:t>
      </w:r>
    </w:p>
    <w:p w14:paraId="3B36682C" w14:textId="77777777" w:rsidR="008A4DD4" w:rsidRPr="00AB2616" w:rsidRDefault="00000000" w:rsidP="00A8514F">
      <w:r w:rsidRPr="00AB2616">
        <w:t xml:space="preserve">Zamawiający wymaga etapowego wdrożenia NAC w trzech fazach. Faza 1 (monitor-only): uruchomienie 802.1X na wszystkich portach w trybie open/monitor, zbieranie danych o urządzeniach podłączonych do sieci, budowa bazy profili, identyfikacja urządzeń wymagających MAB. W tej fazie ruch sieciowy nie jest blokowany niezależnie od wyniku autoryzacji. Faza 2 (low-impact): włączenie wymuszania polityk na wybranych VLAN-ach (np. </w:t>
      </w:r>
      <w:r w:rsidRPr="00AB2616">
        <w:lastRenderedPageBreak/>
        <w:t>sieć biurowa) z zachowaniem fallback do guest VLAN. Faza 3 (closed-mode): pełne wymuszanie 802.1X na wszystkich portach, blokowanie ruchu nieautoryzowanego.</w:t>
      </w:r>
    </w:p>
    <w:p w14:paraId="314728BE" w14:textId="77777777" w:rsidR="008A4DD4" w:rsidRPr="00AB2616" w:rsidRDefault="00000000" w:rsidP="00A8514F">
      <w:r w:rsidRPr="00AB2616">
        <w:t>Każda faza musi być poprzedzona testem akceptacyjnym na reprezentatywnej grupie portów i zatwierdzona przez zespół bezpieczeństwa Zamawiającego. Dostawca powinien opisać procedurę rollback dla każdej fazy.</w:t>
      </w:r>
    </w:p>
    <w:p w14:paraId="11F2C2D0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8. Wymagania integracyjne</w:t>
      </w:r>
    </w:p>
    <w:p w14:paraId="29286B79" w14:textId="2C7A057B" w:rsidR="008A4DD4" w:rsidRPr="00AB2616" w:rsidRDefault="00000000" w:rsidP="00A8514F">
      <w:r w:rsidRPr="00AB2616">
        <w:t>Całość wdrażanej infrastruktury musi integ</w:t>
      </w:r>
      <w:r w:rsidR="00303165" w:rsidRPr="00AB2616">
        <w:t>r</w:t>
      </w:r>
      <w:r w:rsidRPr="00AB2616">
        <w:t>ować się z istniejącym ekosystemem IT Zamawiającego. Poniższa lista definiuje minimalne wymagania integracyjne: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8A4DD4" w:rsidRPr="00FC02D8" w14:paraId="3019DAAD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FC67E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System / usługa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E98D5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Zakres integracji</w:t>
            </w:r>
          </w:p>
        </w:tc>
      </w:tr>
      <w:tr w:rsidR="008A4DD4" w:rsidRPr="00AB2616" w14:paraId="793E8037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6FAA2" w14:textId="77777777" w:rsidR="008A4DD4" w:rsidRPr="00AB2616" w:rsidRDefault="00000000" w:rsidP="00A8514F">
            <w:r w:rsidRPr="00AB2616">
              <w:t>AD / LDAP / Entra ID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A063F" w14:textId="77777777" w:rsidR="008A4DD4" w:rsidRPr="00AB2616" w:rsidRDefault="00000000" w:rsidP="00A8514F">
            <w:r w:rsidRPr="00AB2616">
              <w:t>Autoryzacja użytkowników i urządzeń, pobieranie członkostwa w grupach, synchronizacja atrybutów.</w:t>
            </w:r>
          </w:p>
        </w:tc>
      </w:tr>
      <w:tr w:rsidR="008A4DD4" w:rsidRPr="00AB2616" w14:paraId="05D43B97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9BC4F" w14:textId="77777777" w:rsidR="008A4DD4" w:rsidRPr="00AB2616" w:rsidRDefault="00000000" w:rsidP="00A8514F">
            <w:r w:rsidRPr="00AB2616">
              <w:t>PKI (wewnętrzne CA)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A05FA" w14:textId="77777777" w:rsidR="008A4DD4" w:rsidRPr="00AB2616" w:rsidRDefault="00000000" w:rsidP="00A8514F">
            <w:r w:rsidRPr="00AB2616">
              <w:t>Walidacja certyfikatów X.509 w procesie EAP-TLS, obsługa CRL/OCSP.</w:t>
            </w:r>
          </w:p>
        </w:tc>
      </w:tr>
      <w:tr w:rsidR="008A4DD4" w:rsidRPr="00AB2616" w14:paraId="3B53BBF3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EB565" w14:textId="77777777" w:rsidR="008A4DD4" w:rsidRPr="00AB2616" w:rsidRDefault="00000000" w:rsidP="00A8514F">
            <w:r w:rsidRPr="00AB2616">
              <w:t>RADIUS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1BD9A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Backend autoryzacyjny dla 802.1X, CoA (Change of Authorization), accounting.</w:t>
            </w:r>
          </w:p>
        </w:tc>
      </w:tr>
      <w:tr w:rsidR="008A4DD4" w:rsidRPr="00AB2616" w14:paraId="526903FD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E2EA0" w14:textId="77777777" w:rsidR="008A4DD4" w:rsidRPr="00AB2616" w:rsidRDefault="00000000" w:rsidP="00A8514F">
            <w:r w:rsidRPr="00AB2616">
              <w:t>TACACS+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F5F55" w14:textId="77777777" w:rsidR="008A4DD4" w:rsidRPr="00AB2616" w:rsidRDefault="00000000" w:rsidP="00A8514F">
            <w:r w:rsidRPr="00AB2616">
              <w:t>Uwierzytelnianie i autoryzacja dostępu administracyjnego do urządzeń sieciowych.</w:t>
            </w:r>
          </w:p>
        </w:tc>
      </w:tr>
      <w:tr w:rsidR="008A4DD4" w:rsidRPr="00AB2616" w14:paraId="2487A165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ADF06" w14:textId="77777777" w:rsidR="008A4DD4" w:rsidRPr="00AB2616" w:rsidRDefault="00000000" w:rsidP="00A8514F">
            <w:r w:rsidRPr="00AB2616">
              <w:t>SIEM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DAA20C" w14:textId="77777777" w:rsidR="008A4DD4" w:rsidRPr="00AB2616" w:rsidRDefault="00000000" w:rsidP="00A8514F">
            <w:r w:rsidRPr="00AB2616">
              <w:t>Eksport logów zdarzeń bezpieczeństwa i operacyjnych, format syslog/CEF, korelacja alarmów.</w:t>
            </w:r>
          </w:p>
        </w:tc>
      </w:tr>
      <w:tr w:rsidR="008A4DD4" w:rsidRPr="00AB2616" w14:paraId="2C125E6D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475CE9" w14:textId="77777777" w:rsidR="008A4DD4" w:rsidRPr="00AB2616" w:rsidRDefault="00000000" w:rsidP="00A8514F">
            <w:r w:rsidRPr="00AB2616">
              <w:t>ITSM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C4197C" w14:textId="77777777" w:rsidR="008A4DD4" w:rsidRPr="00AB2616" w:rsidRDefault="00000000" w:rsidP="00A8514F">
            <w:r w:rsidRPr="00AB2616">
              <w:t>Automatyczne zgłaszanie incydentów sieciowych, integracja z procesem zarządzania zmianą.</w:t>
            </w:r>
          </w:p>
        </w:tc>
      </w:tr>
      <w:tr w:rsidR="008A4DD4" w:rsidRPr="00AB2616" w14:paraId="41480CDF" w14:textId="77777777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D44CB" w14:textId="77777777" w:rsidR="008A4DD4" w:rsidRPr="00AB2616" w:rsidRDefault="00000000" w:rsidP="00A8514F">
            <w:r w:rsidRPr="00AB2616">
              <w:t>CMDB</w:t>
            </w:r>
          </w:p>
        </w:tc>
        <w:tc>
          <w:tcPr>
            <w:tcW w:w="6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4FC19" w14:textId="77777777" w:rsidR="008A4DD4" w:rsidRPr="00AB2616" w:rsidRDefault="00000000" w:rsidP="00A8514F">
            <w:r w:rsidRPr="00AB2616">
              <w:t>Automatyczne uzupełnianie bazy konfiguracji o odkryte urządzenia sieciowe i końcowe.</w:t>
            </w:r>
          </w:p>
        </w:tc>
      </w:tr>
    </w:tbl>
    <w:p w14:paraId="04228CEC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9. Zakres wdrożenia</w:t>
      </w:r>
    </w:p>
    <w:p w14:paraId="3C84FF45" w14:textId="77777777" w:rsidR="008A4DD4" w:rsidRPr="00AB2616" w:rsidRDefault="00000000" w:rsidP="00A8514F">
      <w:r w:rsidRPr="00AB2616">
        <w:t>Dostawca powinien przewidzieć pełen cykl wdrożeniowy obejmujący następujące etapy:</w:t>
      </w:r>
    </w:p>
    <w:p w14:paraId="5541C31F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9.1 Projektowanie</w:t>
      </w:r>
    </w:p>
    <w:p w14:paraId="56E759EC" w14:textId="77777777" w:rsidR="008A4DD4" w:rsidRPr="00AB2616" w:rsidRDefault="00000000" w:rsidP="00A8514F">
      <w:r w:rsidRPr="00AB2616">
        <w:t>Opracowanie dokumentu HLD (High-Level Design) opisującego architekturę logiczną, adresację, routing, segmentację VLAN, topologię fizyczną i zasady redundancji. Następnie dokumentu LLD (Low-Level Design) z konfiguracjami per-urządzenie, mapowaniem portów, szablonem konfiguracji i planem adresacji IP/VLAN. Oba dokumenty podlegają formalnej akceptacji Zamawiającego przed rozpoczęciem prac wdrożeniowych.</w:t>
      </w:r>
    </w:p>
    <w:p w14:paraId="04718E87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9.2 Migracja</w:t>
      </w:r>
    </w:p>
    <w:p w14:paraId="137571B7" w14:textId="6E83AA2C" w:rsidR="008A4DD4" w:rsidRPr="00AB2616" w:rsidRDefault="00000000" w:rsidP="00A8514F">
      <w:r w:rsidRPr="00AB2616">
        <w:t xml:space="preserve">Plan migracji musi uwzględniać etapowość (lokalizacja po lokalizacji), okna serwisowe poza godzinami pracy, procedury rollback dla każdego etapu oraz kryteria go/no-go. Dostawca </w:t>
      </w:r>
      <w:r w:rsidRPr="00AB2616">
        <w:lastRenderedPageBreak/>
        <w:t>odpowiada za fizyczną instalację, rekonfig</w:t>
      </w:r>
      <w:r w:rsidR="00303165" w:rsidRPr="00AB2616">
        <w:t>u</w:t>
      </w:r>
      <w:r w:rsidRPr="00AB2616">
        <w:t>rację i uruchomienie przełączników we wszystkich lokalizacjach, włącznie z oddziałami regionalnymi.</w:t>
      </w:r>
    </w:p>
    <w:p w14:paraId="1B983474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9.3 Testy i odbiór</w:t>
      </w:r>
    </w:p>
    <w:p w14:paraId="3920F7BE" w14:textId="77777777" w:rsidR="008A4DD4" w:rsidRPr="00AB2616" w:rsidRDefault="00000000" w:rsidP="00A8514F">
      <w:r w:rsidRPr="00A8514F">
        <w:t>Wymagane są testy</w:t>
      </w:r>
      <w:r w:rsidRPr="00AB2616">
        <w:t xml:space="preserve"> akceptacyjne (FAT/SAT) obejmujące: weryfikację łączności L2/L3, test obciążeniowy portów uplink, weryfikację failover (redundancja zasilania, redundancja linków, przełączanie Core), test NAC w każdej fazie, weryfikację integracji z SIEM i CMDB. Protokół testów musi być uzgodniony z Zamawiającym przed rozpoczęciem.</w:t>
      </w:r>
    </w:p>
    <w:p w14:paraId="40CD174E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9.4 Dokumentacja</w:t>
      </w:r>
    </w:p>
    <w:p w14:paraId="1703D8AA" w14:textId="77777777" w:rsidR="008A4DD4" w:rsidRPr="00AB2616" w:rsidRDefault="00000000" w:rsidP="00A8514F">
      <w:r w:rsidRPr="00AB2616">
        <w:t>Dostawca dostarcza komplet dokumentacji: HLD, LLD, schemat fizyczny i logiczny sieci (format edytowalny), procedury operacyjne (backup/restore konfiguracji, wymiana urządzenia, procedura eskalacji), instrukcje dla administratorów, raport z testów akceptacyjnych. Dokumentacja stanowi warunek odbioru końcowego.</w:t>
      </w:r>
    </w:p>
    <w:p w14:paraId="099BB69F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10. Wsparcie powdrożeniowe</w:t>
      </w:r>
    </w:p>
    <w:p w14:paraId="35B9A277" w14:textId="393A3D39" w:rsidR="008A4DD4" w:rsidRPr="00AB2616" w:rsidRDefault="00000000" w:rsidP="00A8514F">
      <w:r w:rsidRPr="00AB2616">
        <w:t xml:space="preserve">Zamawiający wymaga zapewnienia 200 godzin wsparcia eksperckiego dostawcy w okresie 12 miesięcy od daty odbioru końcowego. Wsparcie obejmuje: pomoc w rozwiązywaniu problemów sieciowych wykraczających poza kompetencje zespołu Zamawiającego, konsultacje przy zmianach konfiguracyjnych (np. dodanie nowego VLAN, zmiana polityk NAC), pomoc przy eskalacjach do producenta sprzętu, optymalizację wydajności i </w:t>
      </w:r>
      <w:r w:rsidR="00303165" w:rsidRPr="00AB2616">
        <w:t xml:space="preserve">dostrajanie </w:t>
      </w:r>
      <w:r w:rsidRPr="00AB2616">
        <w:t>polityk QoS. Godziny wsparcia rozliczane są w granulacji 1-godzinnej, a dostawca udostępnia portal lub system ticketowy do zgłoszeń i rozliczania czasu.</w:t>
      </w:r>
    </w:p>
    <w:p w14:paraId="1CEB04D1" w14:textId="7777777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t>11. Tabele odpowiedzi dostawcy</w:t>
      </w:r>
    </w:p>
    <w:p w14:paraId="7F248649" w14:textId="77777777" w:rsidR="008A4DD4" w:rsidRPr="00AB2616" w:rsidRDefault="00000000" w:rsidP="00A8514F">
      <w:r w:rsidRPr="00AB2616">
        <w:t>Dostawca wypełnia poniższe tabele, wskazując spełnienie każdego wymagania (TAK/NIE/CZĘŚCIOWO) wraz z krótkim komentarzem. W przypadku odpowiedzi CZĘŚCIOWO należy opisać ograniczenia.</w:t>
      </w:r>
    </w:p>
    <w:p w14:paraId="37409FD9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11.1 LAN Access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8A4DD4" w:rsidRPr="00FC02D8" w14:paraId="2AFEF158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10EF0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Lp.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6F57C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Wymaganie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49042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Odpowiedź dostawcy</w:t>
            </w:r>
          </w:p>
        </w:tc>
      </w:tr>
      <w:tr w:rsidR="008A4DD4" w:rsidRPr="00AB2616" w14:paraId="3CFDFD1C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D8DBF" w14:textId="77777777" w:rsidR="008A4DD4" w:rsidRPr="00AB2616" w:rsidRDefault="00000000" w:rsidP="00A8514F">
            <w:r w:rsidRPr="00AB2616">
              <w:t>1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38486" w14:textId="77777777" w:rsidR="008A4DD4" w:rsidRPr="00AB2616" w:rsidRDefault="00000000" w:rsidP="00A8514F">
            <w:r w:rsidRPr="00AB2616">
              <w:t>Min. 48 portów 1G RJ-45 z PoE+ (802.3at), budżet PoE ≥ 740W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FBBA2" w14:textId="77777777" w:rsidR="008A4DD4" w:rsidRPr="00AB2616" w:rsidRDefault="008A4DD4" w:rsidP="00A8514F"/>
        </w:tc>
      </w:tr>
      <w:tr w:rsidR="008A4DD4" w:rsidRPr="00AB2616" w14:paraId="1EE19190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E3EB0B" w14:textId="77777777" w:rsidR="008A4DD4" w:rsidRPr="00AB2616" w:rsidRDefault="00000000" w:rsidP="00A8514F">
            <w:r w:rsidRPr="00AB2616">
              <w:t>2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CF6F7" w14:textId="77777777" w:rsidR="008A4DD4" w:rsidRPr="00AB2616" w:rsidRDefault="00000000" w:rsidP="00A8514F">
            <w:r w:rsidRPr="00AB2616">
              <w:t>Min. 4 porty uplink SFP+ 10G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B1FD9" w14:textId="77777777" w:rsidR="008A4DD4" w:rsidRPr="00AB2616" w:rsidRDefault="008A4DD4" w:rsidP="00A8514F"/>
        </w:tc>
      </w:tr>
      <w:tr w:rsidR="008A4DD4" w:rsidRPr="00AB2616" w14:paraId="39009FC9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A10F6" w14:textId="77777777" w:rsidR="008A4DD4" w:rsidRPr="00AB2616" w:rsidRDefault="00000000" w:rsidP="00A8514F">
            <w:r w:rsidRPr="00AB2616">
              <w:t>3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98A6F" w14:textId="77777777" w:rsidR="008A4DD4" w:rsidRPr="00AB2616" w:rsidRDefault="00000000" w:rsidP="00A8514F">
            <w:r w:rsidRPr="00AB2616">
              <w:t>Dynamiczna segmentacja VLAN na podstawie 802.1X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0685D" w14:textId="77777777" w:rsidR="008A4DD4" w:rsidRPr="00AB2616" w:rsidRDefault="008A4DD4" w:rsidP="00A8514F"/>
        </w:tc>
      </w:tr>
      <w:tr w:rsidR="008A4DD4" w:rsidRPr="00AB2616" w14:paraId="4D219310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FEC05A" w14:textId="77777777" w:rsidR="008A4DD4" w:rsidRPr="00AB2616" w:rsidRDefault="00000000" w:rsidP="00A8514F">
            <w:r w:rsidRPr="00AB2616">
              <w:t>4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630D6" w14:textId="77777777" w:rsidR="008A4DD4" w:rsidRPr="00AB2616" w:rsidRDefault="00000000" w:rsidP="00A8514F">
            <w:r w:rsidRPr="00AB2616">
              <w:t>LLDP-MED dla automatycznego voice VLAN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C4A0C" w14:textId="77777777" w:rsidR="008A4DD4" w:rsidRPr="00AB2616" w:rsidRDefault="008A4DD4" w:rsidP="00A8514F"/>
        </w:tc>
      </w:tr>
      <w:tr w:rsidR="008A4DD4" w:rsidRPr="00AB2616" w14:paraId="3F7B01D7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3AB73" w14:textId="77777777" w:rsidR="008A4DD4" w:rsidRPr="00AB2616" w:rsidRDefault="00000000" w:rsidP="00A8514F">
            <w:r w:rsidRPr="00AB2616">
              <w:t>5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51E10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Zabezpieczenia L2: DHCP snooping, DAI, IP Source Guard, storm control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F2A00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0E659D30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265A7" w14:textId="77777777" w:rsidR="008A4DD4" w:rsidRPr="00AB2616" w:rsidRDefault="00000000" w:rsidP="00A8514F">
            <w:r w:rsidRPr="00AB2616">
              <w:lastRenderedPageBreak/>
              <w:t>6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29BA0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Guest VLAN i MAC Authentication Bypass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190870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6AC832CA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4BEE83" w14:textId="77777777" w:rsidR="008A4DD4" w:rsidRPr="00AB2616" w:rsidRDefault="00000000" w:rsidP="00A8514F">
            <w:r w:rsidRPr="00AB2616">
              <w:t>7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9FAA5" w14:textId="77777777" w:rsidR="008A4DD4" w:rsidRPr="00AB2616" w:rsidRDefault="00000000" w:rsidP="00A8514F">
            <w:r w:rsidRPr="00AB2616">
              <w:t>Redundantne zasilacze (48-port), hot-swap wentylatorów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E16ABA" w14:textId="77777777" w:rsidR="008A4DD4" w:rsidRPr="00AB2616" w:rsidRDefault="008A4DD4" w:rsidP="00A8514F"/>
        </w:tc>
      </w:tr>
      <w:tr w:rsidR="008A4DD4" w:rsidRPr="00AB2616" w14:paraId="4B59B8E0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16BB1" w14:textId="77777777" w:rsidR="008A4DD4" w:rsidRPr="00AB2616" w:rsidRDefault="00000000" w:rsidP="00A8514F">
            <w:r w:rsidRPr="00AB2616">
              <w:t>8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D25F6" w14:textId="77777777" w:rsidR="008A4DD4" w:rsidRPr="00AB2616" w:rsidRDefault="00000000" w:rsidP="00A8514F">
            <w:r w:rsidRPr="00AB2616">
              <w:t>Przełączniki kompaktowe 8/12/16-port z obsługą VLAN trunk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64534" w14:textId="77777777" w:rsidR="008A4DD4" w:rsidRPr="00AB2616" w:rsidRDefault="008A4DD4" w:rsidP="00A8514F"/>
        </w:tc>
      </w:tr>
    </w:tbl>
    <w:p w14:paraId="4C16532C" w14:textId="77777777" w:rsidR="008A4DD4" w:rsidRPr="00AB2616" w:rsidRDefault="008A4DD4" w:rsidP="00A8514F"/>
    <w:p w14:paraId="0F81AB1C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11.2 LAN Core / Aggregation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8A4DD4" w:rsidRPr="00FC02D8" w14:paraId="0ACF1DF2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E08C4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Lp.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33EDC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Wymaganie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F8145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Odpowiedź dostawcy</w:t>
            </w:r>
          </w:p>
        </w:tc>
      </w:tr>
      <w:tr w:rsidR="008A4DD4" w:rsidRPr="00AB2616" w14:paraId="3D6B0A12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C7347" w14:textId="77777777" w:rsidR="008A4DD4" w:rsidRPr="00AB2616" w:rsidRDefault="00000000" w:rsidP="00A8514F">
            <w:r w:rsidRPr="00AB2616">
              <w:t>1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F44A2" w14:textId="77777777" w:rsidR="008A4DD4" w:rsidRPr="00AB2616" w:rsidRDefault="00000000" w:rsidP="00A8514F">
            <w:r w:rsidRPr="00AB2616">
              <w:t>Uplinki min. 40 Gbit/s (dopuszczalne 25G/40G/100G)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18CC85" w14:textId="77777777" w:rsidR="008A4DD4" w:rsidRPr="00AB2616" w:rsidRDefault="008A4DD4" w:rsidP="00A8514F"/>
        </w:tc>
      </w:tr>
      <w:tr w:rsidR="008A4DD4" w:rsidRPr="00AB2616" w14:paraId="394E5C11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6E22C3" w14:textId="77777777" w:rsidR="008A4DD4" w:rsidRPr="00AB2616" w:rsidRDefault="00000000" w:rsidP="00A8514F">
            <w:r w:rsidRPr="00AB2616">
              <w:t>2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884F4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Routing L3: OSPF, BGP, dual-stack IPv4/IPv6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5176FA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1398877D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2ECCC6" w14:textId="77777777" w:rsidR="008A4DD4" w:rsidRPr="00AB2616" w:rsidRDefault="00000000" w:rsidP="00A8514F">
            <w:r w:rsidRPr="00AB2616">
              <w:t>3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27E2E" w14:textId="77777777" w:rsidR="008A4DD4" w:rsidRPr="00AB2616" w:rsidRDefault="00000000" w:rsidP="00A8514F">
            <w:r w:rsidRPr="00AB2616">
              <w:t>Wirtualna agregacja chassis (MLAG/VSS/IRF lub odpowiednik)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F71AB" w14:textId="77777777" w:rsidR="008A4DD4" w:rsidRPr="00AB2616" w:rsidRDefault="008A4DD4" w:rsidP="00A8514F"/>
        </w:tc>
      </w:tr>
      <w:tr w:rsidR="008A4DD4" w:rsidRPr="00AB2616" w14:paraId="164D5B1F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27C22" w14:textId="77777777" w:rsidR="008A4DD4" w:rsidRPr="00AB2616" w:rsidRDefault="00000000" w:rsidP="00A8514F">
            <w:r w:rsidRPr="00AB2616">
              <w:t>4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10741" w14:textId="77777777" w:rsidR="008A4DD4" w:rsidRPr="00AB2616" w:rsidRDefault="00000000" w:rsidP="00A8514F">
            <w:r w:rsidRPr="00AB2616">
              <w:t>QoS: min. 8 kolejek na port, mechanizmy scheduling i policing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703FD3" w14:textId="77777777" w:rsidR="008A4DD4" w:rsidRPr="00AB2616" w:rsidRDefault="008A4DD4" w:rsidP="00A8514F"/>
        </w:tc>
      </w:tr>
      <w:tr w:rsidR="008A4DD4" w:rsidRPr="00AB2616" w14:paraId="52E77DB8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D6318" w14:textId="77777777" w:rsidR="008A4DD4" w:rsidRPr="00AB2616" w:rsidRDefault="00000000" w:rsidP="00A8514F">
            <w:r w:rsidRPr="00AB2616">
              <w:t>5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F575B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Non-stop forwarding / graceful restart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6E40B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50E121AD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EE220" w14:textId="77777777" w:rsidR="008A4DD4" w:rsidRPr="00AB2616" w:rsidRDefault="00000000" w:rsidP="00A8514F">
            <w:r w:rsidRPr="00AB2616">
              <w:t>6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596C7" w14:textId="77777777" w:rsidR="008A4DD4" w:rsidRPr="00AB2616" w:rsidRDefault="00000000" w:rsidP="00A8514F">
            <w:r w:rsidRPr="00AB2616">
              <w:t>Non-blocking switching fabric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363021" w14:textId="77777777" w:rsidR="008A4DD4" w:rsidRPr="00AB2616" w:rsidRDefault="008A4DD4" w:rsidP="00A8514F"/>
        </w:tc>
      </w:tr>
      <w:tr w:rsidR="008A4DD4" w:rsidRPr="00AB2616" w14:paraId="40F3D36E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D5D2D3" w14:textId="77777777" w:rsidR="008A4DD4" w:rsidRPr="00AB2616" w:rsidRDefault="00000000" w:rsidP="00A8514F">
            <w:r w:rsidRPr="00AB2616">
              <w:t>7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05C57E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SNMP v3, syslog, NetFlow/sFlow/IPFIX, TACACS+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62846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</w:tbl>
    <w:p w14:paraId="6503002B" w14:textId="77777777" w:rsidR="008A4DD4" w:rsidRPr="00AB2616" w:rsidRDefault="008A4DD4" w:rsidP="00A8514F">
      <w:pPr>
        <w:rPr>
          <w:lang w:val="en-US"/>
        </w:rPr>
      </w:pPr>
    </w:p>
    <w:p w14:paraId="3F2A7053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11.3 Data Center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8A4DD4" w:rsidRPr="00FC02D8" w14:paraId="2D164D95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3FFE9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Lp.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D6CBB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Wymaganie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108AB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Odpowiedź dostawcy</w:t>
            </w:r>
          </w:p>
        </w:tc>
      </w:tr>
      <w:tr w:rsidR="008A4DD4" w:rsidRPr="00AB2616" w14:paraId="2FDF6E2B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B0F37" w14:textId="77777777" w:rsidR="008A4DD4" w:rsidRPr="00AB2616" w:rsidRDefault="00000000" w:rsidP="00A8514F">
            <w:r w:rsidRPr="00AB2616">
              <w:t>1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392C2" w14:textId="77777777" w:rsidR="008A4DD4" w:rsidRPr="00AB2616" w:rsidRDefault="00000000" w:rsidP="00A8514F">
            <w:r w:rsidRPr="00AB2616">
              <w:t>Architektura leaf-spine z VXLAN/EVPN fabric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21E40" w14:textId="77777777" w:rsidR="008A4DD4" w:rsidRPr="00AB2616" w:rsidRDefault="008A4DD4" w:rsidP="00A8514F"/>
        </w:tc>
      </w:tr>
      <w:tr w:rsidR="008A4DD4" w:rsidRPr="00AB2616" w14:paraId="24E41755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23746" w14:textId="77777777" w:rsidR="008A4DD4" w:rsidRPr="00AB2616" w:rsidRDefault="00000000" w:rsidP="00A8514F">
            <w:r w:rsidRPr="00AB2616">
              <w:t>2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F2F20" w14:textId="77777777" w:rsidR="008A4DD4" w:rsidRPr="00AB2616" w:rsidRDefault="00000000" w:rsidP="00A8514F">
            <w:r w:rsidRPr="00AB2616">
              <w:t>Interfejsy leaf-spine 25G/100G, przepustowość spine ≥ 1,6 Tbit/s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9FCF65" w14:textId="77777777" w:rsidR="008A4DD4" w:rsidRPr="00AB2616" w:rsidRDefault="008A4DD4" w:rsidP="00A8514F"/>
        </w:tc>
      </w:tr>
      <w:tr w:rsidR="008A4DD4" w:rsidRPr="00AB2616" w14:paraId="25CF188C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FCFD9" w14:textId="77777777" w:rsidR="008A4DD4" w:rsidRPr="00AB2616" w:rsidRDefault="00000000" w:rsidP="00A8514F">
            <w:r w:rsidRPr="00AB2616">
              <w:t>3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5ABF9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Obsługa LACP bonding do hiper-visorów ESXi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337C4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6AB97854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D6B22" w14:textId="77777777" w:rsidR="008A4DD4" w:rsidRPr="00AB2616" w:rsidRDefault="00000000" w:rsidP="00A8514F">
            <w:r w:rsidRPr="00AB2616">
              <w:t>4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33BAA2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Lossless Ethernet (PFC, ECN), jumbo frames MTU 9216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8BDD67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0F8A2EEA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A2C65" w14:textId="77777777" w:rsidR="008A4DD4" w:rsidRPr="00AB2616" w:rsidRDefault="00000000" w:rsidP="00A8514F">
            <w:r w:rsidRPr="00AB2616">
              <w:t>5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95FE87" w14:textId="77777777" w:rsidR="008A4DD4" w:rsidRPr="00AB2616" w:rsidRDefault="00000000" w:rsidP="00A8514F">
            <w:r w:rsidRPr="00AB2616">
              <w:t>Telemetria in-band (INT lub odpowiednik)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240BC" w14:textId="77777777" w:rsidR="008A4DD4" w:rsidRPr="00AB2616" w:rsidRDefault="008A4DD4" w:rsidP="00A8514F"/>
        </w:tc>
      </w:tr>
      <w:tr w:rsidR="008A4DD4" w:rsidRPr="00AB2616" w14:paraId="43CE60F2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671FB" w14:textId="77777777" w:rsidR="008A4DD4" w:rsidRPr="00AB2616" w:rsidRDefault="00000000" w:rsidP="00A8514F">
            <w:r w:rsidRPr="00AB2616">
              <w:t>6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F7766" w14:textId="77777777" w:rsidR="008A4DD4" w:rsidRPr="00AB2616" w:rsidRDefault="00000000" w:rsidP="00A8514F">
            <w:r w:rsidRPr="00AB2616">
              <w:t>Mikrosegmentacja ruchu East-West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5451AE" w14:textId="77777777" w:rsidR="008A4DD4" w:rsidRPr="00AB2616" w:rsidRDefault="008A4DD4" w:rsidP="00A8514F"/>
        </w:tc>
      </w:tr>
    </w:tbl>
    <w:p w14:paraId="5F69EA7F" w14:textId="77777777" w:rsidR="008A4DD4" w:rsidRPr="00AB2616" w:rsidRDefault="008A4DD4" w:rsidP="00A8514F"/>
    <w:p w14:paraId="7D55E805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11.4 NAC i integracje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8A4DD4" w:rsidRPr="00FC02D8" w14:paraId="545A71B9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2F882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Lp.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47442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Wymaganie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1CEA6F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Odpowiedź dostawcy</w:t>
            </w:r>
          </w:p>
        </w:tc>
      </w:tr>
      <w:tr w:rsidR="008A4DD4" w:rsidRPr="00AB2616" w14:paraId="64EC8DBB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9B866" w14:textId="77777777" w:rsidR="008A4DD4" w:rsidRPr="00AB2616" w:rsidRDefault="00000000" w:rsidP="00A8514F">
            <w:r w:rsidRPr="00AB2616">
              <w:lastRenderedPageBreak/>
              <w:t>1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3F400" w14:textId="77777777" w:rsidR="008A4DD4" w:rsidRPr="00AB2616" w:rsidRDefault="00000000" w:rsidP="00A8514F">
            <w:r w:rsidRPr="00AB2616">
              <w:t>802.1X z EAP-TLS i certyfikatami X.509 z wewnętrznego CA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480C2" w14:textId="77777777" w:rsidR="008A4DD4" w:rsidRPr="00AB2616" w:rsidRDefault="008A4DD4" w:rsidP="00A8514F"/>
        </w:tc>
      </w:tr>
      <w:tr w:rsidR="008A4DD4" w:rsidRPr="00AB2616" w14:paraId="7F10DA99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6377E" w14:textId="77777777" w:rsidR="008A4DD4" w:rsidRPr="00AB2616" w:rsidRDefault="00000000" w:rsidP="00A8514F">
            <w:r w:rsidRPr="00AB2616">
              <w:t>2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BC094" w14:textId="77777777" w:rsidR="008A4DD4" w:rsidRPr="00AB2616" w:rsidRDefault="00000000" w:rsidP="00A8514F">
            <w:r w:rsidRPr="00AB2616">
              <w:t>MAB z profilingiem urządzeń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7C582" w14:textId="77777777" w:rsidR="008A4DD4" w:rsidRPr="00AB2616" w:rsidRDefault="008A4DD4" w:rsidP="00A8514F"/>
        </w:tc>
      </w:tr>
      <w:tr w:rsidR="008A4DD4" w:rsidRPr="00AB2616" w14:paraId="0476AC04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9F1FA2" w14:textId="77777777" w:rsidR="008A4DD4" w:rsidRPr="00AB2616" w:rsidRDefault="00000000" w:rsidP="00A8514F">
            <w:r w:rsidRPr="00AB2616">
              <w:t>3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D7407" w14:textId="77777777" w:rsidR="008A4DD4" w:rsidRPr="00AB2616" w:rsidRDefault="00000000" w:rsidP="00A8514F">
            <w:r w:rsidRPr="00AB2616">
              <w:t>Serwer RADIUS w konfiguracji HA (min. 2 węzły)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A8F2C7" w14:textId="77777777" w:rsidR="008A4DD4" w:rsidRPr="00AB2616" w:rsidRDefault="008A4DD4" w:rsidP="00A8514F"/>
        </w:tc>
      </w:tr>
      <w:tr w:rsidR="008A4DD4" w:rsidRPr="00AB2616" w14:paraId="138E8668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1C256" w14:textId="77777777" w:rsidR="008A4DD4" w:rsidRPr="00AB2616" w:rsidRDefault="00000000" w:rsidP="00A8514F">
            <w:r w:rsidRPr="00AB2616">
              <w:t>4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792F83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Posture check (wersja OS, AV, patche)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09F5E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3023A9B3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C71288" w14:textId="77777777" w:rsidR="008A4DD4" w:rsidRPr="00AB2616" w:rsidRDefault="00000000" w:rsidP="00A8514F">
            <w:r w:rsidRPr="00AB2616">
              <w:t>5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1EC193" w14:textId="77777777" w:rsidR="008A4DD4" w:rsidRPr="00AB2616" w:rsidRDefault="00000000" w:rsidP="00A8514F">
            <w:r w:rsidRPr="00AB2616">
              <w:t>Dynamiczne VLAN/ACL/SGT na podstawie wyniku autoryzacji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4F9E5" w14:textId="77777777" w:rsidR="008A4DD4" w:rsidRPr="00AB2616" w:rsidRDefault="008A4DD4" w:rsidP="00A8514F"/>
        </w:tc>
      </w:tr>
      <w:tr w:rsidR="008A4DD4" w:rsidRPr="00AB2616" w14:paraId="5ED9B3D4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31F3E5" w14:textId="77777777" w:rsidR="008A4DD4" w:rsidRPr="00AB2616" w:rsidRDefault="00000000" w:rsidP="00A8514F">
            <w:r w:rsidRPr="00AB2616">
              <w:t>6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6770E" w14:textId="77777777" w:rsidR="008A4DD4" w:rsidRPr="00AB2616" w:rsidRDefault="00000000" w:rsidP="00A8514F">
            <w:pPr>
              <w:rPr>
                <w:lang w:val="en-US"/>
              </w:rPr>
            </w:pPr>
            <w:r w:rsidRPr="00AB2616">
              <w:rPr>
                <w:lang w:val="en-US"/>
              </w:rPr>
              <w:t>Etapowe wdrożenie: monitor-only → low-impact → closed-mode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205EB" w14:textId="77777777" w:rsidR="008A4DD4" w:rsidRPr="00AB2616" w:rsidRDefault="008A4DD4" w:rsidP="00A8514F">
            <w:pPr>
              <w:rPr>
                <w:lang w:val="en-US"/>
              </w:rPr>
            </w:pPr>
          </w:p>
        </w:tc>
      </w:tr>
      <w:tr w:rsidR="008A4DD4" w:rsidRPr="00AB2616" w14:paraId="2510F561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D4B357" w14:textId="77777777" w:rsidR="008A4DD4" w:rsidRPr="00AB2616" w:rsidRDefault="00000000" w:rsidP="00A8514F">
            <w:r w:rsidRPr="00AB2616">
              <w:t>7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0FCF3" w14:textId="77777777" w:rsidR="008A4DD4" w:rsidRPr="00AB2616" w:rsidRDefault="00000000" w:rsidP="00A8514F">
            <w:r w:rsidRPr="00AB2616">
              <w:t>Integracja AD/LDAP/Entra ID, PKI, SIEM, ITSM, CMDB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4E924" w14:textId="77777777" w:rsidR="008A4DD4" w:rsidRPr="00AB2616" w:rsidRDefault="008A4DD4" w:rsidP="00A8514F"/>
        </w:tc>
      </w:tr>
    </w:tbl>
    <w:p w14:paraId="16A241EA" w14:textId="77777777" w:rsidR="008A4DD4" w:rsidRPr="00AB2616" w:rsidRDefault="008A4DD4" w:rsidP="00A8514F"/>
    <w:p w14:paraId="69C75FE8" w14:textId="77777777" w:rsidR="008A4DD4" w:rsidRPr="00AB2616" w:rsidRDefault="00000000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>11.5 Zarządzanie i wdrożenie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8A4DD4" w:rsidRPr="00FC02D8" w14:paraId="36A21E2F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74670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Lp.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5F388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Wymaganie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B3E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2C6EC4" w14:textId="77777777" w:rsidR="008A4DD4" w:rsidRPr="00FC02D8" w:rsidRDefault="00000000" w:rsidP="00A8514F">
            <w:pPr>
              <w:rPr>
                <w:color w:val="FFFFFF" w:themeColor="background1"/>
              </w:rPr>
            </w:pPr>
            <w:r w:rsidRPr="00FC02D8">
              <w:rPr>
                <w:color w:val="FFFFFF" w:themeColor="background1"/>
              </w:rPr>
              <w:t>Odpowiedź dostawcy</w:t>
            </w:r>
          </w:p>
        </w:tc>
      </w:tr>
      <w:tr w:rsidR="008A4DD4" w:rsidRPr="00AB2616" w14:paraId="172CD9A8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6CC7C5" w14:textId="77777777" w:rsidR="008A4DD4" w:rsidRPr="00AB2616" w:rsidRDefault="00000000" w:rsidP="00A8514F">
            <w:r w:rsidRPr="00AB2616">
              <w:t>1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88A1C" w14:textId="77777777" w:rsidR="008A4DD4" w:rsidRPr="00AB2616" w:rsidRDefault="00000000" w:rsidP="00A8514F">
            <w:r w:rsidRPr="00AB2616">
              <w:t>Centralna platforma zarządzania LAN + DC z RBAC i audytem zmian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74132" w14:textId="77777777" w:rsidR="008A4DD4" w:rsidRPr="00AB2616" w:rsidRDefault="008A4DD4" w:rsidP="00A8514F"/>
        </w:tc>
      </w:tr>
      <w:tr w:rsidR="008A4DD4" w:rsidRPr="00AB2616" w14:paraId="698A4468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A6C83E" w14:textId="77777777" w:rsidR="008A4DD4" w:rsidRPr="00AB2616" w:rsidRDefault="00000000" w:rsidP="00A8514F">
            <w:r w:rsidRPr="00AB2616">
              <w:t>2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5CBB39" w14:textId="77777777" w:rsidR="008A4DD4" w:rsidRPr="00AB2616" w:rsidRDefault="00000000" w:rsidP="00A8514F">
            <w:r w:rsidRPr="00AB2616">
              <w:t>Zero-touch provisioning nowych urządzeń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7530F" w14:textId="77777777" w:rsidR="008A4DD4" w:rsidRPr="00AB2616" w:rsidRDefault="008A4DD4" w:rsidP="00A8514F"/>
        </w:tc>
      </w:tr>
      <w:tr w:rsidR="008A4DD4" w:rsidRPr="00AB2616" w14:paraId="74DED667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F4170" w14:textId="77777777" w:rsidR="008A4DD4" w:rsidRPr="00AB2616" w:rsidRDefault="00000000" w:rsidP="00A8514F">
            <w:r w:rsidRPr="00AB2616">
              <w:t>3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E68F6" w14:textId="77777777" w:rsidR="008A4DD4" w:rsidRPr="00AB2616" w:rsidRDefault="00000000" w:rsidP="00A8514F">
            <w:r w:rsidRPr="00AB2616">
              <w:t>Monitoring portów i pasma w czasie rzeczywistym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D8833" w14:textId="77777777" w:rsidR="008A4DD4" w:rsidRPr="00AB2616" w:rsidRDefault="008A4DD4" w:rsidP="00A8514F"/>
        </w:tc>
      </w:tr>
      <w:tr w:rsidR="008A4DD4" w:rsidRPr="00AB2616" w14:paraId="6E316BBB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4315E" w14:textId="77777777" w:rsidR="008A4DD4" w:rsidRPr="00AB2616" w:rsidRDefault="00000000" w:rsidP="00A8514F">
            <w:r w:rsidRPr="00AB2616">
              <w:t>4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6B80B" w14:textId="77777777" w:rsidR="008A4DD4" w:rsidRPr="00AB2616" w:rsidRDefault="00000000" w:rsidP="00A8514F">
            <w:r w:rsidRPr="00AB2616">
              <w:t>Zarządzanie firmware z harmonogramem aktualizacji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F501E" w14:textId="77777777" w:rsidR="008A4DD4" w:rsidRPr="00AB2616" w:rsidRDefault="008A4DD4" w:rsidP="00A8514F"/>
        </w:tc>
      </w:tr>
      <w:tr w:rsidR="008A4DD4" w:rsidRPr="00AB2616" w14:paraId="2F1362A1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EE728" w14:textId="77777777" w:rsidR="008A4DD4" w:rsidRPr="00AB2616" w:rsidRDefault="00000000" w:rsidP="00A8514F">
            <w:r w:rsidRPr="00AB2616">
              <w:t>5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6DDE5" w14:textId="77777777" w:rsidR="008A4DD4" w:rsidRPr="00AB2616" w:rsidRDefault="00000000" w:rsidP="00A8514F">
            <w:r w:rsidRPr="00AB2616">
              <w:t>API REST do eksportu danych operacyjnych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B777A" w14:textId="77777777" w:rsidR="008A4DD4" w:rsidRPr="00AB2616" w:rsidRDefault="008A4DD4" w:rsidP="00A8514F"/>
        </w:tc>
      </w:tr>
      <w:tr w:rsidR="008A4DD4" w:rsidRPr="00AB2616" w14:paraId="4F1C461B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BB9621" w14:textId="77777777" w:rsidR="008A4DD4" w:rsidRPr="00AB2616" w:rsidRDefault="00000000" w:rsidP="00A8514F">
            <w:r w:rsidRPr="00AB2616">
              <w:t>6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7B2915" w14:textId="77777777" w:rsidR="008A4DD4" w:rsidRPr="00AB2616" w:rsidRDefault="00000000" w:rsidP="00A8514F">
            <w:r w:rsidRPr="00AB2616">
              <w:t>HLD i LLD z formalną akceptacją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3F435" w14:textId="77777777" w:rsidR="008A4DD4" w:rsidRPr="00AB2616" w:rsidRDefault="008A4DD4" w:rsidP="00A8514F"/>
        </w:tc>
      </w:tr>
      <w:tr w:rsidR="008A4DD4" w:rsidRPr="00AB2616" w14:paraId="2C917A74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A6423" w14:textId="77777777" w:rsidR="008A4DD4" w:rsidRPr="00AB2616" w:rsidRDefault="00000000" w:rsidP="00A8514F">
            <w:r w:rsidRPr="00AB2616">
              <w:t>7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03C87" w14:textId="77777777" w:rsidR="008A4DD4" w:rsidRPr="00AB2616" w:rsidRDefault="00000000" w:rsidP="00A8514F">
            <w:r w:rsidRPr="00AB2616">
              <w:t>Migracja etapowa z rollback i oknami serwisowymi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EC828" w14:textId="77777777" w:rsidR="008A4DD4" w:rsidRPr="00AB2616" w:rsidRDefault="008A4DD4" w:rsidP="00A8514F"/>
        </w:tc>
      </w:tr>
      <w:tr w:rsidR="008A4DD4" w:rsidRPr="00AB2616" w14:paraId="2581DF1C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137866" w14:textId="77777777" w:rsidR="008A4DD4" w:rsidRPr="00AB2616" w:rsidRDefault="00000000" w:rsidP="00A8514F">
            <w:r w:rsidRPr="00AB2616">
              <w:t>8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FECD1A" w14:textId="77777777" w:rsidR="008A4DD4" w:rsidRPr="00AB2616" w:rsidRDefault="00000000" w:rsidP="00A8514F">
            <w:r w:rsidRPr="00AB2616">
              <w:t>Testy FAT/SAT – pełen zakres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F3570" w14:textId="77777777" w:rsidR="008A4DD4" w:rsidRPr="00AB2616" w:rsidRDefault="008A4DD4" w:rsidP="00A8514F"/>
        </w:tc>
      </w:tr>
      <w:tr w:rsidR="008A4DD4" w:rsidRPr="00AB2616" w14:paraId="5738D525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58EB59" w14:textId="77777777" w:rsidR="008A4DD4" w:rsidRPr="00AB2616" w:rsidRDefault="00000000" w:rsidP="00A8514F">
            <w:r w:rsidRPr="00AB2616">
              <w:t>9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97553" w14:textId="77777777" w:rsidR="008A4DD4" w:rsidRPr="00AB2616" w:rsidRDefault="00000000" w:rsidP="00A8514F">
            <w:r w:rsidRPr="00AB2616">
              <w:t>Komplet dokumentacji (schematy, procedury, instrukcje)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4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6A947" w14:textId="77777777" w:rsidR="008A4DD4" w:rsidRPr="00AB2616" w:rsidRDefault="008A4DD4" w:rsidP="00A8514F"/>
        </w:tc>
      </w:tr>
      <w:tr w:rsidR="008A4DD4" w:rsidRPr="00AB2616" w14:paraId="651D1489" w14:textId="7777777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55C9CD" w14:textId="77777777" w:rsidR="008A4DD4" w:rsidRPr="00AB2616" w:rsidRDefault="00000000" w:rsidP="00A8514F">
            <w:r w:rsidRPr="00AB2616">
              <w:t>10</w:t>
            </w:r>
          </w:p>
        </w:tc>
        <w:tc>
          <w:tcPr>
            <w:tcW w:w="5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BA3C1" w14:textId="77777777" w:rsidR="008A4DD4" w:rsidRPr="00AB2616" w:rsidRDefault="00000000" w:rsidP="00A8514F">
            <w:r w:rsidRPr="00AB2616">
              <w:t>200h wsparcia eksperckiego (12 miesięcy)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5D445" w14:textId="77777777" w:rsidR="008A4DD4" w:rsidRPr="00AB2616" w:rsidRDefault="008A4DD4" w:rsidP="00A8514F"/>
        </w:tc>
      </w:tr>
    </w:tbl>
    <w:p w14:paraId="72C16CF1" w14:textId="5CABC242" w:rsidR="008028D7" w:rsidRPr="00AB2616" w:rsidRDefault="008028D7" w:rsidP="008028D7">
      <w:pPr>
        <w:pStyle w:val="Nagwek2"/>
        <w:rPr>
          <w:rFonts w:cs="Calibri"/>
        </w:rPr>
      </w:pPr>
      <w:r w:rsidRPr="00AB2616">
        <w:rPr>
          <w:rFonts w:cs="Calibri"/>
          <w:color w:val="2B3E50"/>
        </w:rPr>
        <w:t xml:space="preserve">11.6 </w:t>
      </w:r>
      <w:r w:rsidR="00697D18" w:rsidRPr="00AB2616">
        <w:rPr>
          <w:rFonts w:cs="Calibri"/>
          <w:color w:val="2B3E50"/>
        </w:rPr>
        <w:t>Formularz cenowy</w:t>
      </w:r>
    </w:p>
    <w:p w14:paraId="7475AF07" w14:textId="77777777" w:rsidR="00327775" w:rsidRPr="00AB2616" w:rsidRDefault="00327775" w:rsidP="00A8514F">
      <w:pPr>
        <w:sectPr w:rsidR="00327775" w:rsidRPr="00AB2616">
          <w:headerReference w:type="default" r:id="rId7"/>
          <w:footerReference w:type="default" r:id="rId8"/>
          <w:pgSz w:w="11906" w:h="16838"/>
          <w:pgMar w:top="1200" w:right="1200" w:bottom="1200" w:left="144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95"/>
        <w:gridCol w:w="571"/>
        <w:gridCol w:w="3082"/>
        <w:gridCol w:w="1602"/>
        <w:gridCol w:w="1117"/>
        <w:gridCol w:w="1602"/>
        <w:gridCol w:w="1117"/>
        <w:gridCol w:w="1602"/>
        <w:gridCol w:w="1114"/>
      </w:tblGrid>
      <w:tr w:rsidR="00C33D0D" w:rsidRPr="00A318CE" w14:paraId="69435848" w14:textId="77777777" w:rsidTr="00C33D0D">
        <w:trPr>
          <w:trHeight w:val="1245"/>
        </w:trPr>
        <w:tc>
          <w:tcPr>
            <w:tcW w:w="148" w:type="pct"/>
            <w:vMerge w:val="restart"/>
            <w:shd w:val="clear" w:color="000000" w:fill="2B3E50"/>
            <w:vAlign w:val="center"/>
            <w:hideMark/>
          </w:tcPr>
          <w:p w14:paraId="699F193B" w14:textId="77777777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lastRenderedPageBreak/>
              <w:t>LP</w:t>
            </w:r>
          </w:p>
          <w:p w14:paraId="507FB0E6" w14:textId="26416D43" w:rsidR="00C33D0D" w:rsidRPr="00A318CE" w:rsidRDefault="00C33D0D" w:rsidP="00C05A5C">
            <w:pPr>
              <w:spacing w:after="0" w:line="240" w:lineRule="auto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761" w:type="pct"/>
            <w:vMerge w:val="restart"/>
            <w:shd w:val="clear" w:color="000000" w:fill="2B3E50"/>
            <w:vAlign w:val="center"/>
            <w:hideMark/>
          </w:tcPr>
          <w:p w14:paraId="12A9705F" w14:textId="77777777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Nazwa Elementu</w:t>
            </w:r>
          </w:p>
          <w:p w14:paraId="4DB235B4" w14:textId="37095D7C" w:rsidR="00C33D0D" w:rsidRPr="00A318CE" w:rsidRDefault="00C33D0D" w:rsidP="00C05A5C">
            <w:pPr>
              <w:spacing w:after="0" w:line="240" w:lineRule="auto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198" w:type="pct"/>
            <w:vMerge w:val="restart"/>
            <w:shd w:val="clear" w:color="000000" w:fill="2B3E50"/>
            <w:vAlign w:val="center"/>
            <w:hideMark/>
          </w:tcPr>
          <w:p w14:paraId="0E24F676" w14:textId="77777777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Szt.</w:t>
            </w:r>
          </w:p>
          <w:p w14:paraId="48C3258A" w14:textId="7D543616" w:rsidR="00C33D0D" w:rsidRPr="00A318CE" w:rsidRDefault="00C33D0D" w:rsidP="00C05A5C">
            <w:pPr>
              <w:spacing w:after="0" w:line="240" w:lineRule="auto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1068" w:type="pct"/>
            <w:vMerge w:val="restart"/>
            <w:shd w:val="clear" w:color="000000" w:fill="2B3E50"/>
            <w:vAlign w:val="center"/>
            <w:hideMark/>
          </w:tcPr>
          <w:p w14:paraId="0B5FA2B7" w14:textId="77777777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Producent/Model/Typ oferowanego sprzętu/oprogramowania</w:t>
            </w:r>
          </w:p>
          <w:p w14:paraId="0183EF3C" w14:textId="22ABD43E" w:rsidR="00C33D0D" w:rsidRPr="00A318CE" w:rsidRDefault="00C33D0D" w:rsidP="00C05A5C">
            <w:pPr>
              <w:spacing w:after="0" w:line="240" w:lineRule="auto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942" w:type="pct"/>
            <w:gridSpan w:val="2"/>
            <w:shd w:val="clear" w:color="000000" w:fill="2B3E50"/>
            <w:vAlign w:val="center"/>
            <w:hideMark/>
          </w:tcPr>
          <w:p w14:paraId="14481798" w14:textId="15DCFD39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Serwis gwarancyjny 3 lata</w:t>
            </w:r>
          </w:p>
        </w:tc>
        <w:tc>
          <w:tcPr>
            <w:tcW w:w="942" w:type="pct"/>
            <w:gridSpan w:val="2"/>
            <w:shd w:val="clear" w:color="000000" w:fill="2B3E50"/>
            <w:vAlign w:val="center"/>
            <w:hideMark/>
          </w:tcPr>
          <w:p w14:paraId="0DE92F3B" w14:textId="61A0B06B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Serwis gwarancyjny 5 lat</w:t>
            </w:r>
          </w:p>
        </w:tc>
        <w:tc>
          <w:tcPr>
            <w:tcW w:w="941" w:type="pct"/>
            <w:gridSpan w:val="2"/>
            <w:shd w:val="clear" w:color="000000" w:fill="2B3E50"/>
            <w:vAlign w:val="center"/>
            <w:hideMark/>
          </w:tcPr>
          <w:p w14:paraId="49700381" w14:textId="5EF6B2CD" w:rsidR="00C33D0D" w:rsidRPr="00A318CE" w:rsidRDefault="00C33D0D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Serwis gwarancyjny 7 lat</w:t>
            </w:r>
          </w:p>
        </w:tc>
      </w:tr>
      <w:tr w:rsidR="00C05A5C" w:rsidRPr="00A318CE" w14:paraId="408B766F" w14:textId="77777777" w:rsidTr="00C05A5C">
        <w:trPr>
          <w:trHeight w:val="1275"/>
        </w:trPr>
        <w:tc>
          <w:tcPr>
            <w:tcW w:w="148" w:type="pct"/>
            <w:vMerge/>
            <w:shd w:val="clear" w:color="000000" w:fill="2B3E50"/>
            <w:vAlign w:val="center"/>
            <w:hideMark/>
          </w:tcPr>
          <w:p w14:paraId="579EBBFD" w14:textId="1EF46FFE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761" w:type="pct"/>
            <w:vMerge/>
            <w:shd w:val="clear" w:color="000000" w:fill="2B3E50"/>
            <w:vAlign w:val="center"/>
            <w:hideMark/>
          </w:tcPr>
          <w:p w14:paraId="7F9EC015" w14:textId="1B9CF41E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198" w:type="pct"/>
            <w:vMerge/>
            <w:shd w:val="clear" w:color="000000" w:fill="2B3E50"/>
            <w:vAlign w:val="center"/>
            <w:hideMark/>
          </w:tcPr>
          <w:p w14:paraId="083BEA68" w14:textId="0AF2ADEF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1068" w:type="pct"/>
            <w:vMerge/>
            <w:shd w:val="clear" w:color="000000" w:fill="2B3E50"/>
            <w:vAlign w:val="center"/>
            <w:hideMark/>
          </w:tcPr>
          <w:p w14:paraId="7D9C4629" w14:textId="73555A1F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</w:p>
        </w:tc>
        <w:tc>
          <w:tcPr>
            <w:tcW w:w="555" w:type="pct"/>
            <w:shd w:val="clear" w:color="000000" w:fill="2B3E50"/>
            <w:vAlign w:val="center"/>
            <w:hideMark/>
          </w:tcPr>
          <w:p w14:paraId="6F3C7D71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Cena jedn. netto (PLN)</w:t>
            </w:r>
          </w:p>
        </w:tc>
        <w:tc>
          <w:tcPr>
            <w:tcW w:w="387" w:type="pct"/>
            <w:shd w:val="clear" w:color="000000" w:fill="2B3E50"/>
            <w:vAlign w:val="center"/>
            <w:hideMark/>
          </w:tcPr>
          <w:p w14:paraId="7EA53D47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Wartość całk. netto (PLN)</w:t>
            </w:r>
          </w:p>
        </w:tc>
        <w:tc>
          <w:tcPr>
            <w:tcW w:w="555" w:type="pct"/>
            <w:shd w:val="clear" w:color="000000" w:fill="2B3E50"/>
            <w:vAlign w:val="center"/>
            <w:hideMark/>
          </w:tcPr>
          <w:p w14:paraId="242CB5EB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Cena jedn. netto (PLN)</w:t>
            </w:r>
          </w:p>
        </w:tc>
        <w:tc>
          <w:tcPr>
            <w:tcW w:w="387" w:type="pct"/>
            <w:shd w:val="clear" w:color="000000" w:fill="2B3E50"/>
            <w:vAlign w:val="center"/>
            <w:hideMark/>
          </w:tcPr>
          <w:p w14:paraId="624BCC37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Wartość całk. netto (PLN)</w:t>
            </w:r>
          </w:p>
        </w:tc>
        <w:tc>
          <w:tcPr>
            <w:tcW w:w="555" w:type="pct"/>
            <w:shd w:val="clear" w:color="000000" w:fill="2B3E50"/>
            <w:vAlign w:val="center"/>
            <w:hideMark/>
          </w:tcPr>
          <w:p w14:paraId="10E63DA3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Cena jedn. netto (PLN)</w:t>
            </w:r>
          </w:p>
        </w:tc>
        <w:tc>
          <w:tcPr>
            <w:tcW w:w="386" w:type="pct"/>
            <w:shd w:val="clear" w:color="000000" w:fill="2B3E50"/>
            <w:vAlign w:val="center"/>
            <w:hideMark/>
          </w:tcPr>
          <w:p w14:paraId="6BD76004" w14:textId="77777777" w:rsidR="00C05A5C" w:rsidRPr="00A318CE" w:rsidRDefault="00C05A5C" w:rsidP="00C05A5C">
            <w:pPr>
              <w:spacing w:after="0" w:line="240" w:lineRule="auto"/>
              <w:contextualSpacing w:val="0"/>
              <w:jc w:val="center"/>
              <w:rPr>
                <w:rFonts w:eastAsia="Times New Roman"/>
                <w:color w:val="FFFFFF"/>
                <w:szCs w:val="24"/>
              </w:rPr>
            </w:pPr>
            <w:r w:rsidRPr="00A318CE">
              <w:rPr>
                <w:rFonts w:eastAsia="Times New Roman"/>
                <w:color w:val="FFFFFF"/>
                <w:szCs w:val="24"/>
              </w:rPr>
              <w:t>Wartość całk. netto (PLN)</w:t>
            </w:r>
          </w:p>
        </w:tc>
      </w:tr>
      <w:tr w:rsidR="00A318CE" w:rsidRPr="00A318CE" w14:paraId="7D8B6767" w14:textId="77777777" w:rsidTr="00C33D0D">
        <w:trPr>
          <w:trHeight w:val="802"/>
        </w:trPr>
        <w:tc>
          <w:tcPr>
            <w:tcW w:w="148" w:type="pct"/>
            <w:shd w:val="clear" w:color="000000" w:fill="F2F4F6"/>
            <w:vAlign w:val="center"/>
            <w:hideMark/>
          </w:tcPr>
          <w:p w14:paraId="414B5944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1</w:t>
            </w:r>
          </w:p>
        </w:tc>
        <w:tc>
          <w:tcPr>
            <w:tcW w:w="761" w:type="pct"/>
            <w:shd w:val="clear" w:color="000000" w:fill="F2F4F6"/>
            <w:vAlign w:val="center"/>
            <w:hideMark/>
          </w:tcPr>
          <w:p w14:paraId="02AC507C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Switch Core/Aggregation</w:t>
            </w:r>
          </w:p>
        </w:tc>
        <w:tc>
          <w:tcPr>
            <w:tcW w:w="198" w:type="pct"/>
            <w:shd w:val="clear" w:color="000000" w:fill="F2F4F6"/>
            <w:vAlign w:val="center"/>
            <w:hideMark/>
          </w:tcPr>
          <w:p w14:paraId="2798632A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068" w:type="pct"/>
            <w:shd w:val="clear" w:color="000000" w:fill="F2F4F6"/>
            <w:vAlign w:val="center"/>
            <w:hideMark/>
          </w:tcPr>
          <w:p w14:paraId="1C210BFE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3AD5CF90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37889B4F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0EBAF0EE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34B99C06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4FA3698C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6" w:type="pct"/>
            <w:shd w:val="clear" w:color="000000" w:fill="F2F4F6"/>
            <w:vAlign w:val="center"/>
            <w:hideMark/>
          </w:tcPr>
          <w:p w14:paraId="4B14F1C1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</w:tr>
      <w:tr w:rsidR="00A318CE" w:rsidRPr="00A318CE" w14:paraId="4509EAF4" w14:textId="77777777" w:rsidTr="00C33D0D">
        <w:trPr>
          <w:trHeight w:val="802"/>
        </w:trPr>
        <w:tc>
          <w:tcPr>
            <w:tcW w:w="148" w:type="pct"/>
            <w:vAlign w:val="center"/>
            <w:hideMark/>
          </w:tcPr>
          <w:p w14:paraId="680AE901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2</w:t>
            </w:r>
          </w:p>
        </w:tc>
        <w:tc>
          <w:tcPr>
            <w:tcW w:w="761" w:type="pct"/>
            <w:vAlign w:val="center"/>
            <w:hideMark/>
          </w:tcPr>
          <w:p w14:paraId="0599BEAF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Switch Access</w:t>
            </w:r>
          </w:p>
        </w:tc>
        <w:tc>
          <w:tcPr>
            <w:tcW w:w="198" w:type="pct"/>
            <w:vAlign w:val="center"/>
            <w:hideMark/>
          </w:tcPr>
          <w:p w14:paraId="7634E197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76</w:t>
            </w:r>
          </w:p>
        </w:tc>
        <w:tc>
          <w:tcPr>
            <w:tcW w:w="1068" w:type="pct"/>
            <w:vAlign w:val="center"/>
            <w:hideMark/>
          </w:tcPr>
          <w:p w14:paraId="65BF4987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76749AA1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vAlign w:val="center"/>
            <w:hideMark/>
          </w:tcPr>
          <w:p w14:paraId="725D037A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755B5C39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vAlign w:val="center"/>
            <w:hideMark/>
          </w:tcPr>
          <w:p w14:paraId="4CEDEF1E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5EFB27D7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4344A0E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</w:tr>
      <w:tr w:rsidR="00A318CE" w:rsidRPr="00A318CE" w14:paraId="4EC39DBA" w14:textId="77777777" w:rsidTr="00C33D0D">
        <w:trPr>
          <w:trHeight w:val="802"/>
        </w:trPr>
        <w:tc>
          <w:tcPr>
            <w:tcW w:w="148" w:type="pct"/>
            <w:shd w:val="clear" w:color="000000" w:fill="F2F4F6"/>
            <w:vAlign w:val="center"/>
            <w:hideMark/>
          </w:tcPr>
          <w:p w14:paraId="288773C0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3</w:t>
            </w:r>
          </w:p>
        </w:tc>
        <w:tc>
          <w:tcPr>
            <w:tcW w:w="761" w:type="pct"/>
            <w:shd w:val="clear" w:color="000000" w:fill="F2F4F6"/>
            <w:vAlign w:val="center"/>
            <w:hideMark/>
          </w:tcPr>
          <w:p w14:paraId="6F704FCF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Switch Access pasywny</w:t>
            </w:r>
          </w:p>
        </w:tc>
        <w:tc>
          <w:tcPr>
            <w:tcW w:w="198" w:type="pct"/>
            <w:shd w:val="clear" w:color="000000" w:fill="F2F4F6"/>
            <w:vAlign w:val="center"/>
            <w:hideMark/>
          </w:tcPr>
          <w:p w14:paraId="42B2A7D8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068" w:type="pct"/>
            <w:shd w:val="clear" w:color="000000" w:fill="F2F4F6"/>
            <w:vAlign w:val="center"/>
            <w:hideMark/>
          </w:tcPr>
          <w:p w14:paraId="5ADDD5D2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0B60B6A7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184BE496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328CFFA5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66383CC6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16805DFC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6" w:type="pct"/>
            <w:shd w:val="clear" w:color="000000" w:fill="F2F4F6"/>
            <w:vAlign w:val="center"/>
            <w:hideMark/>
          </w:tcPr>
          <w:p w14:paraId="55A24F28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</w:tr>
      <w:tr w:rsidR="00A318CE" w:rsidRPr="00A318CE" w14:paraId="1989D4BD" w14:textId="77777777" w:rsidTr="00C33D0D">
        <w:trPr>
          <w:trHeight w:val="802"/>
        </w:trPr>
        <w:tc>
          <w:tcPr>
            <w:tcW w:w="148" w:type="pct"/>
            <w:vAlign w:val="center"/>
            <w:hideMark/>
          </w:tcPr>
          <w:p w14:paraId="4186CD80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4</w:t>
            </w:r>
          </w:p>
        </w:tc>
        <w:tc>
          <w:tcPr>
            <w:tcW w:w="761" w:type="pct"/>
            <w:vAlign w:val="center"/>
            <w:hideMark/>
          </w:tcPr>
          <w:p w14:paraId="6B8674AC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System do zarządzania</w:t>
            </w:r>
          </w:p>
        </w:tc>
        <w:tc>
          <w:tcPr>
            <w:tcW w:w="198" w:type="pct"/>
            <w:vAlign w:val="center"/>
            <w:hideMark/>
          </w:tcPr>
          <w:p w14:paraId="2036EE23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068" w:type="pct"/>
            <w:vAlign w:val="center"/>
            <w:hideMark/>
          </w:tcPr>
          <w:p w14:paraId="765A6DBB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0630A7E8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vAlign w:val="center"/>
            <w:hideMark/>
          </w:tcPr>
          <w:p w14:paraId="13A62442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67C9BB8F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vAlign w:val="center"/>
            <w:hideMark/>
          </w:tcPr>
          <w:p w14:paraId="412D5702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vAlign w:val="center"/>
            <w:hideMark/>
          </w:tcPr>
          <w:p w14:paraId="036FBD73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0C39075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</w:tr>
      <w:tr w:rsidR="00A318CE" w:rsidRPr="00A318CE" w14:paraId="70A0CEE7" w14:textId="77777777" w:rsidTr="00C33D0D">
        <w:trPr>
          <w:trHeight w:val="802"/>
        </w:trPr>
        <w:tc>
          <w:tcPr>
            <w:tcW w:w="148" w:type="pct"/>
            <w:shd w:val="clear" w:color="000000" w:fill="F2F4F6"/>
            <w:vAlign w:val="center"/>
            <w:hideMark/>
          </w:tcPr>
          <w:p w14:paraId="57B3106E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5</w:t>
            </w:r>
          </w:p>
        </w:tc>
        <w:tc>
          <w:tcPr>
            <w:tcW w:w="761" w:type="pct"/>
            <w:shd w:val="clear" w:color="000000" w:fill="F2F4F6"/>
            <w:vAlign w:val="center"/>
            <w:hideMark/>
          </w:tcPr>
          <w:p w14:paraId="0B8A2787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System NAC</w:t>
            </w:r>
          </w:p>
        </w:tc>
        <w:tc>
          <w:tcPr>
            <w:tcW w:w="198" w:type="pct"/>
            <w:shd w:val="clear" w:color="000000" w:fill="F2F4F6"/>
            <w:vAlign w:val="center"/>
            <w:hideMark/>
          </w:tcPr>
          <w:p w14:paraId="4E1B182B" w14:textId="77777777" w:rsidR="00A318CE" w:rsidRPr="00A318CE" w:rsidRDefault="00A318CE" w:rsidP="00A318CE">
            <w:pPr>
              <w:spacing w:after="0" w:line="240" w:lineRule="auto"/>
              <w:contextualSpacing w:val="0"/>
              <w:jc w:val="right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068" w:type="pct"/>
            <w:shd w:val="clear" w:color="000000" w:fill="F2F4F6"/>
            <w:vAlign w:val="center"/>
            <w:hideMark/>
          </w:tcPr>
          <w:p w14:paraId="007B1752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0D3A5545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11E5FF8D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3F898E24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7" w:type="pct"/>
            <w:shd w:val="clear" w:color="000000" w:fill="F2F4F6"/>
            <w:vAlign w:val="center"/>
            <w:hideMark/>
          </w:tcPr>
          <w:p w14:paraId="1B1EC8F8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555" w:type="pct"/>
            <w:shd w:val="clear" w:color="000000" w:fill="F2F4F6"/>
            <w:vAlign w:val="center"/>
            <w:hideMark/>
          </w:tcPr>
          <w:p w14:paraId="071091A3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86" w:type="pct"/>
            <w:shd w:val="clear" w:color="000000" w:fill="F2F4F6"/>
            <w:vAlign w:val="center"/>
            <w:hideMark/>
          </w:tcPr>
          <w:p w14:paraId="21AFCEE4" w14:textId="77777777" w:rsidR="00A318CE" w:rsidRPr="00A318CE" w:rsidRDefault="00A318CE" w:rsidP="00A318CE">
            <w:pPr>
              <w:spacing w:after="0" w:line="240" w:lineRule="auto"/>
              <w:contextualSpacing w:val="0"/>
              <w:rPr>
                <w:rFonts w:eastAsia="Times New Roman"/>
                <w:szCs w:val="24"/>
              </w:rPr>
            </w:pPr>
            <w:r w:rsidRPr="00A318CE">
              <w:rPr>
                <w:rFonts w:eastAsia="Times New Roman"/>
                <w:szCs w:val="24"/>
              </w:rPr>
              <w:t> </w:t>
            </w:r>
          </w:p>
        </w:tc>
      </w:tr>
    </w:tbl>
    <w:p w14:paraId="44F123F3" w14:textId="77777777" w:rsidR="00327775" w:rsidRPr="00AB2616" w:rsidRDefault="00327775" w:rsidP="00A8514F">
      <w:pPr>
        <w:sectPr w:rsidR="00327775" w:rsidRPr="00AB2616" w:rsidSect="00327775">
          <w:pgSz w:w="16838" w:h="11906" w:orient="landscape"/>
          <w:pgMar w:top="1440" w:right="1200" w:bottom="1200" w:left="1200" w:header="708" w:footer="708" w:gutter="0"/>
          <w:cols w:space="708"/>
          <w:docGrid w:linePitch="360"/>
        </w:sectPr>
      </w:pPr>
      <w:r w:rsidRPr="00AB2616">
        <w:br/>
      </w:r>
      <w:r w:rsidRPr="00AB2616">
        <w:br/>
      </w:r>
      <w:r w:rsidRPr="00AB2616">
        <w:br/>
      </w:r>
    </w:p>
    <w:p w14:paraId="5D52CEF9" w14:textId="2C033517" w:rsidR="008A4DD4" w:rsidRPr="00AB2616" w:rsidRDefault="00000000">
      <w:pPr>
        <w:pStyle w:val="Nagwek1"/>
        <w:rPr>
          <w:rFonts w:cs="Calibri"/>
        </w:rPr>
      </w:pPr>
      <w:r w:rsidRPr="00AB2616">
        <w:rPr>
          <w:rFonts w:cs="Calibri"/>
          <w:color w:val="1B2838"/>
        </w:rPr>
        <w:lastRenderedPageBreak/>
        <w:t>1</w:t>
      </w:r>
      <w:r w:rsidR="001977CE">
        <w:rPr>
          <w:rFonts w:cs="Calibri"/>
          <w:color w:val="1B2838"/>
        </w:rPr>
        <w:t>2</w:t>
      </w:r>
      <w:r w:rsidRPr="00AB2616">
        <w:rPr>
          <w:rFonts w:cs="Calibri"/>
          <w:color w:val="1B2838"/>
        </w:rPr>
        <w:t>. Informacje organizacyjne</w:t>
      </w:r>
    </w:p>
    <w:p w14:paraId="4CDB12A7" w14:textId="6712D913" w:rsidR="008A4DD4" w:rsidRPr="00AB2616" w:rsidRDefault="00000000" w:rsidP="00A8514F">
      <w:r w:rsidRPr="00AB2616">
        <w:t xml:space="preserve">Odpowiedź na niniejsze RFI należy przesłać w formie elektronicznej na adres: </w:t>
      </w:r>
      <w:r w:rsidR="001977CE" w:rsidRPr="001977CE">
        <w:t>szacowanieit@pfron.gov.pl</w:t>
      </w:r>
      <w:r w:rsidRPr="00AB2616">
        <w:t>. Zamawiający dopuszcza przesyłanie pytań wyjaśniających na ten sam adres. Odpowiedzi na pytania będą udostępnione wszystkim zaproszonym dostawcom.</w:t>
      </w:r>
    </w:p>
    <w:p w14:paraId="0B67759A" w14:textId="77777777" w:rsidR="008A4DD4" w:rsidRPr="00AB2616" w:rsidRDefault="00000000" w:rsidP="00A8514F">
      <w:r w:rsidRPr="00AB2616">
        <w:t>Odpowiedź powinna zawierać: wypełnione tabele z sekcji 11, krótki opis proponowanej architektury (max. 5 stron), karty katalogowe proponowanych urządzeń, opis modelu licencjonowania oraz szacunkowy harmonogram wdrożenia. Zamawiający nie wymaga na tym etapie wyceny finansowej, natomiast oczekuje orientacyjnych informacji o modelu kosztowym (CAPEX vs. OPEX, licencje bezterminowe vs. subskrypcja).</w:t>
      </w:r>
    </w:p>
    <w:p w14:paraId="1B173BC3" w14:textId="77777777" w:rsidR="008A4DD4" w:rsidRPr="00AB2616" w:rsidRDefault="00000000" w:rsidP="00A8514F">
      <w:r w:rsidRPr="00AB2616">
        <w:t>Informacje przekazane w odpowiedzi na RFI będą traktowane jako poufne i wykorzystane wyłącznie na potrzeby przygotowania dokumentacji przetargowej. Zamawiający nie zwraca kosztów poniesionych przez dostawców w związku z przygotowaniem odpowiedzi na RFI.</w:t>
      </w:r>
    </w:p>
    <w:sectPr w:rsidR="008A4DD4" w:rsidRPr="00AB2616" w:rsidSect="00327775">
      <w:pgSz w:w="11906" w:h="16838"/>
      <w:pgMar w:top="1200" w:right="120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F3F2" w14:textId="77777777" w:rsidR="000C7829" w:rsidRDefault="000C7829" w:rsidP="00A8514F">
      <w:r>
        <w:separator/>
      </w:r>
    </w:p>
  </w:endnote>
  <w:endnote w:type="continuationSeparator" w:id="0">
    <w:p w14:paraId="0C8367D5" w14:textId="77777777" w:rsidR="000C7829" w:rsidRDefault="000C7829" w:rsidP="00A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0F7" w14:textId="79E61929" w:rsidR="00BD1414" w:rsidRDefault="00000000" w:rsidP="00A8514F">
    <w:r>
      <w:t xml:space="preserve">Strona </w:t>
    </w:r>
    <w:r>
      <w:fldChar w:fldCharType="begin"/>
    </w:r>
    <w:r>
      <w:instrText>PAGE</w:instrText>
    </w:r>
    <w:r>
      <w:fldChar w:fldCharType="separate"/>
    </w:r>
    <w:r w:rsidR="001052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CBAF" w14:textId="77777777" w:rsidR="000C7829" w:rsidRDefault="000C7829" w:rsidP="00A8514F">
      <w:r>
        <w:separator/>
      </w:r>
    </w:p>
  </w:footnote>
  <w:footnote w:type="continuationSeparator" w:id="0">
    <w:p w14:paraId="32FA5219" w14:textId="77777777" w:rsidR="000C7829" w:rsidRDefault="000C7829" w:rsidP="00A8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C118" w14:textId="77777777" w:rsidR="008A4DD4" w:rsidRDefault="00000000" w:rsidP="00A8514F">
    <w:r>
      <w:t>RFI – Modernizacja sieci LAN i Data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46DA"/>
    <w:multiLevelType w:val="hybridMultilevel"/>
    <w:tmpl w:val="A2701E94"/>
    <w:lvl w:ilvl="0" w:tplc="76CAB28E">
      <w:start w:val="1"/>
      <w:numFmt w:val="decimal"/>
      <w:lvlText w:val="%1."/>
      <w:lvlJc w:val="left"/>
      <w:pPr>
        <w:ind w:left="420" w:hanging="420"/>
      </w:pPr>
    </w:lvl>
    <w:lvl w:ilvl="1" w:tplc="7ED66A44">
      <w:numFmt w:val="decimal"/>
      <w:lvlText w:val=""/>
      <w:lvlJc w:val="left"/>
    </w:lvl>
    <w:lvl w:ilvl="2" w:tplc="26A29D38">
      <w:numFmt w:val="decimal"/>
      <w:lvlText w:val=""/>
      <w:lvlJc w:val="left"/>
    </w:lvl>
    <w:lvl w:ilvl="3" w:tplc="DBD8A8EE">
      <w:numFmt w:val="decimal"/>
      <w:lvlText w:val=""/>
      <w:lvlJc w:val="left"/>
    </w:lvl>
    <w:lvl w:ilvl="4" w:tplc="2DD0C93C">
      <w:numFmt w:val="decimal"/>
      <w:lvlText w:val=""/>
      <w:lvlJc w:val="left"/>
    </w:lvl>
    <w:lvl w:ilvl="5" w:tplc="8A685B0C">
      <w:numFmt w:val="decimal"/>
      <w:lvlText w:val=""/>
      <w:lvlJc w:val="left"/>
    </w:lvl>
    <w:lvl w:ilvl="6" w:tplc="3F562C28">
      <w:numFmt w:val="decimal"/>
      <w:lvlText w:val=""/>
      <w:lvlJc w:val="left"/>
    </w:lvl>
    <w:lvl w:ilvl="7" w:tplc="7CCACF14">
      <w:numFmt w:val="decimal"/>
      <w:lvlText w:val=""/>
      <w:lvlJc w:val="left"/>
    </w:lvl>
    <w:lvl w:ilvl="8" w:tplc="C840D9D4">
      <w:numFmt w:val="decimal"/>
      <w:lvlText w:val=""/>
      <w:lvlJc w:val="left"/>
    </w:lvl>
  </w:abstractNum>
  <w:abstractNum w:abstractNumId="1" w15:restartNumberingAfterBreak="0">
    <w:nsid w:val="364952CD"/>
    <w:multiLevelType w:val="hybridMultilevel"/>
    <w:tmpl w:val="6CB620F0"/>
    <w:lvl w:ilvl="0" w:tplc="F21A5598">
      <w:start w:val="1"/>
      <w:numFmt w:val="decimal"/>
      <w:lvlText w:val="%1."/>
      <w:lvlJc w:val="left"/>
      <w:pPr>
        <w:ind w:left="420" w:hanging="420"/>
      </w:pPr>
    </w:lvl>
    <w:lvl w:ilvl="1" w:tplc="2EA84018">
      <w:start w:val="1"/>
      <w:numFmt w:val="lowerLetter"/>
      <w:lvlText w:val="%2)"/>
      <w:lvlJc w:val="left"/>
      <w:pPr>
        <w:ind w:left="840" w:hanging="420"/>
      </w:pPr>
    </w:lvl>
    <w:lvl w:ilvl="2" w:tplc="61683640">
      <w:numFmt w:val="decimal"/>
      <w:lvlText w:val=""/>
      <w:lvlJc w:val="left"/>
    </w:lvl>
    <w:lvl w:ilvl="3" w:tplc="990E25C6">
      <w:numFmt w:val="decimal"/>
      <w:lvlText w:val=""/>
      <w:lvlJc w:val="left"/>
    </w:lvl>
    <w:lvl w:ilvl="4" w:tplc="6B2E56F0">
      <w:numFmt w:val="decimal"/>
      <w:lvlText w:val=""/>
      <w:lvlJc w:val="left"/>
    </w:lvl>
    <w:lvl w:ilvl="5" w:tplc="8F120746">
      <w:numFmt w:val="decimal"/>
      <w:lvlText w:val=""/>
      <w:lvlJc w:val="left"/>
    </w:lvl>
    <w:lvl w:ilvl="6" w:tplc="574A214C">
      <w:numFmt w:val="decimal"/>
      <w:lvlText w:val=""/>
      <w:lvlJc w:val="left"/>
    </w:lvl>
    <w:lvl w:ilvl="7" w:tplc="A1C82584">
      <w:numFmt w:val="decimal"/>
      <w:lvlText w:val=""/>
      <w:lvlJc w:val="left"/>
    </w:lvl>
    <w:lvl w:ilvl="8" w:tplc="8CDA17DC">
      <w:numFmt w:val="decimal"/>
      <w:lvlText w:val=""/>
      <w:lvlJc w:val="left"/>
    </w:lvl>
  </w:abstractNum>
  <w:abstractNum w:abstractNumId="2" w15:restartNumberingAfterBreak="0">
    <w:nsid w:val="4F4B2F29"/>
    <w:multiLevelType w:val="hybridMultilevel"/>
    <w:tmpl w:val="CD500B24"/>
    <w:lvl w:ilvl="0" w:tplc="A22618DC">
      <w:start w:val="1"/>
      <w:numFmt w:val="bullet"/>
      <w:lvlText w:val="●"/>
      <w:lvlJc w:val="left"/>
      <w:pPr>
        <w:ind w:left="720" w:hanging="360"/>
      </w:pPr>
    </w:lvl>
    <w:lvl w:ilvl="1" w:tplc="2A6AB0A4">
      <w:start w:val="1"/>
      <w:numFmt w:val="bullet"/>
      <w:lvlText w:val="○"/>
      <w:lvlJc w:val="left"/>
      <w:pPr>
        <w:ind w:left="1440" w:hanging="360"/>
      </w:pPr>
    </w:lvl>
    <w:lvl w:ilvl="2" w:tplc="F828CCE4">
      <w:start w:val="1"/>
      <w:numFmt w:val="bullet"/>
      <w:lvlText w:val="■"/>
      <w:lvlJc w:val="left"/>
      <w:pPr>
        <w:ind w:left="2160" w:hanging="360"/>
      </w:pPr>
    </w:lvl>
    <w:lvl w:ilvl="3" w:tplc="D8724AD6">
      <w:start w:val="1"/>
      <w:numFmt w:val="bullet"/>
      <w:lvlText w:val="●"/>
      <w:lvlJc w:val="left"/>
      <w:pPr>
        <w:ind w:left="2880" w:hanging="360"/>
      </w:pPr>
    </w:lvl>
    <w:lvl w:ilvl="4" w:tplc="8A78A806">
      <w:start w:val="1"/>
      <w:numFmt w:val="bullet"/>
      <w:lvlText w:val="○"/>
      <w:lvlJc w:val="left"/>
      <w:pPr>
        <w:ind w:left="3600" w:hanging="360"/>
      </w:pPr>
    </w:lvl>
    <w:lvl w:ilvl="5" w:tplc="8C483C86">
      <w:start w:val="1"/>
      <w:numFmt w:val="bullet"/>
      <w:lvlText w:val="■"/>
      <w:lvlJc w:val="left"/>
      <w:pPr>
        <w:ind w:left="4320" w:hanging="360"/>
      </w:pPr>
    </w:lvl>
    <w:lvl w:ilvl="6" w:tplc="3CF4EC18">
      <w:start w:val="1"/>
      <w:numFmt w:val="bullet"/>
      <w:lvlText w:val="●"/>
      <w:lvlJc w:val="left"/>
      <w:pPr>
        <w:ind w:left="5040" w:hanging="360"/>
      </w:pPr>
    </w:lvl>
    <w:lvl w:ilvl="7" w:tplc="089CA144">
      <w:start w:val="1"/>
      <w:numFmt w:val="bullet"/>
      <w:lvlText w:val="●"/>
      <w:lvlJc w:val="left"/>
      <w:pPr>
        <w:ind w:left="5760" w:hanging="360"/>
      </w:pPr>
    </w:lvl>
    <w:lvl w:ilvl="8" w:tplc="5D841BDE">
      <w:start w:val="1"/>
      <w:numFmt w:val="bullet"/>
      <w:lvlText w:val="●"/>
      <w:lvlJc w:val="left"/>
      <w:pPr>
        <w:ind w:left="6480" w:hanging="360"/>
      </w:pPr>
    </w:lvl>
  </w:abstractNum>
  <w:num w:numId="1" w16cid:durableId="15041253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D4"/>
    <w:rsid w:val="00047C2A"/>
    <w:rsid w:val="000C7829"/>
    <w:rsid w:val="000C7DEE"/>
    <w:rsid w:val="001052B2"/>
    <w:rsid w:val="00110AFF"/>
    <w:rsid w:val="00175AA9"/>
    <w:rsid w:val="001977CE"/>
    <w:rsid w:val="002613FE"/>
    <w:rsid w:val="00303165"/>
    <w:rsid w:val="003225B7"/>
    <w:rsid w:val="0032363C"/>
    <w:rsid w:val="00327775"/>
    <w:rsid w:val="0036206B"/>
    <w:rsid w:val="00443515"/>
    <w:rsid w:val="004B27C1"/>
    <w:rsid w:val="004E198D"/>
    <w:rsid w:val="00590189"/>
    <w:rsid w:val="005947BF"/>
    <w:rsid w:val="00697D18"/>
    <w:rsid w:val="006A7AD3"/>
    <w:rsid w:val="007A2CEA"/>
    <w:rsid w:val="007C17F0"/>
    <w:rsid w:val="007C3C2B"/>
    <w:rsid w:val="007C51A6"/>
    <w:rsid w:val="008028D7"/>
    <w:rsid w:val="00813282"/>
    <w:rsid w:val="00851C0F"/>
    <w:rsid w:val="0085215F"/>
    <w:rsid w:val="00866E99"/>
    <w:rsid w:val="008A4DD4"/>
    <w:rsid w:val="008A5EB2"/>
    <w:rsid w:val="008B05C7"/>
    <w:rsid w:val="00A162A9"/>
    <w:rsid w:val="00A318CE"/>
    <w:rsid w:val="00A73389"/>
    <w:rsid w:val="00A8514F"/>
    <w:rsid w:val="00AB2616"/>
    <w:rsid w:val="00B1083D"/>
    <w:rsid w:val="00BA7AB7"/>
    <w:rsid w:val="00BD1414"/>
    <w:rsid w:val="00BD5787"/>
    <w:rsid w:val="00C05A5C"/>
    <w:rsid w:val="00C2417A"/>
    <w:rsid w:val="00C33D0D"/>
    <w:rsid w:val="00CA65A9"/>
    <w:rsid w:val="00CF7E42"/>
    <w:rsid w:val="00D5470F"/>
    <w:rsid w:val="00F24A4C"/>
    <w:rsid w:val="00F36022"/>
    <w:rsid w:val="00F56E2C"/>
    <w:rsid w:val="00F675FF"/>
    <w:rsid w:val="00F81B94"/>
    <w:rsid w:val="00F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6B6F"/>
  <w15:docId w15:val="{64A838AA-0EC7-3945-A92A-6C93FA8C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7BF"/>
    <w:pPr>
      <w:spacing w:after="120" w:line="276" w:lineRule="auto"/>
      <w:contextualSpacing/>
    </w:pPr>
    <w:rPr>
      <w:rFonts w:ascii="Calibri" w:hAnsi="Calibri" w:cs="Calibri"/>
      <w:color w:val="1A1A1A"/>
      <w:sz w:val="24"/>
    </w:rPr>
  </w:style>
  <w:style w:type="paragraph" w:styleId="Nagwek1">
    <w:name w:val="heading 1"/>
    <w:uiPriority w:val="9"/>
    <w:qFormat/>
    <w:rsid w:val="00F36022"/>
    <w:pPr>
      <w:spacing w:before="360" w:after="120"/>
      <w:outlineLvl w:val="0"/>
    </w:pPr>
    <w:rPr>
      <w:rFonts w:ascii="Calibri" w:hAnsi="Calibri"/>
      <w:b/>
      <w:bCs/>
      <w:sz w:val="36"/>
      <w:szCs w:val="26"/>
    </w:rPr>
  </w:style>
  <w:style w:type="paragraph" w:styleId="Nagwek2">
    <w:name w:val="heading 2"/>
    <w:link w:val="Nagwek2Znak"/>
    <w:uiPriority w:val="9"/>
    <w:unhideWhenUsed/>
    <w:qFormat/>
    <w:rsid w:val="00813282"/>
    <w:pPr>
      <w:spacing w:before="240" w:after="120"/>
      <w:outlineLvl w:val="1"/>
    </w:pPr>
    <w:rPr>
      <w:rFonts w:ascii="Calibri" w:hAnsi="Calibri"/>
      <w:b/>
      <w:bCs/>
      <w:sz w:val="3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B9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B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B94"/>
    <w:rPr>
      <w:b/>
      <w:bCs/>
    </w:rPr>
  </w:style>
  <w:style w:type="paragraph" w:styleId="Poprawka">
    <w:name w:val="Revision"/>
    <w:hidden/>
    <w:uiPriority w:val="99"/>
    <w:semiHidden/>
    <w:rsid w:val="002613FE"/>
  </w:style>
  <w:style w:type="character" w:customStyle="1" w:styleId="Nagwek2Znak">
    <w:name w:val="Nagłówek 2 Znak"/>
    <w:basedOn w:val="Domylnaczcionkaakapitu"/>
    <w:link w:val="Nagwek2"/>
    <w:uiPriority w:val="9"/>
    <w:rsid w:val="00813282"/>
    <w:rPr>
      <w:rFonts w:ascii="Calibri" w:hAnsi="Calibri"/>
      <w:b/>
      <w:bCs/>
      <w:sz w:val="3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14"/>
    <w:rPr>
      <w:rFonts w:ascii="Calibri" w:hAnsi="Calibri" w:cs="Calibri"/>
      <w:color w:val="1A1A1A"/>
      <w:sz w:val="24"/>
    </w:rPr>
  </w:style>
  <w:style w:type="paragraph" w:styleId="Stopka">
    <w:name w:val="footer"/>
    <w:basedOn w:val="Normalny"/>
    <w:link w:val="StopkaZnak"/>
    <w:uiPriority w:val="99"/>
    <w:unhideWhenUsed/>
    <w:rsid w:val="00B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14"/>
    <w:rPr>
      <w:rFonts w:ascii="Calibri" w:hAnsi="Calibri" w:cs="Calibri"/>
      <w:color w:val="1A1A1A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2238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Iwanek Marcin</cp:lastModifiedBy>
  <cp:revision>39</cp:revision>
  <dcterms:created xsi:type="dcterms:W3CDTF">2026-04-28T17:54:00Z</dcterms:created>
  <dcterms:modified xsi:type="dcterms:W3CDTF">2026-05-08T13:18:00Z</dcterms:modified>
</cp:coreProperties>
</file>