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B863" w14:textId="55BB8057" w:rsidR="00472A2E" w:rsidRPr="006621ED" w:rsidRDefault="001A38AF" w:rsidP="001A38AF">
      <w:pPr>
        <w:tabs>
          <w:tab w:val="left" w:leader="dot" w:pos="4111"/>
          <w:tab w:val="right" w:pos="9070"/>
        </w:tabs>
        <w:spacing w:after="120"/>
        <w:ind w:left="142" w:hanging="284"/>
        <w:rPr>
          <w:rFonts w:asciiTheme="minorHAnsi" w:hAnsiTheme="minorHAnsi" w:cstheme="minorHAnsi"/>
          <w:sz w:val="24"/>
          <w:szCs w:val="24"/>
        </w:rPr>
      </w:pPr>
      <w:r w:rsidRPr="006621ED">
        <w:rPr>
          <w:rFonts w:asciiTheme="minorHAnsi" w:hAnsiTheme="minorHAnsi" w:cstheme="minorHAnsi"/>
          <w:sz w:val="24"/>
          <w:szCs w:val="24"/>
        </w:rPr>
        <w:t>DPR.WS</w:t>
      </w:r>
      <w:r w:rsidR="005D6C8E">
        <w:rPr>
          <w:rFonts w:asciiTheme="minorHAnsi" w:hAnsiTheme="minorHAnsi" w:cstheme="minorHAnsi"/>
          <w:sz w:val="24"/>
          <w:szCs w:val="24"/>
        </w:rPr>
        <w:t>T</w:t>
      </w:r>
      <w:r w:rsidRPr="006621ED">
        <w:rPr>
          <w:rFonts w:asciiTheme="minorHAnsi" w:hAnsiTheme="minorHAnsi" w:cstheme="minorHAnsi"/>
          <w:sz w:val="24"/>
          <w:szCs w:val="24"/>
        </w:rPr>
        <w:t>.</w:t>
      </w:r>
      <w:r w:rsidR="005D6C8E">
        <w:rPr>
          <w:rFonts w:asciiTheme="minorHAnsi" w:hAnsiTheme="minorHAnsi" w:cstheme="minorHAnsi"/>
          <w:sz w:val="24"/>
          <w:szCs w:val="24"/>
        </w:rPr>
        <w:t>4141.2.2025</w:t>
      </w:r>
    </w:p>
    <w:p w14:paraId="2C9BF5CC" w14:textId="06F33B4A" w:rsidR="001A38AF" w:rsidRPr="00CE7AF6" w:rsidRDefault="001A38AF" w:rsidP="001A38AF">
      <w:pPr>
        <w:tabs>
          <w:tab w:val="left" w:leader="dot" w:pos="4111"/>
          <w:tab w:val="right" w:pos="9070"/>
        </w:tabs>
        <w:spacing w:after="120"/>
        <w:ind w:left="142" w:hanging="284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Warszawa, </w:t>
      </w:r>
      <w:r w:rsidR="00842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552C51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C73EE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552C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czerwca</w:t>
      </w:r>
      <w:r w:rsidR="000317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2025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oku</w:t>
      </w:r>
    </w:p>
    <w:p w14:paraId="324ECC06" w14:textId="6C70BB06" w:rsidR="007F17F3" w:rsidRPr="00CE7AF6" w:rsidRDefault="007F17F3" w:rsidP="006C35DB">
      <w:pPr>
        <w:tabs>
          <w:tab w:val="left" w:leader="dot" w:pos="1985"/>
          <w:tab w:val="left" w:leader="dot" w:pos="4111"/>
          <w:tab w:val="right" w:pos="9070"/>
        </w:tabs>
        <w:spacing w:after="120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7F17F3" w:rsidRPr="00CE7AF6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</w:p>
    <w:p w14:paraId="6EE3FBB2" w14:textId="2F9309FF" w:rsidR="007F17F3" w:rsidRPr="001A38AF" w:rsidRDefault="00F3487C" w:rsidP="001A38AF">
      <w:pPr>
        <w:pStyle w:val="Nagwek1"/>
      </w:pPr>
      <w:r w:rsidRPr="001A38AF">
        <w:t xml:space="preserve">Zapytanie </w:t>
      </w:r>
      <w:r w:rsidR="0096518D" w:rsidRPr="001A38AF">
        <w:t xml:space="preserve">ofertowe </w:t>
      </w:r>
      <w:r w:rsidR="00FA4257" w:rsidRPr="001A38AF">
        <w:t>na</w:t>
      </w:r>
      <w:r w:rsidR="003D6FA9" w:rsidRPr="001A38AF">
        <w:t xml:space="preserve"> </w:t>
      </w:r>
      <w:r w:rsidR="001A38AF" w:rsidRPr="001A38AF">
        <w:t xml:space="preserve">usługę sporządzenia ekspertyzy </w:t>
      </w:r>
      <w:r w:rsidR="001200AF">
        <w:t>s</w:t>
      </w:r>
      <w:r w:rsidR="001200AF" w:rsidRPr="001200AF">
        <w:t>erwisu zerowego technologii wspomagających</w:t>
      </w:r>
      <w:r w:rsidR="001200AF">
        <w:t xml:space="preserve"> </w:t>
      </w:r>
      <w:r w:rsidR="005D6C8E" w:rsidRPr="005D6C8E">
        <w:t>w</w:t>
      </w:r>
      <w:r w:rsidR="005D6C8E">
        <w:t> </w:t>
      </w:r>
      <w:r w:rsidR="005D6C8E" w:rsidRPr="005D6C8E">
        <w:t>ramach programu pn. „Wypożyczalnia technologii wspomagających dla osób niepełnosprawnością”</w:t>
      </w:r>
      <w:r w:rsidR="005D6C8E">
        <w:t>.</w:t>
      </w:r>
    </w:p>
    <w:p w14:paraId="2F4D1543" w14:textId="77777777" w:rsidR="003049BD" w:rsidRPr="00AB1A36" w:rsidRDefault="00FA4257" w:rsidP="00AB1A36">
      <w:pPr>
        <w:pStyle w:val="Nagwek2"/>
        <w:ind w:left="426" w:hanging="284"/>
      </w:pPr>
      <w:bookmarkStart w:id="0" w:name="_Hlk74650361"/>
      <w:r w:rsidRPr="00AB1A36">
        <w:t>Nazwa i adres Zamawiającego:</w:t>
      </w:r>
    </w:p>
    <w:p w14:paraId="20DE7186" w14:textId="77777777" w:rsidR="003049BD" w:rsidRPr="00CE7AF6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Państwowy Fundusz Rehabilitacji Osób Niepełnosprawnych (PFRON) </w:t>
      </w:r>
    </w:p>
    <w:p w14:paraId="1CA82338" w14:textId="77777777" w:rsidR="003049BD" w:rsidRPr="00CE7AF6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al. Jana Pawła II 13</w:t>
      </w:r>
      <w:r w:rsidR="006C35DB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00-828 Warszawa </w:t>
      </w:r>
    </w:p>
    <w:p w14:paraId="02356E09" w14:textId="77777777" w:rsidR="003049BD" w:rsidRPr="00CE7AF6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Tel. 22 50 55</w:t>
      </w:r>
      <w:r w:rsidR="003049BD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500 </w:t>
      </w:r>
    </w:p>
    <w:p w14:paraId="766ED6FB" w14:textId="77777777" w:rsidR="003049BD" w:rsidRPr="00CE7AF6" w:rsidRDefault="00FA4257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NIP: 525-10-00-810, REGON: 12059538</w:t>
      </w:r>
    </w:p>
    <w:p w14:paraId="58FD69F1" w14:textId="236FE0B3" w:rsidR="007F17F3" w:rsidRPr="00CE7AF6" w:rsidRDefault="003049BD" w:rsidP="003049BD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hyperlink r:id="rId11" w:history="1">
        <w:r w:rsidRPr="00CE7AF6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www.pfron.org.pl</w:t>
        </w:r>
      </w:hyperlink>
      <w:r w:rsidR="00FA4257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0B497799" w14:textId="7B238868" w:rsidR="00BF7600" w:rsidRDefault="004C31B9" w:rsidP="00AB1A36">
      <w:pPr>
        <w:pStyle w:val="Nagwek2"/>
        <w:ind w:left="426" w:hanging="284"/>
      </w:pPr>
      <w:r w:rsidRPr="001A38AF">
        <w:t>Opis p</w:t>
      </w:r>
      <w:r w:rsidR="00BF7600" w:rsidRPr="001A38AF">
        <w:t>rzedmiot</w:t>
      </w:r>
      <w:r w:rsidRPr="001A38AF">
        <w:t>u</w:t>
      </w:r>
      <w:r w:rsidR="00BF7600" w:rsidRPr="001A38AF">
        <w:t xml:space="preserve"> zamówienia:</w:t>
      </w:r>
    </w:p>
    <w:p w14:paraId="6C3ABCFF" w14:textId="1A5E5858" w:rsidR="007657E5" w:rsidRPr="0099000D" w:rsidRDefault="0099000D" w:rsidP="0099000D">
      <w:pPr>
        <w:pStyle w:val="Akapitzlist"/>
        <w:numPr>
          <w:ilvl w:val="0"/>
          <w:numId w:val="21"/>
        </w:numPr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99000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Przedmiotem zamówienia jest sporządzenie ekspertyzy w ramach programu pn. „Wypożyczalnia technologii wspomagających dla osób niepełnosprawnością”, polegającej na przeprowadzeniu tzw. serwisu zerowego technologii wspomagających przeznaczonych do </w:t>
      </w:r>
      <w:r w:rsidR="001200A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wypożyczenia i </w:t>
      </w:r>
      <w:r w:rsidRPr="0099000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użytkowania przez osoby z niepełnosprawnością. </w:t>
      </w:r>
      <w:hyperlink r:id="rId12" w:history="1">
        <w:r w:rsidR="00106433" w:rsidRPr="0099000D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lang w:eastAsia="pl-PL"/>
          </w:rPr>
          <w:t>Tresc_programu_Wypozyczalnia_technologii_wspomagajacych_dla_osob_z_niepelnosprawnoscia_obowiazujaca_od_</w:t>
        </w:r>
        <w:r w:rsidR="005D6C8E" w:rsidRPr="0099000D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lang w:eastAsia="pl-PL"/>
          </w:rPr>
          <w:t>19.03.2025</w:t>
        </w:r>
        <w:r w:rsidR="00106433" w:rsidRPr="0099000D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lang w:eastAsia="pl-PL"/>
          </w:rPr>
          <w:t>_r.pdf</w:t>
        </w:r>
      </w:hyperlink>
    </w:p>
    <w:p w14:paraId="5A587235" w14:textId="179AE916" w:rsidR="00842C31" w:rsidRPr="00842C31" w:rsidRDefault="00842C31" w:rsidP="00842C31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Miejsce wykonania ekspertyz</w:t>
      </w:r>
      <w:r w:rsidR="00090BF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y</w:t>
      </w: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– Składnica R</w:t>
      </w:r>
      <w:r w:rsidR="00090BF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ządowej </w:t>
      </w: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</w:t>
      </w:r>
      <w:r w:rsidR="00090BF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gencji </w:t>
      </w: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R</w:t>
      </w:r>
      <w:r w:rsidR="00090BF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ezerw </w:t>
      </w: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</w:t>
      </w:r>
      <w:r w:rsidR="00090BF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trategicznych</w:t>
      </w: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w Ełku, ul. Wilcza 2, 9-301 Ełk, Nowa Wieś Ełcka.</w:t>
      </w:r>
    </w:p>
    <w:p w14:paraId="6C73B124" w14:textId="77777777" w:rsidR="00842C31" w:rsidRDefault="00842C31" w:rsidP="00842C31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Usługa ekspertyzy obejmuje przeprowadzenie badania i weryfikację stanu technicznego akumulatorów w urządzeniach wskazanych do ekspertyzy.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Badanie należy przeprowadzić w miejscu wskazanym w pkt.2. </w:t>
      </w:r>
    </w:p>
    <w:p w14:paraId="0B62244B" w14:textId="77777777" w:rsidR="00842C31" w:rsidRDefault="00842C31" w:rsidP="00842C31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Badanie powinno zawierać poniższy, minimalny zakres i spełniać wymienione wymagania:</w:t>
      </w:r>
    </w:p>
    <w:p w14:paraId="7DEC8961" w14:textId="77777777" w:rsidR="00842C31" w:rsidRDefault="00842C31" w:rsidP="00842C31">
      <w:pPr>
        <w:pStyle w:val="Akapitzlist"/>
        <w:numPr>
          <w:ilvl w:val="0"/>
          <w:numId w:val="37"/>
        </w:numPr>
        <w:spacing w:after="120"/>
        <w:ind w:left="1134" w:hanging="283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Identyfikacja akumulatorów:</w:t>
      </w:r>
    </w:p>
    <w:p w14:paraId="3AACEEDD" w14:textId="053C85FA" w:rsidR="00842C31" w:rsidRPr="00842C31" w:rsidRDefault="00842C31" w:rsidP="00842C31">
      <w:pPr>
        <w:pStyle w:val="Akapitzlist"/>
        <w:spacing w:after="120"/>
        <w:ind w:left="113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Urządzenia wykorzystują głównie dwa typy akumulatorów:</w:t>
      </w:r>
    </w:p>
    <w:p w14:paraId="17547279" w14:textId="65841B71" w:rsidR="00842C31" w:rsidRPr="00842C31" w:rsidRDefault="00842C31" w:rsidP="00842C31">
      <w:pPr>
        <w:pStyle w:val="Akapitzlist"/>
        <w:numPr>
          <w:ilvl w:val="0"/>
          <w:numId w:val="38"/>
        </w:numPr>
        <w:spacing w:after="120"/>
        <w:ind w:left="1560" w:hanging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AGM/żelowe (konfiguracja 2x12 V, 35–55 Ah) – stosowane w wózkach</w:t>
      </w:r>
      <w:r w:rsidR="00E2314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5694EF73" w14:textId="77777777" w:rsidR="00842C31" w:rsidRDefault="00842C31" w:rsidP="00842C31">
      <w:pPr>
        <w:pStyle w:val="Akapitzlist"/>
        <w:numPr>
          <w:ilvl w:val="0"/>
          <w:numId w:val="38"/>
        </w:numPr>
        <w:spacing w:after="120"/>
        <w:ind w:left="1560" w:hanging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Litowo-jonowe (36 V, ok. 8,1 Ah) – stosowane w napędach.</w:t>
      </w:r>
    </w:p>
    <w:p w14:paraId="4240A1A8" w14:textId="3574A2C3" w:rsidR="00842C31" w:rsidRPr="00842C31" w:rsidRDefault="00842C31" w:rsidP="00842C31">
      <w:pPr>
        <w:pStyle w:val="Akapitzlist"/>
        <w:numPr>
          <w:ilvl w:val="0"/>
          <w:numId w:val="37"/>
        </w:numPr>
        <w:spacing w:after="120"/>
        <w:ind w:left="1134" w:hanging="283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Zakres testów diagnostycznych:</w:t>
      </w:r>
    </w:p>
    <w:p w14:paraId="44868DFC" w14:textId="77777777" w:rsidR="00842C31" w:rsidRPr="00842C31" w:rsidRDefault="00842C31" w:rsidP="00842C31">
      <w:pPr>
        <w:pStyle w:val="Akapitzlist"/>
        <w:spacing w:after="120"/>
        <w:ind w:left="114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Wykonawca powinien przeprowadzić następujące badania akumulatorów:</w:t>
      </w:r>
    </w:p>
    <w:p w14:paraId="4D910A01" w14:textId="1C100DC8" w:rsidR="00842C31" w:rsidRDefault="00842C31" w:rsidP="00842C31">
      <w:pPr>
        <w:pStyle w:val="Akapitzlist"/>
        <w:numPr>
          <w:ilvl w:val="0"/>
          <w:numId w:val="39"/>
        </w:numPr>
        <w:spacing w:after="120"/>
        <w:ind w:left="1560" w:hanging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Pomiar napięcia spoczynkowego – służący do wstępnej oceny stanu naładowania</w:t>
      </w:r>
      <w:r w:rsidR="00E2314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58509134" w14:textId="5519B2EB" w:rsidR="00842C31" w:rsidRPr="00842C31" w:rsidRDefault="00842C31" w:rsidP="00842C31">
      <w:pPr>
        <w:spacing w:after="120"/>
        <w:ind w:left="113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>Uwaga: Pomiar realizowany wyłącznie standardowym miernikiem, bez symulowania obciążenia, jest niewystarczający, ponieważ napięcie mierzone w</w:t>
      </w:r>
      <w:r w:rsidR="003A45F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warunkach braku obciążenia może ulec "odzyskowi" po okresie odpoczynku i</w:t>
      </w:r>
      <w:r w:rsidR="002F68D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nie odzwierciedla faktycznej zdolności akumulatora do dostarczania energii pod obciążeniem.</w:t>
      </w:r>
    </w:p>
    <w:p w14:paraId="25DF5255" w14:textId="472F59E2" w:rsidR="00842C31" w:rsidRPr="00842C31" w:rsidRDefault="00842C31" w:rsidP="00842C31">
      <w:pPr>
        <w:pStyle w:val="Akapitzlist"/>
        <w:numPr>
          <w:ilvl w:val="0"/>
          <w:numId w:val="39"/>
        </w:numPr>
        <w:spacing w:after="120"/>
        <w:ind w:left="1560" w:hanging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Test obciążeniowy – poprzez przyłożenie impulsowego obciążenia zostanie porównana górna i dolna wartość referencyjna rezystencji wewnętrznej i</w:t>
      </w:r>
      <w:r w:rsidR="003A45F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napięcia końcowego podczas testu. (np. 10,5–11,0 V dla akumulatorów 12V AGM oraz 30–32 V dla baterii 36V Li-ion). Należy porównać uzyskaną pojemność z wartością znamionową</w:t>
      </w:r>
      <w:r w:rsidR="00E2314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;</w:t>
      </w:r>
    </w:p>
    <w:p w14:paraId="03664393" w14:textId="77777777" w:rsidR="00842C31" w:rsidRPr="00842C31" w:rsidRDefault="00842C31" w:rsidP="00E2314B">
      <w:pPr>
        <w:pStyle w:val="Akapitzlist"/>
        <w:numPr>
          <w:ilvl w:val="0"/>
          <w:numId w:val="39"/>
        </w:numPr>
        <w:spacing w:after="120"/>
        <w:ind w:left="1560" w:hanging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Pomiar rezystancji wewnętrznej – pozwala ocenić degradację ogniw poprzez określenie oporu wewnętrznego, co jest kluczowe przy wykrywaniu uszkodzeń strukturalnych akumulatora.</w:t>
      </w:r>
    </w:p>
    <w:p w14:paraId="053B16D4" w14:textId="77777777" w:rsidR="00842C31" w:rsidRPr="00842C31" w:rsidRDefault="00842C31" w:rsidP="00E2314B">
      <w:pPr>
        <w:pStyle w:val="Akapitzlist"/>
        <w:numPr>
          <w:ilvl w:val="0"/>
          <w:numId w:val="37"/>
        </w:numPr>
        <w:spacing w:after="120"/>
        <w:ind w:left="1134" w:hanging="283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Kryterium dopuszczalności:</w:t>
      </w:r>
    </w:p>
    <w:p w14:paraId="0DAB17F8" w14:textId="77777777" w:rsidR="00E2314B" w:rsidRDefault="00842C31" w:rsidP="00E2314B">
      <w:pPr>
        <w:pStyle w:val="Akapitzlist"/>
        <w:numPr>
          <w:ilvl w:val="0"/>
          <w:numId w:val="40"/>
        </w:numPr>
        <w:spacing w:after="120"/>
        <w:ind w:left="1560" w:hanging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Akumulator powinien wykazywać co najmniej 80% pojemności znamionowej</w:t>
      </w:r>
      <w:r w:rsidR="00E2314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E2314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(SoH – State of Health, czyli Stan Zdrowia)</w:t>
      </w:r>
      <w:r w:rsidR="00E2314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</w:t>
      </w:r>
    </w:p>
    <w:p w14:paraId="386C0A61" w14:textId="65EE9A87" w:rsidR="00842C31" w:rsidRPr="00E2314B" w:rsidRDefault="00842C31" w:rsidP="00E2314B">
      <w:pPr>
        <w:pStyle w:val="Akapitzlist"/>
        <w:numPr>
          <w:ilvl w:val="0"/>
          <w:numId w:val="40"/>
        </w:numPr>
        <w:spacing w:after="120"/>
        <w:ind w:left="1560" w:hanging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E2314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Akumulatory, które nie spełniają tego kryterium, należy uznać za niesprawne i kwalifikować do wymiany.</w:t>
      </w:r>
    </w:p>
    <w:p w14:paraId="72852172" w14:textId="77777777" w:rsidR="004972CB" w:rsidRDefault="00842C31" w:rsidP="004972CB">
      <w:pPr>
        <w:pStyle w:val="Akapitzlist"/>
        <w:numPr>
          <w:ilvl w:val="0"/>
          <w:numId w:val="37"/>
        </w:numPr>
        <w:spacing w:after="120"/>
        <w:ind w:left="1134" w:hanging="283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bookmarkStart w:id="1" w:name="_Hlk197592030"/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Wymagania normatywne:</w:t>
      </w:r>
    </w:p>
    <w:p w14:paraId="0877FE22" w14:textId="514A300A" w:rsidR="00842C31" w:rsidRPr="004972CB" w:rsidRDefault="00842C31" w:rsidP="004972CB">
      <w:pPr>
        <w:pStyle w:val="Akapitzlist"/>
        <w:spacing w:after="120"/>
        <w:ind w:left="113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972C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Badania </w:t>
      </w:r>
      <w:r w:rsidR="00DC56D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sprzętów </w:t>
      </w:r>
      <w:r w:rsidRPr="004972C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powinny być przeprowadzone zgodnie z</w:t>
      </w:r>
      <w:r w:rsidR="00DC56D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wytycznymi zawartymi w</w:t>
      </w:r>
      <w:r w:rsidRPr="004972C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międzynarodowy</w:t>
      </w:r>
      <w:r w:rsidR="00DC56D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ch</w:t>
      </w:r>
      <w:r w:rsidRPr="004972C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norma</w:t>
      </w:r>
      <w:r w:rsidR="00DC56D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ch</w:t>
      </w:r>
      <w:r w:rsidRPr="004972C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:</w:t>
      </w:r>
    </w:p>
    <w:p w14:paraId="13C26325" w14:textId="77777777" w:rsidR="00DC56DC" w:rsidRDefault="00842C31" w:rsidP="00DC56DC">
      <w:pPr>
        <w:pStyle w:val="Akapitzlist"/>
        <w:numPr>
          <w:ilvl w:val="0"/>
          <w:numId w:val="41"/>
        </w:numPr>
        <w:spacing w:after="120"/>
        <w:ind w:left="1560" w:hanging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IEC 61960 (dla baterii litowo-jonowych),</w:t>
      </w:r>
    </w:p>
    <w:p w14:paraId="1382D957" w14:textId="42ECDC0B" w:rsidR="00DC56DC" w:rsidRPr="00DC56DC" w:rsidRDefault="00842C31" w:rsidP="00DC56DC">
      <w:pPr>
        <w:pStyle w:val="Akapitzlist"/>
        <w:numPr>
          <w:ilvl w:val="0"/>
          <w:numId w:val="41"/>
        </w:numPr>
        <w:spacing w:after="120"/>
        <w:ind w:left="1560" w:hanging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DC56DC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IEC 60896/61427 (dla akumulatorów AGM/żelowych)</w:t>
      </w:r>
    </w:p>
    <w:bookmarkEnd w:id="1"/>
    <w:p w14:paraId="0B097326" w14:textId="77777777" w:rsidR="004972CB" w:rsidRDefault="00842C31" w:rsidP="004972CB">
      <w:pPr>
        <w:pStyle w:val="Akapitzlist"/>
        <w:numPr>
          <w:ilvl w:val="0"/>
          <w:numId w:val="37"/>
        </w:numPr>
        <w:spacing w:after="120"/>
        <w:ind w:left="1134" w:hanging="283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42C3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Wymagania dodatkowe:</w:t>
      </w:r>
    </w:p>
    <w:p w14:paraId="0037F950" w14:textId="7CE0627D" w:rsidR="00842C31" w:rsidRPr="004972CB" w:rsidRDefault="00842C31" w:rsidP="004972CB">
      <w:pPr>
        <w:pStyle w:val="Akapitzlist"/>
        <w:spacing w:after="120"/>
        <w:ind w:left="1134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972C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 ramach ekspertyzy należy również przeprowadzić krótki przegląd układów sterowania i napędu, by potwierdzić pełną funkcjonalność urządzenia przed wypożyczeniem </w:t>
      </w:r>
      <w:bookmarkStart w:id="2" w:name="_Hlk197684291"/>
      <w:r w:rsidR="002F68D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osobie z </w:t>
      </w:r>
      <w:bookmarkEnd w:id="2"/>
      <w:r w:rsidR="002F68D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niepełnosprawnością</w:t>
      </w:r>
      <w:r w:rsidRPr="004972C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2C752E26" w14:textId="4A88BEA6" w:rsidR="00C813DF" w:rsidRDefault="0099000D" w:rsidP="0099000D">
      <w:pPr>
        <w:pStyle w:val="Akapitzlist"/>
        <w:numPr>
          <w:ilvl w:val="0"/>
          <w:numId w:val="21"/>
        </w:numPr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99000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 ramach </w:t>
      </w:r>
      <w:r w:rsidR="00D3551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niniejszego zamówienia </w:t>
      </w:r>
      <w:r w:rsidR="001200A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usługą ekspertyzy serwisu zerowego</w:t>
      </w:r>
      <w:r w:rsidRPr="0099000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zostan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ie</w:t>
      </w:r>
      <w:r w:rsidR="0039361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objętych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</w:t>
      </w:r>
      <w:r w:rsidR="00D3551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36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sztuk wybranych</w:t>
      </w:r>
      <w:r w:rsidRPr="0099000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technologi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</w:t>
      </w:r>
      <w:r w:rsidRPr="0099000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wspomagając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ych, spośród 806 </w:t>
      </w:r>
      <w:r w:rsidR="0039361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sztuk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dostępnych do przebadania sprzętów (w tym </w:t>
      </w:r>
      <w:r w:rsidR="00090BF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318 </w:t>
      </w:r>
      <w:r w:rsidRPr="0099000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napęd</w:t>
      </w:r>
      <w:r w:rsidR="00090BF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ów</w:t>
      </w:r>
      <w:r w:rsidRPr="0099000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elektryczn</w:t>
      </w:r>
      <w:r w:rsidR="00090BF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ych, 247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99000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skuter</w:t>
      </w:r>
      <w:r w:rsidR="00090BF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ów </w:t>
      </w:r>
      <w:r w:rsidRPr="0099000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elektryczn</w:t>
      </w:r>
      <w:r w:rsidR="00090BF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ych, 241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99000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wózk</w:t>
      </w:r>
      <w:r w:rsidR="00090BF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ów</w:t>
      </w:r>
      <w:r w:rsidRPr="0099000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inwalidzki</w:t>
      </w:r>
      <w:r w:rsidR="00090BF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ch</w:t>
      </w:r>
      <w:r w:rsidRPr="0099000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elektryczn</w:t>
      </w:r>
      <w:r w:rsidR="00090BF0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ych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)</w:t>
      </w:r>
      <w:r w:rsid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57A85299" w14:textId="490DA147" w:rsidR="007657E5" w:rsidRDefault="007657E5" w:rsidP="0099000D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7657E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Szczegółowy wykaz </w:t>
      </w:r>
      <w:r w:rsidR="00D3551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wszystkich</w:t>
      </w:r>
      <w:r w:rsidR="001200A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</w:t>
      </w:r>
      <w:r w:rsidR="00D3551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dostępnych </w:t>
      </w:r>
      <w:r w:rsidRPr="007657E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sprzęt</w:t>
      </w:r>
      <w:r w:rsidR="00D3551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ów</w:t>
      </w:r>
      <w:r w:rsidRPr="007657E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 stanowiący</w:t>
      </w:r>
      <w:r w:rsidR="001200A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ch</w:t>
      </w:r>
      <w:r w:rsidRPr="007657E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przedmiot ekspertyzy stanowi Załącznik nr </w:t>
      </w:r>
      <w:r w:rsidR="00866B8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</w:t>
      </w:r>
      <w:r w:rsidRPr="007657E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niniejszego </w:t>
      </w:r>
      <w:r w:rsidR="00D3551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</w:t>
      </w:r>
      <w:r w:rsidRPr="007657E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apytania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ofertowego.</w:t>
      </w:r>
    </w:p>
    <w:p w14:paraId="08F57E3D" w14:textId="629FA8EF" w:rsidR="0099000D" w:rsidRDefault="0099000D" w:rsidP="0099000D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Wykonawca </w:t>
      </w:r>
      <w:r w:rsidR="002E64F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otrzyma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zlecenie </w:t>
      </w:r>
      <w:r w:rsidR="001200A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od Zamawiającego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 przeprowadzeni</w:t>
      </w:r>
      <w:r w:rsidR="0039361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e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usługi serwisu zerowego konkretnie wskazanych sprzętów</w:t>
      </w:r>
      <w:r w:rsidR="0039361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(np. 10 wózków inwalidzkich, 3</w:t>
      </w:r>
      <w:r w:rsidR="009E799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="0039361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skutery, 2 napędy elektryczne z dostępnej listy wszystkich technologii)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39361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trybie ciągłym aż do wyczerpania puli środków przeznaczonych na realizację zamówienia </w:t>
      </w:r>
      <w:r w:rsidR="00D65FC1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(wartość zamówienia z umowy)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lub do </w:t>
      </w:r>
      <w:r w:rsidR="009E799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zakończenia terminu </w:t>
      </w:r>
      <w:r w:rsidR="001200A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jego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realizacji </w:t>
      </w:r>
      <w:r w:rsidR="001200A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ramach umowy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. </w:t>
      </w:r>
    </w:p>
    <w:p w14:paraId="342BB0B0" w14:textId="7686148D" w:rsidR="0099000D" w:rsidRDefault="0099000D" w:rsidP="0099000D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Zapotrzebowanie na poszczególne technologie będzie wynikało z </w:t>
      </w:r>
      <w:r w:rsidR="0039361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konkretnych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wniosków o wypożyczenie dane</w:t>
      </w:r>
      <w:r w:rsidR="0039361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go rodzaju i modelu sprzętu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składanych przez osoby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 xml:space="preserve">z niepełnosprawnością. Sprzęt przed wypożyczeniem beneficjentom zostanie zbadany </w:t>
      </w:r>
      <w:r w:rsidR="009E799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pod kątem sprawności technicznej, zgodnie z</w:t>
      </w:r>
      <w:r w:rsid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zakresem ujętym w</w:t>
      </w:r>
      <w:r w:rsidR="009E799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niniejszym zapytani</w:t>
      </w:r>
      <w:r w:rsidR="006E41D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u ofertowym</w:t>
      </w:r>
      <w:r w:rsidR="009E799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przez Wykonawcę</w:t>
      </w:r>
      <w:r w:rsidR="00D3551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w ramach usługi serwisu zerowego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0C9FE18E" w14:textId="3613E5CF" w:rsidR="002E64F3" w:rsidRDefault="002E64F3" w:rsidP="0099000D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przekaże każdorazowo zlecenie, o którym mowa w ust.7, Wykonawcy w formie elektronicznej.</w:t>
      </w:r>
    </w:p>
    <w:p w14:paraId="01B97323" w14:textId="31EC3185" w:rsidR="00C813DF" w:rsidRPr="0099000D" w:rsidRDefault="00D65FC1" w:rsidP="00C813DF">
      <w:pPr>
        <w:pStyle w:val="Akapitzlist"/>
        <w:numPr>
          <w:ilvl w:val="0"/>
          <w:numId w:val="21"/>
        </w:numPr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Rozliczenie zamówienia odbędzie się na podstawie faktycznie przeprowadzonych usług w cyklu miesięcznym. </w:t>
      </w:r>
      <w:r w:rsid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Faktyczne wykonanie serwisu zerowego dla jedne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j </w:t>
      </w:r>
      <w:r w:rsid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zlecone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j</w:t>
      </w:r>
      <w:r w:rsid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technologii</w:t>
      </w:r>
      <w:r w:rsid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jest tożsame z przeprowadzeniem jednej usługi wykazywanej do rozliczenia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miesięcznego </w:t>
      </w:r>
      <w:r w:rsid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 Zamawiającym</w:t>
      </w:r>
      <w:r w:rsidR="006E41D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(łącznie 136 sztuk przebadanych sprzętów równa się 136 usług serwisu zerowego)</w:t>
      </w:r>
      <w:r w:rsid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68030178" w14:textId="0EB76502" w:rsidR="00C813DF" w:rsidRDefault="00C813DF" w:rsidP="0099000D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Jednocześnie </w:t>
      </w:r>
      <w:r w:rsidRP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Zamawiający gwarantuje zlecenie wykonania minimum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100 </w:t>
      </w:r>
      <w:r w:rsidRP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usług </w:t>
      </w:r>
      <w:r w:rsidR="006E41D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serwisu zerowego </w:t>
      </w:r>
      <w:r w:rsidRP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trakcie trwania umowy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z Wykonawcą</w:t>
      </w:r>
      <w:r w:rsidR="00656C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, bez względu na liczbę złożonych wniosków od beneficjentów programu</w:t>
      </w:r>
      <w:r w:rsidRP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791D08FF" w14:textId="04923205" w:rsidR="00806E79" w:rsidRDefault="00806E79" w:rsidP="0099000D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Wykonawca do rozliczenia miesięcznego przedstawi dokumenty potwierdzające przeprowadzenie badania technicznego (ekspertyzę) </w:t>
      </w:r>
      <w:r w:rsidR="002E64F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wskazanej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technologii jako załącznik do protokołu odbioru.</w:t>
      </w:r>
    </w:p>
    <w:p w14:paraId="00AA35F5" w14:textId="538FB915" w:rsidR="0099000D" w:rsidRDefault="0099000D" w:rsidP="0099000D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Pozostała część dostępnego sprzętu (</w:t>
      </w:r>
      <w:r w:rsidR="00D3551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670 </w:t>
      </w:r>
      <w:r w:rsid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 806 </w:t>
      </w:r>
      <w:r w:rsidR="00D3551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sztuk z załącznika nr 1 do zapytania ofertowego) zostanie </w:t>
      </w:r>
      <w:r w:rsidR="00C813D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poddana ekspertyzie</w:t>
      </w:r>
      <w:r w:rsidR="006E41D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D3551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ramach</w:t>
      </w:r>
      <w:r w:rsidR="009E799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oddzielnego </w:t>
      </w:r>
      <w:r w:rsidR="00D35513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zamówienia, które Zamawiający będzie udzielał w trybie postępowania przetargowego.</w:t>
      </w:r>
    </w:p>
    <w:p w14:paraId="70E7F49B" w14:textId="1ABA6498" w:rsidR="007657E5" w:rsidRDefault="007657E5" w:rsidP="007657E5">
      <w:pPr>
        <w:pStyle w:val="Akapitzlist"/>
        <w:numPr>
          <w:ilvl w:val="0"/>
          <w:numId w:val="21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7657E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Nazwa i kod CPV: 71621000-7– Usługi w zakresie analizy lub konsultacji technicznej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6A24980E" w14:textId="7EB658AC" w:rsidR="006029C9" w:rsidRDefault="003C4F9D" w:rsidP="007657E5">
      <w:pPr>
        <w:pStyle w:val="Nagwek2"/>
        <w:ind w:left="426" w:hanging="284"/>
      </w:pPr>
      <w:r w:rsidRPr="001A38AF">
        <w:t>Opis kryteriów:</w:t>
      </w:r>
    </w:p>
    <w:p w14:paraId="0EA55979" w14:textId="77777777" w:rsidR="007657E5" w:rsidRPr="0098536B" w:rsidRDefault="007657E5" w:rsidP="007657E5">
      <w:pPr>
        <w:pStyle w:val="Akapitzlist"/>
        <w:numPr>
          <w:ilvl w:val="0"/>
          <w:numId w:val="23"/>
        </w:numPr>
        <w:spacing w:beforeLines="120" w:before="288" w:after="0"/>
        <w:ind w:hanging="29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B7FA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Oferty </w:t>
      </w:r>
      <w:r w:rsidRPr="00DB7FAB">
        <w:rPr>
          <w:rFonts w:asciiTheme="minorHAnsi" w:hAnsiTheme="minorHAnsi" w:cstheme="minorHAnsi"/>
          <w:sz w:val="24"/>
          <w:szCs w:val="24"/>
        </w:rPr>
        <w:t>niekompletne</w:t>
      </w:r>
      <w:r w:rsidRPr="00DB7FA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lub złożone po terminie nie będą rozpatrywane.</w:t>
      </w:r>
    </w:p>
    <w:p w14:paraId="78662BC7" w14:textId="1CFCFFAC" w:rsidR="007657E5" w:rsidRPr="0098536B" w:rsidRDefault="007657E5" w:rsidP="007657E5">
      <w:pPr>
        <w:pStyle w:val="Akapitzlist"/>
        <w:numPr>
          <w:ilvl w:val="0"/>
          <w:numId w:val="23"/>
        </w:numPr>
        <w:spacing w:before="120" w:after="0"/>
        <w:ind w:hanging="29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853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 wyborze najkorzystniejszej oferty Zamawiający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będzie kierował się następującym kryteri</w:t>
      </w:r>
      <w:r w:rsidR="00793211">
        <w:rPr>
          <w:rFonts w:asciiTheme="minorHAnsi" w:hAnsiTheme="minorHAnsi" w:cstheme="minorHAnsi"/>
          <w:color w:val="000000" w:themeColor="text1"/>
          <w:sz w:val="24"/>
          <w:szCs w:val="24"/>
        </w:rPr>
        <w:t>um: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cena „C” – waga 100% (100 % = 100 pkt).</w:t>
      </w:r>
    </w:p>
    <w:tbl>
      <w:tblPr>
        <w:tblW w:w="4621" w:type="dxa"/>
        <w:tblInd w:w="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1912"/>
      </w:tblGrid>
      <w:tr w:rsidR="007657E5" w14:paraId="6B7ED7F6" w14:textId="77777777" w:rsidTr="007657E5">
        <w:trPr>
          <w:trHeight w:val="375"/>
        </w:trPr>
        <w:tc>
          <w:tcPr>
            <w:tcW w:w="709" w:type="dxa"/>
            <w:vMerge w:val="restart"/>
            <w:vAlign w:val="center"/>
            <w:hideMark/>
          </w:tcPr>
          <w:p w14:paraId="02AA73AC" w14:textId="77777777" w:rsidR="007657E5" w:rsidRDefault="007657E5" w:rsidP="008C40E5">
            <w:pPr>
              <w:tabs>
                <w:tab w:val="left" w:pos="993"/>
              </w:tabs>
              <w:spacing w:before="120" w:after="0"/>
              <w:rPr>
                <w:rFonts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24430E" w14:textId="77777777" w:rsidR="007657E5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  <w:lang w:val="de-DE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1912" w:type="dxa"/>
            <w:vMerge w:val="restart"/>
            <w:vAlign w:val="center"/>
            <w:hideMark/>
          </w:tcPr>
          <w:p w14:paraId="6A2D6B6B" w14:textId="77777777" w:rsidR="007657E5" w:rsidRDefault="007657E5" w:rsidP="008C40E5">
            <w:pPr>
              <w:tabs>
                <w:tab w:val="left" w:pos="993"/>
              </w:tabs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x 100 pkt</w:t>
            </w:r>
          </w:p>
        </w:tc>
      </w:tr>
      <w:tr w:rsidR="007657E5" w14:paraId="2363D4A4" w14:textId="77777777" w:rsidTr="007657E5">
        <w:trPr>
          <w:trHeight w:val="360"/>
        </w:trPr>
        <w:tc>
          <w:tcPr>
            <w:tcW w:w="0" w:type="auto"/>
            <w:vMerge/>
            <w:vAlign w:val="center"/>
            <w:hideMark/>
          </w:tcPr>
          <w:p w14:paraId="7C2FEE60" w14:textId="77777777" w:rsidR="007657E5" w:rsidRDefault="007657E5" w:rsidP="008C40E5">
            <w:pPr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  <w:hideMark/>
          </w:tcPr>
          <w:p w14:paraId="55D8DC60" w14:textId="77777777" w:rsidR="007657E5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912" w:type="dxa"/>
            <w:vMerge/>
            <w:vAlign w:val="center"/>
            <w:hideMark/>
          </w:tcPr>
          <w:p w14:paraId="7B8B2052" w14:textId="77777777" w:rsidR="007657E5" w:rsidRDefault="007657E5" w:rsidP="008C40E5">
            <w:pPr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657E5" w14:paraId="0AE0C78F" w14:textId="77777777" w:rsidTr="007657E5">
        <w:trPr>
          <w:cantSplit/>
          <w:trHeight w:val="600"/>
        </w:trPr>
        <w:tc>
          <w:tcPr>
            <w:tcW w:w="709" w:type="dxa"/>
            <w:vAlign w:val="center"/>
            <w:hideMark/>
          </w:tcPr>
          <w:p w14:paraId="47E14BF4" w14:textId="77777777" w:rsidR="007657E5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3912" w:type="dxa"/>
            <w:gridSpan w:val="2"/>
            <w:vAlign w:val="center"/>
            <w:hideMark/>
          </w:tcPr>
          <w:p w14:paraId="292BA835" w14:textId="77777777" w:rsidR="007657E5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– cena brutto oferty najtańszej </w:t>
            </w:r>
          </w:p>
        </w:tc>
      </w:tr>
      <w:tr w:rsidR="007657E5" w14:paraId="525BDBEB" w14:textId="77777777" w:rsidTr="007657E5">
        <w:trPr>
          <w:cantSplit/>
          <w:trHeight w:val="600"/>
        </w:trPr>
        <w:tc>
          <w:tcPr>
            <w:tcW w:w="709" w:type="dxa"/>
            <w:vAlign w:val="center"/>
            <w:hideMark/>
          </w:tcPr>
          <w:p w14:paraId="6C54654E" w14:textId="77777777" w:rsidR="007657E5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>o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12" w:type="dxa"/>
            <w:gridSpan w:val="2"/>
            <w:vAlign w:val="center"/>
            <w:hideMark/>
          </w:tcPr>
          <w:p w14:paraId="7CBF4F8D" w14:textId="77777777" w:rsidR="007657E5" w:rsidRDefault="007657E5" w:rsidP="008C40E5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– cena brutto oferty ocenianej</w:t>
            </w:r>
          </w:p>
        </w:tc>
      </w:tr>
    </w:tbl>
    <w:p w14:paraId="29109E6A" w14:textId="77777777" w:rsidR="007657E5" w:rsidRDefault="007657E5" w:rsidP="007657E5">
      <w:pPr>
        <w:pStyle w:val="Akapitzlist"/>
        <w:numPr>
          <w:ilvl w:val="0"/>
          <w:numId w:val="23"/>
        </w:numPr>
        <w:spacing w:before="120" w:after="0"/>
        <w:ind w:left="782" w:hanging="357"/>
        <w:outlineLvl w:val="1"/>
        <w:rPr>
          <w:rFonts w:cstheme="minorHAnsi"/>
          <w:bCs/>
          <w:sz w:val="24"/>
          <w:szCs w:val="24"/>
          <w:lang w:eastAsia="pl-PL"/>
        </w:rPr>
      </w:pPr>
      <w:r w:rsidRPr="00E92E56">
        <w:rPr>
          <w:rFonts w:cstheme="minorHAnsi"/>
          <w:bCs/>
          <w:sz w:val="24"/>
          <w:szCs w:val="24"/>
        </w:rPr>
        <w:t>Wszystkie obliczenia dokonywane będą z dokładnością do dwóch miejsc po przecinku</w:t>
      </w:r>
      <w:r>
        <w:rPr>
          <w:rFonts w:cstheme="minorHAnsi"/>
          <w:bCs/>
          <w:sz w:val="24"/>
          <w:szCs w:val="24"/>
        </w:rPr>
        <w:t>.</w:t>
      </w:r>
    </w:p>
    <w:p w14:paraId="7D9A0C64" w14:textId="77777777" w:rsidR="007657E5" w:rsidRDefault="007657E5" w:rsidP="007657E5">
      <w:pPr>
        <w:pStyle w:val="Akapitzlist"/>
        <w:numPr>
          <w:ilvl w:val="0"/>
          <w:numId w:val="23"/>
        </w:numPr>
        <w:spacing w:beforeLines="120" w:before="288" w:after="0"/>
        <w:ind w:left="782" w:hanging="357"/>
        <w:outlineLvl w:val="1"/>
        <w:rPr>
          <w:rFonts w:cstheme="minorHAnsi"/>
          <w:bCs/>
          <w:sz w:val="24"/>
          <w:szCs w:val="24"/>
          <w:lang w:eastAsia="pl-PL"/>
        </w:rPr>
      </w:pPr>
      <w:r w:rsidRPr="00E92E56">
        <w:rPr>
          <w:rFonts w:cstheme="minorHAnsi"/>
          <w:bCs/>
          <w:sz w:val="24"/>
          <w:szCs w:val="24"/>
        </w:rPr>
        <w:t>Za ofertę najkorzystniejszą zostanie uznana oferta, która uzyskała najwyższą liczbę punktów</w:t>
      </w:r>
      <w:r>
        <w:rPr>
          <w:rFonts w:cstheme="minorHAnsi"/>
          <w:bCs/>
          <w:sz w:val="24"/>
          <w:szCs w:val="24"/>
        </w:rPr>
        <w:t>.</w:t>
      </w:r>
    </w:p>
    <w:p w14:paraId="7DB7CA33" w14:textId="77777777" w:rsidR="00D162AE" w:rsidRPr="001A38AF" w:rsidRDefault="00D162AE" w:rsidP="007657E5">
      <w:pPr>
        <w:pStyle w:val="Nagwek2"/>
        <w:ind w:left="426" w:hanging="284"/>
      </w:pPr>
      <w:r w:rsidRPr="001A38AF">
        <w:lastRenderedPageBreak/>
        <w:t>Warunki udziału w postępowaniu</w:t>
      </w:r>
    </w:p>
    <w:p w14:paraId="0ED5120C" w14:textId="1446DFF0" w:rsidR="00D162AE" w:rsidRPr="00B6273B" w:rsidRDefault="00B950B4" w:rsidP="00866B86">
      <w:pPr>
        <w:pStyle w:val="Akapitzlist"/>
        <w:numPr>
          <w:ilvl w:val="3"/>
          <w:numId w:val="3"/>
        </w:numPr>
        <w:spacing w:after="12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O u</w:t>
      </w:r>
      <w:r w:rsidR="00D162AE" w:rsidRPr="00B6273B">
        <w:rPr>
          <w:rFonts w:asciiTheme="minorHAnsi" w:hAnsiTheme="minorHAnsi" w:cstheme="minorHAnsi"/>
          <w:sz w:val="24"/>
          <w:szCs w:val="24"/>
          <w:lang w:eastAsia="pl-PL"/>
        </w:rPr>
        <w:t>dzielenie zamówienia może ubiegać się Wykonawca, który posiada niezbędną wiedzę i doświadczenie oraz dysponuje odpowiednim potencjałem technicznym oraz osobami zdolnymi do wykonania zamówienia:</w:t>
      </w:r>
    </w:p>
    <w:p w14:paraId="1F22123B" w14:textId="1407B6DA" w:rsidR="00D162AE" w:rsidRPr="00D44146" w:rsidRDefault="00D162AE" w:rsidP="009051E0">
      <w:pPr>
        <w:spacing w:after="120"/>
        <w:ind w:firstLine="360"/>
        <w:rPr>
          <w:rFonts w:asciiTheme="minorHAnsi" w:hAnsiTheme="minorHAnsi" w:cstheme="minorHAnsi"/>
          <w:sz w:val="24"/>
          <w:szCs w:val="24"/>
          <w:lang w:eastAsia="pl-PL"/>
        </w:rPr>
      </w:pPr>
      <w:r w:rsidRPr="00D44146">
        <w:rPr>
          <w:rFonts w:asciiTheme="minorHAnsi" w:hAnsiTheme="minorHAnsi" w:cstheme="minorHAnsi"/>
          <w:sz w:val="24"/>
          <w:szCs w:val="24"/>
          <w:lang w:eastAsia="pl-PL"/>
        </w:rPr>
        <w:t>Zamawiający uzna ww. warunek za spełniony, jeżeli Wykonawca wykaże, że</w:t>
      </w:r>
      <w:r w:rsidR="00893312" w:rsidRPr="00D44146">
        <w:rPr>
          <w:rFonts w:asciiTheme="minorHAnsi" w:hAnsiTheme="minorHAnsi" w:cstheme="minorHAnsi"/>
          <w:sz w:val="24"/>
          <w:szCs w:val="24"/>
          <w:lang w:eastAsia="pl-PL"/>
        </w:rPr>
        <w:t xml:space="preserve"> łącznie</w:t>
      </w:r>
      <w:r w:rsidRPr="00D44146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3F77A540" w14:textId="38C7A7C1" w:rsidR="009E7998" w:rsidRPr="009E7998" w:rsidRDefault="009E7998" w:rsidP="009E7998">
      <w:pPr>
        <w:pStyle w:val="Akapitzlist"/>
        <w:numPr>
          <w:ilvl w:val="0"/>
          <w:numId w:val="25"/>
        </w:numPr>
        <w:spacing w:before="120" w:after="0"/>
        <w:rPr>
          <w:sz w:val="24"/>
          <w:szCs w:val="24"/>
        </w:rPr>
      </w:pPr>
      <w:bookmarkStart w:id="3" w:name="_Hlk186463922"/>
      <w:r w:rsidRPr="009E7998">
        <w:rPr>
          <w:sz w:val="24"/>
          <w:szCs w:val="24"/>
        </w:rPr>
        <w:t>posiada baz</w:t>
      </w:r>
      <w:r>
        <w:rPr>
          <w:sz w:val="24"/>
          <w:szCs w:val="24"/>
        </w:rPr>
        <w:t>ę</w:t>
      </w:r>
      <w:r w:rsidRPr="009E7998">
        <w:rPr>
          <w:sz w:val="24"/>
          <w:szCs w:val="24"/>
        </w:rPr>
        <w:t xml:space="preserve"> sprzętow</w:t>
      </w:r>
      <w:r>
        <w:rPr>
          <w:sz w:val="24"/>
          <w:szCs w:val="24"/>
        </w:rPr>
        <w:t>ą</w:t>
      </w:r>
      <w:r w:rsidRPr="009E7998">
        <w:rPr>
          <w:sz w:val="24"/>
          <w:szCs w:val="24"/>
        </w:rPr>
        <w:t xml:space="preserve"> i narzędziow</w:t>
      </w:r>
      <w:r>
        <w:rPr>
          <w:sz w:val="24"/>
          <w:szCs w:val="24"/>
        </w:rPr>
        <w:t>ą</w:t>
      </w:r>
      <w:r w:rsidRPr="009E7998">
        <w:rPr>
          <w:sz w:val="24"/>
          <w:szCs w:val="24"/>
        </w:rPr>
        <w:t xml:space="preserve"> niezbędn</w:t>
      </w:r>
      <w:r>
        <w:rPr>
          <w:sz w:val="24"/>
          <w:szCs w:val="24"/>
        </w:rPr>
        <w:t>ą</w:t>
      </w:r>
      <w:r w:rsidRPr="009E7998">
        <w:rPr>
          <w:sz w:val="24"/>
          <w:szCs w:val="24"/>
        </w:rPr>
        <w:t xml:space="preserve"> do przygotowania akumulatorów do badania,</w:t>
      </w:r>
    </w:p>
    <w:p w14:paraId="6C0B5E7D" w14:textId="26E5327D" w:rsidR="009E7998" w:rsidRPr="009E7998" w:rsidRDefault="009E7998" w:rsidP="009E7998">
      <w:pPr>
        <w:pStyle w:val="Akapitzlist"/>
        <w:numPr>
          <w:ilvl w:val="0"/>
          <w:numId w:val="25"/>
        </w:numPr>
        <w:spacing w:before="120" w:after="0"/>
        <w:rPr>
          <w:sz w:val="24"/>
          <w:szCs w:val="24"/>
        </w:rPr>
      </w:pPr>
      <w:r w:rsidRPr="009E7998">
        <w:rPr>
          <w:sz w:val="24"/>
          <w:szCs w:val="24"/>
        </w:rPr>
        <w:t>posiada baz</w:t>
      </w:r>
      <w:r>
        <w:rPr>
          <w:sz w:val="24"/>
          <w:szCs w:val="24"/>
        </w:rPr>
        <w:t>ę</w:t>
      </w:r>
      <w:r w:rsidRPr="009E7998">
        <w:rPr>
          <w:sz w:val="24"/>
          <w:szCs w:val="24"/>
        </w:rPr>
        <w:t xml:space="preserve"> sprzętow</w:t>
      </w:r>
      <w:r>
        <w:rPr>
          <w:sz w:val="24"/>
          <w:szCs w:val="24"/>
        </w:rPr>
        <w:t>ą</w:t>
      </w:r>
      <w:r w:rsidRPr="009E7998">
        <w:rPr>
          <w:sz w:val="24"/>
          <w:szCs w:val="24"/>
        </w:rPr>
        <w:t xml:space="preserve"> i narzędziow</w:t>
      </w:r>
      <w:r>
        <w:rPr>
          <w:sz w:val="24"/>
          <w:szCs w:val="24"/>
        </w:rPr>
        <w:t>ą</w:t>
      </w:r>
      <w:r w:rsidRPr="009E7998">
        <w:rPr>
          <w:sz w:val="24"/>
          <w:szCs w:val="24"/>
        </w:rPr>
        <w:t xml:space="preserve"> niezbędn</w:t>
      </w:r>
      <w:r>
        <w:rPr>
          <w:sz w:val="24"/>
          <w:szCs w:val="24"/>
        </w:rPr>
        <w:t>ą</w:t>
      </w:r>
      <w:r w:rsidRPr="009E7998">
        <w:rPr>
          <w:sz w:val="24"/>
          <w:szCs w:val="24"/>
        </w:rPr>
        <w:t xml:space="preserve"> do przeprowadzenia testów sprawności akumulatorów,</w:t>
      </w:r>
    </w:p>
    <w:p w14:paraId="7E341B69" w14:textId="1236D4A2" w:rsidR="00866B86" w:rsidRPr="00D44146" w:rsidRDefault="009E7998" w:rsidP="009E7998">
      <w:pPr>
        <w:pStyle w:val="Akapitzlist"/>
        <w:numPr>
          <w:ilvl w:val="0"/>
          <w:numId w:val="25"/>
        </w:numPr>
        <w:spacing w:after="120"/>
        <w:ind w:left="1151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E7998">
        <w:rPr>
          <w:sz w:val="24"/>
          <w:szCs w:val="24"/>
        </w:rPr>
        <w:t>posiada minimum 5-letnie doświadczeni</w:t>
      </w:r>
      <w:r>
        <w:rPr>
          <w:sz w:val="24"/>
          <w:szCs w:val="24"/>
        </w:rPr>
        <w:t>e</w:t>
      </w:r>
      <w:r w:rsidRPr="009E7998">
        <w:rPr>
          <w:sz w:val="24"/>
          <w:szCs w:val="24"/>
        </w:rPr>
        <w:t xml:space="preserve"> w zakresie serwisu i napraw</w:t>
      </w:r>
      <w:r>
        <w:rPr>
          <w:sz w:val="24"/>
          <w:szCs w:val="24"/>
        </w:rPr>
        <w:t>y</w:t>
      </w:r>
      <w:r w:rsidRPr="009E7998">
        <w:rPr>
          <w:sz w:val="24"/>
          <w:szCs w:val="24"/>
        </w:rPr>
        <w:t xml:space="preserve"> wózków inwalidzkich o napędzie elektrycznym, skuterów o napędzie elektrycznym lub personelu posiadającego takie doświadczenie.</w:t>
      </w:r>
    </w:p>
    <w:bookmarkEnd w:id="3"/>
    <w:p w14:paraId="23AB0982" w14:textId="3CE94325" w:rsidR="00866B86" w:rsidRDefault="00467617" w:rsidP="00866B86">
      <w:pPr>
        <w:pStyle w:val="Akapitzlist"/>
        <w:numPr>
          <w:ilvl w:val="3"/>
          <w:numId w:val="3"/>
        </w:numPr>
        <w:spacing w:after="120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sz w:val="24"/>
          <w:szCs w:val="24"/>
          <w:lang w:eastAsia="pl-PL"/>
        </w:rPr>
        <w:t>Warunki</w:t>
      </w:r>
      <w:r w:rsidRPr="00CE7AF6">
        <w:rPr>
          <w:rFonts w:asciiTheme="minorHAnsi" w:hAnsiTheme="minorHAnsi" w:cstheme="minorHAnsi"/>
          <w:sz w:val="24"/>
          <w:szCs w:val="24"/>
        </w:rPr>
        <w:t xml:space="preserve"> określone w </w:t>
      </w:r>
      <w:r w:rsidR="00DB344F">
        <w:rPr>
          <w:rFonts w:asciiTheme="minorHAnsi" w:hAnsiTheme="minorHAnsi" w:cstheme="minorHAnsi"/>
          <w:sz w:val="24"/>
          <w:szCs w:val="24"/>
        </w:rPr>
        <w:t>pkt 1</w:t>
      </w:r>
      <w:r w:rsidRPr="00CE7AF6">
        <w:rPr>
          <w:rFonts w:asciiTheme="minorHAnsi" w:hAnsiTheme="minorHAnsi" w:cstheme="minorHAnsi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będą weryfikowane przez Zamawiającego na podstawie informacji </w:t>
      </w:r>
      <w:r w:rsidR="00CE1942" w:rsidRPr="00CE7AF6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C00FB9" w:rsidRPr="00CE7AF6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CE1942"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oświadczeń </w:t>
      </w:r>
      <w:r w:rsidRPr="00CE7AF6">
        <w:rPr>
          <w:rFonts w:asciiTheme="minorHAnsi" w:hAnsiTheme="minorHAnsi" w:cstheme="minorHAnsi"/>
          <w:sz w:val="24"/>
          <w:szCs w:val="24"/>
          <w:lang w:eastAsia="pl-PL"/>
        </w:rPr>
        <w:t>zawartych w Formularzu ofertowym</w:t>
      </w:r>
      <w:r w:rsidR="00FE1CCE" w:rsidRPr="00CE7AF6">
        <w:rPr>
          <w:rFonts w:asciiTheme="minorHAnsi" w:hAnsiTheme="minorHAnsi" w:cstheme="minorHAnsi"/>
          <w:sz w:val="24"/>
          <w:szCs w:val="24"/>
          <w:lang w:eastAsia="pl-PL"/>
        </w:rPr>
        <w:t xml:space="preserve"> oraz załączonych dokumentów do oferty</w:t>
      </w:r>
      <w:r w:rsidR="00B6273B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25F9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5D8609E9" w14:textId="77777777" w:rsidR="00A4128C" w:rsidRPr="001A38AF" w:rsidRDefault="00A4128C" w:rsidP="00866B86">
      <w:pPr>
        <w:pStyle w:val="Nagwek2"/>
        <w:ind w:left="426" w:hanging="284"/>
      </w:pPr>
      <w:r w:rsidRPr="001A38AF">
        <w:t>Termin związania ofertą:</w:t>
      </w:r>
    </w:p>
    <w:p w14:paraId="7A37208F" w14:textId="77777777" w:rsidR="00A4128C" w:rsidRPr="00CE7AF6" w:rsidRDefault="00A4128C" w:rsidP="00A4128C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Termin związania ofertą wynosi 30 dni od dnia upływu terminu składania ofert.</w:t>
      </w:r>
    </w:p>
    <w:p w14:paraId="0DA0D40E" w14:textId="77777777" w:rsidR="00B6273B" w:rsidRPr="001A38AF" w:rsidRDefault="00B6273B" w:rsidP="00866B86">
      <w:pPr>
        <w:pStyle w:val="Nagwek2"/>
        <w:ind w:left="426" w:hanging="284"/>
      </w:pPr>
      <w:r w:rsidRPr="001A38AF">
        <w:t xml:space="preserve">Wymagane dokumenty: </w:t>
      </w:r>
    </w:p>
    <w:p w14:paraId="0518B1EA" w14:textId="1957DE29" w:rsidR="00893312" w:rsidRPr="006A0797" w:rsidRDefault="00B6273B" w:rsidP="001A38AF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6A0797">
        <w:rPr>
          <w:rFonts w:asciiTheme="minorHAnsi" w:hAnsiTheme="minorHAnsi" w:cstheme="minorHAnsi"/>
          <w:sz w:val="24"/>
          <w:szCs w:val="24"/>
          <w:lang w:eastAsia="pl-PL"/>
        </w:rPr>
        <w:t>Formularz</w:t>
      </w:r>
      <w:r w:rsidRPr="006A0797">
        <w:rPr>
          <w:rFonts w:asciiTheme="minorHAnsi" w:hAnsiTheme="minorHAnsi" w:cstheme="minorHAnsi"/>
          <w:sz w:val="24"/>
          <w:szCs w:val="24"/>
        </w:rPr>
        <w:t xml:space="preserve"> </w:t>
      </w:r>
      <w:r w:rsidRPr="006A0797">
        <w:rPr>
          <w:rFonts w:asciiTheme="minorHAnsi" w:hAnsiTheme="minorHAnsi" w:cstheme="minorHAnsi"/>
          <w:sz w:val="24"/>
          <w:szCs w:val="24"/>
          <w:lang w:eastAsia="pl-PL"/>
        </w:rPr>
        <w:t xml:space="preserve">ofertowy, którego wzór stanowi załącznik nr </w:t>
      </w:r>
      <w:r w:rsidR="003F72BD" w:rsidRPr="006A0797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6A0797">
        <w:rPr>
          <w:rFonts w:asciiTheme="minorHAnsi" w:hAnsiTheme="minorHAnsi" w:cstheme="minorHAnsi"/>
          <w:sz w:val="24"/>
          <w:szCs w:val="24"/>
          <w:lang w:eastAsia="pl-PL"/>
        </w:rPr>
        <w:t xml:space="preserve"> do Zapytania ofertowego.</w:t>
      </w:r>
    </w:p>
    <w:p w14:paraId="5F9FD008" w14:textId="33D2565B" w:rsidR="00644603" w:rsidRPr="00D44146" w:rsidRDefault="00DB344F" w:rsidP="0064460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44146">
        <w:rPr>
          <w:rFonts w:asciiTheme="minorHAnsi" w:hAnsiTheme="minorHAnsi" w:cstheme="minorHAnsi"/>
          <w:sz w:val="24"/>
          <w:szCs w:val="24"/>
          <w:lang w:eastAsia="pl-PL"/>
        </w:rPr>
        <w:t xml:space="preserve">Dokumenty potwierdzające </w:t>
      </w:r>
      <w:r w:rsidR="00644603" w:rsidRPr="00D44146">
        <w:rPr>
          <w:rFonts w:asciiTheme="minorHAnsi" w:hAnsiTheme="minorHAnsi" w:cstheme="minorHAnsi"/>
          <w:sz w:val="24"/>
          <w:szCs w:val="24"/>
          <w:lang w:eastAsia="pl-PL"/>
        </w:rPr>
        <w:t xml:space="preserve">posiadanie </w:t>
      </w:r>
      <w:r w:rsidRPr="00D44146">
        <w:rPr>
          <w:sz w:val="24"/>
          <w:szCs w:val="24"/>
        </w:rPr>
        <w:t xml:space="preserve">minimum </w:t>
      </w:r>
      <w:r w:rsidR="00644603" w:rsidRPr="00D44146">
        <w:rPr>
          <w:sz w:val="24"/>
          <w:szCs w:val="24"/>
        </w:rPr>
        <w:t>5-letnieg</w:t>
      </w:r>
      <w:r w:rsidR="00A4265E" w:rsidRPr="00D44146">
        <w:rPr>
          <w:sz w:val="24"/>
          <w:szCs w:val="24"/>
        </w:rPr>
        <w:t>o</w:t>
      </w:r>
      <w:r w:rsidR="00644603" w:rsidRPr="00D44146">
        <w:rPr>
          <w:sz w:val="24"/>
          <w:szCs w:val="24"/>
        </w:rPr>
        <w:t xml:space="preserve"> doświadczenia w</w:t>
      </w:r>
      <w:r w:rsidR="006621ED" w:rsidRPr="00D44146">
        <w:rPr>
          <w:sz w:val="24"/>
          <w:szCs w:val="24"/>
        </w:rPr>
        <w:t> </w:t>
      </w:r>
      <w:r w:rsidR="00644603" w:rsidRPr="00D44146">
        <w:rPr>
          <w:sz w:val="24"/>
          <w:szCs w:val="24"/>
        </w:rPr>
        <w:t>zakresie serwisu i napraw wózków inwalidzkich o napędzie elektrycznym lub personelu posiadającego takie doświadczenie.</w:t>
      </w:r>
    </w:p>
    <w:p w14:paraId="6997182B" w14:textId="541BCE94" w:rsidR="002E5C64" w:rsidRPr="001A38AF" w:rsidRDefault="002E5C64" w:rsidP="00644603">
      <w:pPr>
        <w:pStyle w:val="Nagwek2"/>
        <w:ind w:left="426" w:hanging="284"/>
      </w:pPr>
      <w:r w:rsidRPr="001A38AF">
        <w:t>Określenie miejsca, sposobu i terminu składania ofert:</w:t>
      </w:r>
    </w:p>
    <w:p w14:paraId="17094EF0" w14:textId="0765CE8C" w:rsidR="003C080A" w:rsidRPr="00CE7AF6" w:rsidRDefault="002E5C64" w:rsidP="001A38AF">
      <w:pPr>
        <w:pStyle w:val="Akapitzlist"/>
        <w:numPr>
          <w:ilvl w:val="0"/>
          <w:numId w:val="6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Ofertę należy przesłać pocztą elektroniczną na adres: </w:t>
      </w:r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anna.jarzebska@pfron.org.pl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</w:t>
      </w:r>
      <w:r w:rsidR="00C73EE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4</w:t>
      </w:r>
      <w:r w:rsidR="009E799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lipca</w:t>
      </w:r>
      <w:r w:rsidR="0089331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202</w:t>
      </w:r>
      <w:r w:rsidR="0022453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5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r</w:t>
      </w:r>
      <w:r w:rsidR="00407650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5D1C7668" w14:textId="3EC37F64" w:rsidR="002E5C64" w:rsidRPr="00CE7AF6" w:rsidRDefault="002E5C64" w:rsidP="001A38AF">
      <w:pPr>
        <w:pStyle w:val="Akapitzlist"/>
        <w:numPr>
          <w:ilvl w:val="0"/>
          <w:numId w:val="6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Decydujące znaczenie dla oceny zachowania terminu oferty ma data 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i godzina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wpływu oferty do</w:t>
      </w:r>
      <w:r w:rsidR="009D184A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Zamawiającego.</w:t>
      </w:r>
    </w:p>
    <w:p w14:paraId="2F3442A5" w14:textId="659AA1D8" w:rsidR="002E5C64" w:rsidRPr="001A38AF" w:rsidRDefault="002E5C64" w:rsidP="00866B86">
      <w:pPr>
        <w:pStyle w:val="Nagwek2"/>
        <w:ind w:left="426" w:hanging="284"/>
      </w:pPr>
      <w:r w:rsidRPr="001A38AF">
        <w:t xml:space="preserve">Osoba uprawniona do kontaktu z wykonawcami: </w:t>
      </w:r>
    </w:p>
    <w:p w14:paraId="297C9B94" w14:textId="307649AA" w:rsidR="002E5C64" w:rsidRPr="00CE7AF6" w:rsidRDefault="002E5C64" w:rsidP="005852A2">
      <w:pPr>
        <w:pStyle w:val="Akapitzlist"/>
        <w:spacing w:after="12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Informacji na temat przedmiotu zamówienia udziela </w:t>
      </w:r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Anna Jarzębska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, adres e-mail:</w:t>
      </w:r>
      <w:bookmarkEnd w:id="0"/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anna.jarzebska@pfron.org.pl</w:t>
      </w:r>
    </w:p>
    <w:p w14:paraId="6E4415EE" w14:textId="6031B4B2" w:rsidR="005B17B6" w:rsidRPr="001A38AF" w:rsidRDefault="005B17B6" w:rsidP="00866B86">
      <w:pPr>
        <w:pStyle w:val="Nagwek2"/>
        <w:ind w:left="426" w:hanging="284"/>
      </w:pPr>
      <w:r w:rsidRPr="001A38AF">
        <w:lastRenderedPageBreak/>
        <w:t xml:space="preserve">Termin wykonania </w:t>
      </w:r>
      <w:r w:rsidR="00A4128C" w:rsidRPr="001A38AF">
        <w:t>z</w:t>
      </w:r>
      <w:r w:rsidRPr="001A38AF">
        <w:t>amówienia:</w:t>
      </w:r>
    </w:p>
    <w:p w14:paraId="1C16C5E5" w14:textId="4E18E08A" w:rsidR="009E7998" w:rsidRDefault="009E7998" w:rsidP="005852A2">
      <w:pPr>
        <w:pStyle w:val="Akapitzlist"/>
        <w:spacing w:after="120"/>
        <w:ind w:left="426"/>
        <w:rPr>
          <w:rFonts w:asciiTheme="minorHAnsi" w:hAnsiTheme="minorHAnsi" w:cstheme="minorHAnsi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zrealizuje zamówienie w terminie uzgodnionym z Zamawiającym, jednak nie później niż do dnia </w:t>
      </w:r>
      <w:r>
        <w:rPr>
          <w:rFonts w:asciiTheme="minorHAnsi" w:hAnsiTheme="minorHAnsi" w:cstheme="minorHAnsi"/>
          <w:sz w:val="24"/>
          <w:szCs w:val="24"/>
        </w:rPr>
        <w:t>31 grudnia 2025</w:t>
      </w:r>
      <w:r w:rsidRPr="00CE7AF6">
        <w:rPr>
          <w:rFonts w:asciiTheme="minorHAnsi" w:hAnsiTheme="minorHAnsi" w:cstheme="minorHAnsi"/>
          <w:sz w:val="24"/>
          <w:szCs w:val="24"/>
        </w:rPr>
        <w:t xml:space="preserve"> r</w:t>
      </w:r>
      <w:r>
        <w:rPr>
          <w:rFonts w:asciiTheme="minorHAnsi" w:hAnsiTheme="minorHAnsi" w:cstheme="minorHAnsi"/>
          <w:sz w:val="24"/>
          <w:szCs w:val="24"/>
        </w:rPr>
        <w:t>. z zastrzeżeniem</w:t>
      </w:r>
      <w:r w:rsidR="00305CDF">
        <w:rPr>
          <w:rFonts w:asciiTheme="minorHAnsi" w:hAnsiTheme="minorHAnsi" w:cstheme="minorHAnsi"/>
          <w:sz w:val="24"/>
          <w:szCs w:val="24"/>
        </w:rPr>
        <w:t xml:space="preserve"> iż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2B96FFBB" w14:textId="156BEF56" w:rsidR="00F333FA" w:rsidRPr="00CE7AF6" w:rsidRDefault="00F333FA" w:rsidP="00F333FA">
      <w:pPr>
        <w:pStyle w:val="Akapitzlist"/>
        <w:numPr>
          <w:ilvl w:val="0"/>
          <w:numId w:val="46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Wykonawca powinien być gotowy do świadczenia usług serwisu zerowego dla wszystkich 136 sztuk sprzętów objętych zamówieniem w terminie do 30 dni od dnia podpisania umowy. Zamawiający nie jest w stanie oszacować skali zapotrzebowania na technologie objęte zamówieniem, która zależy od intensywności wpływania wniosków o wypożyczenie sprzętów.</w:t>
      </w:r>
    </w:p>
    <w:p w14:paraId="7513B2F8" w14:textId="7E728836" w:rsidR="00EE65F6" w:rsidRDefault="00793211" w:rsidP="009E7998">
      <w:pPr>
        <w:pStyle w:val="Akapitzlist"/>
        <w:numPr>
          <w:ilvl w:val="0"/>
          <w:numId w:val="46"/>
        </w:numPr>
        <w:spacing w:after="120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="009E7998">
        <w:rPr>
          <w:rFonts w:asciiTheme="minorHAnsi" w:hAnsiTheme="minorHAnsi" w:cstheme="minorHAnsi"/>
          <w:color w:val="000000" w:themeColor="text1"/>
          <w:sz w:val="24"/>
          <w:szCs w:val="24"/>
        </w:rPr>
        <w:t>ealizacja zamówienia będzie odbywała się w trybie ciągłym, zgodnie z otrzymanym przez Zamawiającego zapotrzebowaniem</w:t>
      </w:r>
      <w:r w:rsidR="00305CD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przekazaniem zlece</w:t>
      </w:r>
      <w:r w:rsidR="00360B85">
        <w:rPr>
          <w:rFonts w:asciiTheme="minorHAnsi" w:hAnsiTheme="minorHAnsi" w:cstheme="minorHAnsi"/>
          <w:color w:val="000000" w:themeColor="text1"/>
          <w:sz w:val="24"/>
          <w:szCs w:val="24"/>
        </w:rPr>
        <w:t>ń</w:t>
      </w:r>
      <w:r w:rsidR="00305CD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Wykonawcy</w:t>
      </w:r>
      <w:r w:rsidR="009E79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aż do wyczerpania </w:t>
      </w:r>
      <w:r w:rsidR="001966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maksymalnej </w:t>
      </w:r>
      <w:r w:rsidR="009E7998">
        <w:rPr>
          <w:rFonts w:asciiTheme="minorHAnsi" w:hAnsiTheme="minorHAnsi" w:cstheme="minorHAnsi"/>
          <w:color w:val="000000" w:themeColor="text1"/>
          <w:sz w:val="24"/>
          <w:szCs w:val="24"/>
        </w:rPr>
        <w:t>puli środków przeznaczonych na realizację niniejszego zamówienia</w:t>
      </w:r>
      <w:r w:rsidR="00F333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umowy</w:t>
      </w:r>
      <w:r w:rsidR="001966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uwzględnieniem gwarantowanej </w:t>
      </w:r>
      <w:r w:rsidR="00360B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minimalnej </w:t>
      </w:r>
      <w:r w:rsidR="00196624">
        <w:rPr>
          <w:rFonts w:asciiTheme="minorHAnsi" w:hAnsiTheme="minorHAnsi" w:cstheme="minorHAnsi"/>
          <w:color w:val="000000" w:themeColor="text1"/>
          <w:sz w:val="24"/>
          <w:szCs w:val="24"/>
        </w:rPr>
        <w:t>liczby usług</w:t>
      </w:r>
      <w:r w:rsidR="00F333F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A33ED90" w14:textId="16A6060D" w:rsidR="00D74277" w:rsidRPr="001A38AF" w:rsidRDefault="00D74277" w:rsidP="00866B86">
      <w:pPr>
        <w:pStyle w:val="Nagwek2"/>
        <w:ind w:left="426" w:hanging="284"/>
      </w:pPr>
      <w:r w:rsidRPr="001A38AF">
        <w:t>Sposób oceny ofert</w:t>
      </w:r>
      <w:r w:rsidR="00407650" w:rsidRPr="001A38AF">
        <w:t>:</w:t>
      </w:r>
    </w:p>
    <w:p w14:paraId="0D4CA4E7" w14:textId="61B63EF9" w:rsidR="009D184A" w:rsidRPr="00CE7AF6" w:rsidRDefault="00D74277" w:rsidP="001A38AF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spełniająca wszystkie wymagania Zamawiającego zostanie oceniona na podstawie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złożonego przez Wykonawcę </w:t>
      </w:r>
      <w:r w:rsidR="00893312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ormularza ofertowego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załączonych dokumentów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. W przypadku, gdy w postępowaniu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nie będzie można dokonać wyboru oferty najkorzystniejszej, z uwagi na to, że dwie lub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więcej ofert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uzyska taką samą liczbę punktów, Zamawiający wezwie Oferentów do ponownego złożenia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korzystniejszych ofert.</w:t>
      </w:r>
    </w:p>
    <w:p w14:paraId="4DE9998C" w14:textId="4035C996" w:rsidR="00D74277" w:rsidRPr="00CE7AF6" w:rsidRDefault="00D74277" w:rsidP="001A38AF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odrzuci ofertę, jeżeli:</w:t>
      </w:r>
    </w:p>
    <w:p w14:paraId="4112FBAE" w14:textId="007F47E3" w:rsidR="00D74277" w:rsidRPr="00CE7AF6" w:rsidRDefault="00D74277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treść oferty jest niezgodna z treścią Zapytania ofertowego;</w:t>
      </w:r>
    </w:p>
    <w:p w14:paraId="21F4772B" w14:textId="77777777" w:rsidR="00D74277" w:rsidRPr="00CE7AF6" w:rsidRDefault="00D74277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Wykonawca zmieni ofertę po upływie terminu składania ofert;</w:t>
      </w:r>
    </w:p>
    <w:p w14:paraId="4A9F0D88" w14:textId="57BA524F" w:rsidR="00D74277" w:rsidRPr="00CE7AF6" w:rsidRDefault="00D74277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oferta została złożona przez Wykonawcę, który według wiedzy i doświadczenia</w:t>
      </w:r>
    </w:p>
    <w:p w14:paraId="129B7CE8" w14:textId="77777777" w:rsidR="00006831" w:rsidRPr="00CE7AF6" w:rsidRDefault="00D74277" w:rsidP="00A4128C">
      <w:pPr>
        <w:pStyle w:val="Akapitzlist"/>
        <w:spacing w:after="120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Zamawiającego nie daje rękojmi terminowego i prawidłowego wykonania umowy</w:t>
      </w:r>
      <w:r w:rsidR="00006831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A316854" w14:textId="77777777" w:rsidR="00006831" w:rsidRPr="00CE7AF6" w:rsidRDefault="00D74277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oferta została złożona przez Wykonawcę, który posiada zaległości finansowe</w:t>
      </w:r>
      <w:r w:rsidR="00006831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względem Zamawiającego lub jest z nim w sporze prawnym;</w:t>
      </w:r>
    </w:p>
    <w:p w14:paraId="68E7FBBB" w14:textId="77777777" w:rsidR="00006831" w:rsidRPr="00CE7AF6" w:rsidRDefault="00006831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Wykonawca jest w trakcie postępowania upadłościowego;</w:t>
      </w:r>
    </w:p>
    <w:p w14:paraId="396AC199" w14:textId="69416243" w:rsidR="00006831" w:rsidRPr="00CE7AF6" w:rsidRDefault="00006831" w:rsidP="001A38AF">
      <w:pPr>
        <w:pStyle w:val="Akapitzlist"/>
        <w:numPr>
          <w:ilvl w:val="2"/>
          <w:numId w:val="8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z innych uzasadnionych przyczyn, na przykład gdy oferta jest nieważna na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podstawie przepisów prawa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2147807" w14:textId="3C7B8B83" w:rsidR="00006831" w:rsidRPr="00CE7AF6" w:rsidRDefault="00006831" w:rsidP="001A38AF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Oferty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złożone po terminie nie będą rozpatrywane.</w:t>
      </w:r>
    </w:p>
    <w:p w14:paraId="4B2FFDDD" w14:textId="77777777" w:rsidR="008B6B64" w:rsidRPr="001A38AF" w:rsidRDefault="00F3487C" w:rsidP="00866B86">
      <w:pPr>
        <w:pStyle w:val="Nagwek2"/>
        <w:ind w:left="426" w:hanging="284"/>
      </w:pPr>
      <w:r w:rsidRPr="001A38AF">
        <w:t>Dodatkowe informacje</w:t>
      </w:r>
    </w:p>
    <w:p w14:paraId="07565FCA" w14:textId="12C240F3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Zamówienie będzie finansowane w całości (w 100 %) ze środków publicznych</w:t>
      </w:r>
      <w:r w:rsidR="005D6C8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17A59004" w14:textId="77777777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 powinna zawierać: nazwę, adres, numer telefonu do kontaktu z oferentem oraz datę sporządzenia oferty i podpis Oferenta.</w:t>
      </w:r>
    </w:p>
    <w:p w14:paraId="26372E47" w14:textId="0E16A1B0" w:rsidR="00473936" w:rsidRPr="00CE7AF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Oferta powinna zostać wyrażona w złotych polskich. Złożona wycena powinna zawierać wszystkie koszty związane z realizacją usługi. Kwota winna być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 xml:space="preserve">przedstawiona z dokładnością do dwóch miejsc po przecinku i zapisana na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ormularzu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ofertowym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stanowiącym 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zapytania.</w:t>
      </w:r>
    </w:p>
    <w:p w14:paraId="4592B5CE" w14:textId="77777777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do poprawienia w ofercie: oczywistych omyłek pisarskich, oczywistych omyłek rachunkowych; z uwzględnieniem konsekwencji rachunkowych dokonanych poprawek; innych oczywistych omyłek polegających na niezgodności oferty z Zapytaniem, niepowodujących istotnych zmian w treści oferty.</w:t>
      </w:r>
    </w:p>
    <w:p w14:paraId="28557D33" w14:textId="322185DE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toku badania i oceny ofert Zamawiający może żądać od Wykonawców dodatkowych wyjaśnień. Zamawiający zastrzega sobie prawo do zwrócenia się o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powyższe jedynie do Wykonawcy, którego oferta została oceniona jako najkorzystniejsza.</w:t>
      </w:r>
    </w:p>
    <w:p w14:paraId="72B0CD70" w14:textId="77777777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 stronie internetowej Zamawiający umieści zestawienie ofert z podaniem ostatecznych cen i danych Wykonawców.</w:t>
      </w:r>
    </w:p>
    <w:p w14:paraId="03C63F92" w14:textId="2BF0B152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 odrzuceniu lub dokonaniu wyboru najkorzystniejszej oferty Zamawiający poinformuje Wykonawców, którzy złożyli oferty przekazując stosowną informację na adres poczty elektronicznej podany w ofercie. Brak skutecznego powiadomienia nie skutkuje nieważnością jakichkolwiek czynności podjętych przez Zamawiającego w</w:t>
      </w:r>
      <w:r w:rsidR="005D6C8E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toku postępowania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51F5C4F4" w14:textId="77777777" w:rsid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Wszystkie koszty związane ze sporządzeniem i złożeniem oferty ponosi Wykonawca; PFRON nie przewiduje zwrotu kosztów udziału w postępowaniu.</w:t>
      </w:r>
    </w:p>
    <w:p w14:paraId="18527ED4" w14:textId="4056833E" w:rsidR="00473936" w:rsidRPr="00473936" w:rsidRDefault="00473936" w:rsidP="001A38AF">
      <w:pPr>
        <w:pStyle w:val="Akapitzlist"/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Integralną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część niniejszego Zapytania Ofertowego stanowią:</w:t>
      </w:r>
    </w:p>
    <w:p w14:paraId="62FC71C2" w14:textId="5906991F" w:rsidR="00473936" w:rsidRDefault="00866B86" w:rsidP="001A38AF">
      <w:pPr>
        <w:pStyle w:val="Akapitzlist"/>
        <w:numPr>
          <w:ilvl w:val="2"/>
          <w:numId w:val="10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technologii </w:t>
      </w:r>
      <w:r w:rsidR="00473936">
        <w:rPr>
          <w:rFonts w:asciiTheme="minorHAnsi" w:hAnsiTheme="minorHAnsi" w:cstheme="minorHAnsi"/>
          <w:color w:val="000000" w:themeColor="text1"/>
          <w:sz w:val="24"/>
          <w:szCs w:val="24"/>
        </w:rPr>
        <w:t>(załącznik r 1)</w:t>
      </w:r>
    </w:p>
    <w:p w14:paraId="2FD856D8" w14:textId="1AE6141D" w:rsidR="00473936" w:rsidRPr="00CE7AF6" w:rsidRDefault="00473936" w:rsidP="001A38AF">
      <w:pPr>
        <w:pStyle w:val="Akapitzlist"/>
        <w:numPr>
          <w:ilvl w:val="2"/>
          <w:numId w:val="10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Formularz ofertowy (załącznik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19886F6B" w14:textId="50B634F8" w:rsidR="00473936" w:rsidRPr="00CE7AF6" w:rsidRDefault="00473936" w:rsidP="001A38AF">
      <w:pPr>
        <w:pStyle w:val="Akapitzlist"/>
        <w:numPr>
          <w:ilvl w:val="2"/>
          <w:numId w:val="10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Umowy (załącznik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784418EB" w14:textId="05FBEE45" w:rsidR="00893312" w:rsidRPr="001A38AF" w:rsidRDefault="00893312" w:rsidP="00866B86">
      <w:pPr>
        <w:pStyle w:val="Nagwek2"/>
        <w:ind w:left="426" w:hanging="284"/>
      </w:pPr>
      <w:r w:rsidRPr="001A38AF">
        <w:t>Postanowienia końcowe</w:t>
      </w:r>
    </w:p>
    <w:p w14:paraId="66EA5E87" w14:textId="77777777" w:rsidR="00473936" w:rsidRPr="00473936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Zapytanie Ofertowe nie stanowi oferty w rozumieniu art. 66 Kodeksu cywilnego.</w:t>
      </w:r>
    </w:p>
    <w:p w14:paraId="483945E5" w14:textId="77777777" w:rsidR="00473936" w:rsidRPr="00473936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negocjacji ceny ofert z Wykonawcami, którzy złożyli w terminie prawidłowe oferty.</w:t>
      </w:r>
    </w:p>
    <w:p w14:paraId="583B4EC3" w14:textId="77777777" w:rsidR="00473936" w:rsidRPr="00473936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unieważnienia przedmiotowego postępowania na każdym etapie bez podania przyczyny unieważnienia.</w:t>
      </w:r>
    </w:p>
    <w:p w14:paraId="7649703E" w14:textId="77777777" w:rsidR="00473936" w:rsidRPr="00473936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przypadku unieważnienia postępowania Zamawiający nie ponosi kosztów przygotowania i złożenia oferty.</w:t>
      </w:r>
    </w:p>
    <w:p w14:paraId="7A63FFD1" w14:textId="77777777" w:rsidR="00473936" w:rsidRPr="00473936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6959FA85" w14:textId="7793AE10" w:rsidR="00473936" w:rsidRPr="00473936" w:rsidRDefault="00473936" w:rsidP="001A38AF">
      <w:pPr>
        <w:pStyle w:val="Akapitzlist"/>
        <w:numPr>
          <w:ilvl w:val="0"/>
          <w:numId w:val="17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 udziału w zapytaniu ofertowym wyklucza się Wykonawców, o których mowa w art. 7 ust. 1 ustawy z dnia 13 kwietnia 2022 r. o szczególnych rozwiązaniach w zakresie przeciwdziałania wspieraniu agresji na Ukrainę oraz służących ochronie bezpieczeństwa narodowego (Dz. U. z 2023 r. poz. 1497</w:t>
      </w:r>
      <w:r w:rsidR="001200A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z późn.zm.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), na zasadach określonych w</w:t>
      </w:r>
      <w:r w:rsidR="00C4138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tej ustawie.</w:t>
      </w:r>
    </w:p>
    <w:p w14:paraId="275338E0" w14:textId="4F73D175" w:rsidR="00F3487C" w:rsidRPr="001A38AF" w:rsidRDefault="00F3487C" w:rsidP="00866B86">
      <w:pPr>
        <w:pStyle w:val="Nagwek2"/>
        <w:ind w:left="426" w:hanging="284"/>
      </w:pPr>
      <w:r w:rsidRPr="001A38AF">
        <w:lastRenderedPageBreak/>
        <w:t>Informacje o przetwarzaniu danych osobowych przez Państwowy Fundusz Rehabilitacji Osób Niepełnosprawnych</w:t>
      </w:r>
    </w:p>
    <w:p w14:paraId="1DD5CD47" w14:textId="64968270" w:rsidR="00253D7E" w:rsidRPr="00CE7AF6" w:rsidRDefault="00253D7E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</w:t>
      </w:r>
      <w:r w:rsid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A4265E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usługę sporządzenia ekspertyzy </w:t>
      </w:r>
      <w:r w:rsidR="00EC0AD7" w:rsidRPr="00EC0AD7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serwisu zerowego technologii </w:t>
      </w:r>
      <w:r w:rsidR="00A4265E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w ramach programu pn. „Wypożyczalnia technologii wspomagających dla osób niepełnosprawnością”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(dalej: „Zapytanie”), Zamawiający przekazuje poniżej informacje dotyczące przetwarzania danych osobowych.</w:t>
      </w:r>
    </w:p>
    <w:p w14:paraId="59335178" w14:textId="77777777" w:rsidR="0002589E" w:rsidRPr="00CE7AF6" w:rsidRDefault="00F3487C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Tożsamość administratora</w:t>
      </w:r>
    </w:p>
    <w:p w14:paraId="745E0ADC" w14:textId="646D8381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56D39CAC" w14:textId="27416BC4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Dane kontaktowe administratora</w:t>
      </w:r>
    </w:p>
    <w:p w14:paraId="0F2E4AFA" w14:textId="3CBF1FB9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Z administratorem można skontaktować się poprzez adres e-mail:</w:t>
      </w:r>
      <w:r w:rsidR="005F51B2" w:rsidRPr="00CE7AF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kancelaria@pfron.org.pl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AE5C392" w14:textId="5B8C9F10" w:rsidR="00D52F84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Dane kontaktowe Inspektora Ochrony Danych</w:t>
      </w:r>
    </w:p>
    <w:p w14:paraId="0EA9BDFE" w14:textId="03805AA0" w:rsidR="00CB2113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1D02B1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e-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mail:</w:t>
      </w:r>
      <w:r w:rsidR="003D436F" w:rsidRPr="00CE7AF6" w:rsidDel="003D436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hyperlink r:id="rId13" w:history="1">
        <w:r w:rsidR="005D6C8E" w:rsidRPr="001108A2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 w:themeFill="background1"/>
          </w:rPr>
          <w:t>iod@pfron.org.pl</w:t>
        </w:r>
      </w:hyperlink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 we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wszystkich sprawach dotyczących przetwarzania danych osobowych oraz korzystania z praw związanych z przetwarzaniem.</w:t>
      </w:r>
    </w:p>
    <w:p w14:paraId="69FD1D37" w14:textId="77777777" w:rsidR="00807542" w:rsidRPr="00CE7AF6" w:rsidRDefault="00F3487C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Cele przetwarzania</w:t>
      </w:r>
    </w:p>
    <w:p w14:paraId="57FAB463" w14:textId="232F930D" w:rsidR="00FD45EA" w:rsidRPr="00CE7AF6" w:rsidRDefault="00F3487C" w:rsidP="00FD45E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Celem przetwarzania danych osobowych jest</w:t>
      </w:r>
      <w:r w:rsidR="005852A2" w:rsidRPr="00CE7AF6">
        <w:rPr>
          <w:rFonts w:asciiTheme="minorHAnsi" w:hAnsiTheme="minorHAnsi" w:cstheme="minorHAnsi"/>
          <w:sz w:val="24"/>
          <w:szCs w:val="24"/>
        </w:rPr>
        <w:t xml:space="preserve"> </w:t>
      </w:r>
      <w:r w:rsidR="00346572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="0034657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346572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sporządzenia</w:t>
      </w:r>
      <w:r w:rsidR="00EC0AD7" w:rsidRPr="00EC0AD7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C0AD7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ekspertyzy </w:t>
      </w:r>
      <w:r w:rsidR="00EC0AD7" w:rsidRPr="00EC0AD7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serwisu zerowego technologii</w:t>
      </w:r>
      <w:r w:rsidR="00346572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w ramach programu pn. „Wypożyczalnia technologii wspomagających dla osób niepełnosprawnością”</w:t>
      </w:r>
      <w:r w:rsidR="00BD2D8C">
        <w:rPr>
          <w:rFonts w:asciiTheme="minorHAnsi" w:hAnsiTheme="minorHAnsi" w:cstheme="minorHAnsi"/>
          <w:sz w:val="24"/>
          <w:szCs w:val="24"/>
        </w:rPr>
        <w:t>.</w:t>
      </w:r>
    </w:p>
    <w:p w14:paraId="599CEAEB" w14:textId="77777777" w:rsidR="00FD45EA" w:rsidRPr="00CE7AF6" w:rsidRDefault="00F3487C" w:rsidP="00893312">
      <w:pPr>
        <w:pStyle w:val="Nagwek3"/>
        <w:spacing w:after="120"/>
        <w:ind w:left="0" w:firstLine="0"/>
        <w:jc w:val="left"/>
        <w:rPr>
          <w:rStyle w:val="normaltextrun"/>
          <w:rFonts w:asciiTheme="minorHAnsi" w:hAnsiTheme="minorHAnsi" w:cstheme="minorHAnsi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Podstawa prawna przetwarzania</w:t>
      </w:r>
    </w:p>
    <w:p w14:paraId="05389903" w14:textId="08DB2166" w:rsidR="00885A5E" w:rsidRPr="00CE7AF6" w:rsidRDefault="00F3487C" w:rsidP="00FD45EA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1650BBF8" w14:textId="5D635F5C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Źródło danych osobowych</w:t>
      </w:r>
    </w:p>
    <w:p w14:paraId="3247E73F" w14:textId="1EF658A2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</w:t>
      </w:r>
      <w:r w:rsidR="005852A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przypadku danych pracowników i innych przedstawicieli Wykonawcy.</w:t>
      </w:r>
    </w:p>
    <w:p w14:paraId="0B7F20AD" w14:textId="6E4C133E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Kategorie danych osobowych</w:t>
      </w:r>
    </w:p>
    <w:p w14:paraId="26A74F4E" w14:textId="092B6C5C" w:rsidR="003A67D6" w:rsidRPr="00CE7AF6" w:rsidRDefault="00F3487C" w:rsidP="006C35DB">
      <w:p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</w:t>
      </w:r>
      <w:r w:rsidR="005852A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związku z uczestniczeniem w zapytaniu </w:t>
      </w:r>
      <w:r w:rsidR="00444CE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ofertowym </w:t>
      </w:r>
      <w:r w:rsid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A4265E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usługę sporządzenia </w:t>
      </w:r>
      <w:r w:rsidR="00EC0AD7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ekspertyzy </w:t>
      </w:r>
      <w:r w:rsidR="00EC0AD7" w:rsidRPr="00EC0AD7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serwisu zerowego technologii </w:t>
      </w:r>
      <w:r w:rsidR="00EC0AD7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5D6C8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A4265E" w:rsidRPr="00A4265E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ramach programu pn. „Wypożyczalnia technologii wspomagających dla osób niepełnosprawnością”</w:t>
      </w:r>
      <w:r w:rsidR="00423D74" w:rsidRPr="00CE7AF6">
        <w:rPr>
          <w:rFonts w:asciiTheme="minorHAnsi" w:hAnsiTheme="minorHAnsi" w:cstheme="minorHAnsi"/>
          <w:sz w:val="24"/>
          <w:szCs w:val="24"/>
        </w:rPr>
        <w:t>.</w:t>
      </w:r>
    </w:p>
    <w:p w14:paraId="73DBD2A2" w14:textId="7ADBBA02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Okres, przez który dane będą przechowywane</w:t>
      </w:r>
    </w:p>
    <w:p w14:paraId="68383490" w14:textId="01BC7B75" w:rsidR="00205CC8" w:rsidRPr="00CE7AF6" w:rsidRDefault="00836362" w:rsidP="006C35DB">
      <w:pPr>
        <w:spacing w:after="120"/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Państwa dane osobowe będą przetwarzane przez okres wynikający z obowiązujących przepisów,</w:t>
      </w:r>
      <w:r w:rsidR="00E74A4A" w:rsidRPr="00CE7AF6" w:rsidDel="00E74A4A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zgodnie z zasadami archiwizacji obowiązującymi w PFRON, nie dłużej jednak niż do ustania celu,</w:t>
      </w:r>
      <w:r w:rsidR="00E74A4A" w:rsidRPr="00CE7AF6" w:rsidDel="00E74A4A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dla którego dane zostały zebrane, lub cofnięcia zgody na przetwarzanie danych osobowych.</w:t>
      </w:r>
    </w:p>
    <w:p w14:paraId="6F809AEF" w14:textId="23687F03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Podmioty, którym będą udostępniane dane osobowe</w:t>
      </w:r>
    </w:p>
    <w:p w14:paraId="0183AED8" w14:textId="59583E6D" w:rsidR="00E55737" w:rsidRPr="00CE7AF6" w:rsidRDefault="00E55737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B65093A" w:rsidR="00F3487C" w:rsidRPr="00CE7AF6" w:rsidRDefault="00E55737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3113C37" w14:textId="5176BC6E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Prawa podmiotów danych</w:t>
      </w:r>
    </w:p>
    <w:p w14:paraId="573FEC5C" w14:textId="41C0896F" w:rsidR="00F3487C" w:rsidRPr="00CE7AF6" w:rsidRDefault="00F3487C" w:rsidP="006C35DB">
      <w:p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4A5B7238" w14:textId="3CD2AA4A" w:rsidR="00F3487C" w:rsidRPr="00CE7AF6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31399E4B" w14:textId="36B60FD8" w:rsidR="00F3487C" w:rsidRPr="00CE7AF6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0A7A75D2" w14:textId="4FCAFB1A" w:rsidR="00F3487C" w:rsidRPr="00CE7AF6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1706B336" w14:textId="16E7DEC4" w:rsidR="00F3487C" w:rsidRPr="00CE7AF6" w:rsidRDefault="00F3487C" w:rsidP="006C35DB">
      <w:pPr>
        <w:pStyle w:val="Akapitzlist"/>
        <w:numPr>
          <w:ilvl w:val="0"/>
          <w:numId w:val="2"/>
        </w:numPr>
        <w:spacing w:after="120"/>
        <w:ind w:left="714" w:hanging="357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7715E1C0" w14:textId="1F58C0DD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Prawo wniesienia skargi do organu nadzorczego</w:t>
      </w:r>
    </w:p>
    <w:p w14:paraId="1D82795D" w14:textId="066D6D1C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0D57052" w14:textId="6292424E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Informacja o dowolności lub obowiązku podania danych oraz o ewentualnych konsekwencjach niepodania danych</w:t>
      </w:r>
    </w:p>
    <w:p w14:paraId="0742BA4E" w14:textId="0AFA5B89" w:rsidR="00F3487C" w:rsidRPr="00CE7AF6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 </w:t>
      </w:r>
      <w:r w:rsidR="00E6166F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niniejszym 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zapytaniu </w:t>
      </w:r>
      <w:r w:rsidR="00E6166F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ofertowym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5F204E0" w14:textId="585B4319" w:rsidR="00F3487C" w:rsidRPr="00CE7AF6" w:rsidRDefault="00F3487C" w:rsidP="00893312">
      <w:pPr>
        <w:pStyle w:val="Nagwek3"/>
        <w:spacing w:after="120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Informacja o zautomatyzowanym podejmowaniu decyzji</w:t>
      </w:r>
    </w:p>
    <w:p w14:paraId="0E622A82" w14:textId="6A8F102E" w:rsidR="00357D2D" w:rsidRDefault="00F3487C" w:rsidP="006C35DB">
      <w:pPr>
        <w:spacing w:after="12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 zautomatyzowanym przetwarzaniu.</w:t>
      </w:r>
    </w:p>
    <w:p w14:paraId="600BAD13" w14:textId="77777777" w:rsidR="009462F1" w:rsidRPr="001A38AF" w:rsidRDefault="009462F1" w:rsidP="00866B86">
      <w:pPr>
        <w:pStyle w:val="Nagwek2"/>
        <w:ind w:left="426" w:hanging="284"/>
      </w:pPr>
      <w:r w:rsidRPr="001A38AF">
        <w:lastRenderedPageBreak/>
        <w:t>Załączniki:</w:t>
      </w:r>
    </w:p>
    <w:p w14:paraId="5EDC4D51" w14:textId="720245A2" w:rsidR="009462F1" w:rsidRPr="009462F1" w:rsidRDefault="009462F1" w:rsidP="001A38AF">
      <w:pPr>
        <w:pStyle w:val="Akapitzlist"/>
        <w:numPr>
          <w:ilvl w:val="0"/>
          <w:numId w:val="16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9462F1">
        <w:rPr>
          <w:sz w:val="24"/>
          <w:szCs w:val="24"/>
        </w:rPr>
        <w:t xml:space="preserve">Załącznik nr </w:t>
      </w:r>
      <w:r w:rsidR="001A38AF">
        <w:rPr>
          <w:sz w:val="24"/>
          <w:szCs w:val="24"/>
        </w:rPr>
        <w:t>1</w:t>
      </w:r>
      <w:r w:rsidRPr="009462F1">
        <w:rPr>
          <w:sz w:val="24"/>
          <w:szCs w:val="24"/>
        </w:rPr>
        <w:t xml:space="preserve"> </w:t>
      </w:r>
      <w:r w:rsidR="00866B86">
        <w:rPr>
          <w:sz w:val="24"/>
          <w:szCs w:val="24"/>
        </w:rPr>
        <w:t>Wykaz technologii</w:t>
      </w:r>
      <w:r w:rsidRPr="009462F1">
        <w:rPr>
          <w:sz w:val="24"/>
          <w:szCs w:val="24"/>
        </w:rPr>
        <w:t xml:space="preserve"> </w:t>
      </w:r>
    </w:p>
    <w:p w14:paraId="448EF61D" w14:textId="2B196BA1" w:rsidR="009462F1" w:rsidRPr="009462F1" w:rsidRDefault="009462F1" w:rsidP="001A38AF">
      <w:pPr>
        <w:pStyle w:val="Akapitzlist"/>
        <w:numPr>
          <w:ilvl w:val="0"/>
          <w:numId w:val="16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9462F1">
        <w:rPr>
          <w:sz w:val="24"/>
          <w:szCs w:val="24"/>
        </w:rPr>
        <w:t xml:space="preserve">Załącznik nr </w:t>
      </w:r>
      <w:r w:rsidR="001A38AF">
        <w:rPr>
          <w:sz w:val="24"/>
          <w:szCs w:val="24"/>
        </w:rPr>
        <w:t>2</w:t>
      </w:r>
      <w:r w:rsidRPr="009462F1">
        <w:rPr>
          <w:sz w:val="24"/>
          <w:szCs w:val="24"/>
        </w:rPr>
        <w:t xml:space="preserve"> </w:t>
      </w:r>
      <w:r w:rsidR="00866B86" w:rsidRPr="009462F1">
        <w:rPr>
          <w:sz w:val="24"/>
          <w:szCs w:val="24"/>
        </w:rPr>
        <w:t>Formularz ofertowy</w:t>
      </w:r>
    </w:p>
    <w:p w14:paraId="403C3009" w14:textId="26BABE8D" w:rsidR="009462F1" w:rsidRPr="00FC3F1F" w:rsidRDefault="009462F1" w:rsidP="006C35DB">
      <w:pPr>
        <w:pStyle w:val="Akapitzlist"/>
        <w:numPr>
          <w:ilvl w:val="0"/>
          <w:numId w:val="16"/>
        </w:numPr>
        <w:tabs>
          <w:tab w:val="left" w:pos="2320"/>
        </w:tabs>
        <w:spacing w:after="120"/>
        <w:ind w:left="426" w:hanging="426"/>
        <w:rPr>
          <w:sz w:val="24"/>
          <w:szCs w:val="24"/>
        </w:rPr>
      </w:pPr>
      <w:r w:rsidRPr="009462F1">
        <w:rPr>
          <w:sz w:val="24"/>
          <w:szCs w:val="24"/>
        </w:rPr>
        <w:t xml:space="preserve">Załącznik nr </w:t>
      </w:r>
      <w:r w:rsidR="001A38AF">
        <w:rPr>
          <w:sz w:val="24"/>
          <w:szCs w:val="24"/>
        </w:rPr>
        <w:t>3</w:t>
      </w:r>
      <w:r w:rsidRPr="009462F1">
        <w:rPr>
          <w:sz w:val="24"/>
          <w:szCs w:val="24"/>
        </w:rPr>
        <w:t xml:space="preserve"> </w:t>
      </w:r>
      <w:r w:rsidR="00473936">
        <w:rPr>
          <w:sz w:val="24"/>
          <w:szCs w:val="24"/>
        </w:rPr>
        <w:t>Wzór</w:t>
      </w:r>
      <w:r w:rsidRPr="009462F1">
        <w:rPr>
          <w:sz w:val="24"/>
          <w:szCs w:val="24"/>
        </w:rPr>
        <w:t xml:space="preserve"> umowy </w:t>
      </w:r>
    </w:p>
    <w:sectPr w:rsidR="009462F1" w:rsidRPr="00FC3F1F" w:rsidSect="009D5E1A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01D1" w14:textId="77777777" w:rsidR="00D20157" w:rsidRDefault="00D20157">
      <w:pPr>
        <w:spacing w:after="0" w:line="240" w:lineRule="auto"/>
      </w:pPr>
      <w:r>
        <w:separator/>
      </w:r>
    </w:p>
  </w:endnote>
  <w:endnote w:type="continuationSeparator" w:id="0">
    <w:p w14:paraId="5E51D702" w14:textId="77777777" w:rsidR="00D20157" w:rsidRDefault="00D20157">
      <w:pPr>
        <w:spacing w:after="0" w:line="240" w:lineRule="auto"/>
      </w:pPr>
      <w:r>
        <w:continuationSeparator/>
      </w:r>
    </w:p>
  </w:endnote>
  <w:endnote w:type="continuationNotice" w:id="1">
    <w:p w14:paraId="45A4082F" w14:textId="77777777" w:rsidR="00D20157" w:rsidRDefault="00D201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060653305" name="Obraz 1060653305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70464266" name="Obraz 87046426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826A" w14:textId="77777777" w:rsidR="00D20157" w:rsidRDefault="00D201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DA4BF5" w14:textId="77777777" w:rsidR="00D20157" w:rsidRDefault="00D20157">
      <w:pPr>
        <w:spacing w:after="0" w:line="240" w:lineRule="auto"/>
      </w:pPr>
      <w:r>
        <w:continuationSeparator/>
      </w:r>
    </w:p>
  </w:footnote>
  <w:footnote w:type="continuationNotice" w:id="1">
    <w:p w14:paraId="70A37604" w14:textId="77777777" w:rsidR="00D20157" w:rsidRDefault="00D201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452572648" name="Obraz 452572648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9A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9525BC"/>
    <w:multiLevelType w:val="multilevel"/>
    <w:tmpl w:val="2190FB66"/>
    <w:lvl w:ilvl="0">
      <w:start w:val="1"/>
      <w:numFmt w:val="upperRoman"/>
      <w:lvlText w:val="%1."/>
      <w:lvlJc w:val="right"/>
      <w:pPr>
        <w:ind w:left="643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cs="Times New Roman" w:hint="default"/>
        <w:b w:val="0"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46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65E6423"/>
    <w:multiLevelType w:val="hybridMultilevel"/>
    <w:tmpl w:val="C5D4F0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E62C2F"/>
    <w:multiLevelType w:val="hybridMultilevel"/>
    <w:tmpl w:val="A104983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A7A24DE"/>
    <w:multiLevelType w:val="hybridMultilevel"/>
    <w:tmpl w:val="2DFA3B9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0E2F570E"/>
    <w:multiLevelType w:val="hybridMultilevel"/>
    <w:tmpl w:val="91084B30"/>
    <w:lvl w:ilvl="0" w:tplc="04150013">
      <w:start w:val="1"/>
      <w:numFmt w:val="upperRoman"/>
      <w:lvlText w:val="%1."/>
      <w:lvlJc w:val="right"/>
      <w:pPr>
        <w:ind w:left="71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A10D7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25849"/>
    <w:multiLevelType w:val="hybridMultilevel"/>
    <w:tmpl w:val="7242AC9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7F2398"/>
    <w:multiLevelType w:val="hybridMultilevel"/>
    <w:tmpl w:val="543AA6B8"/>
    <w:lvl w:ilvl="0" w:tplc="6F0810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53F22"/>
    <w:multiLevelType w:val="hybridMultilevel"/>
    <w:tmpl w:val="899EE68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F64075E"/>
    <w:multiLevelType w:val="hybridMultilevel"/>
    <w:tmpl w:val="1FF42FE4"/>
    <w:lvl w:ilvl="0" w:tplc="ACF0E7A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20B96"/>
    <w:multiLevelType w:val="hybridMultilevel"/>
    <w:tmpl w:val="1A163FFE"/>
    <w:lvl w:ilvl="0" w:tplc="FFFFFFFF">
      <w:start w:val="1"/>
      <w:numFmt w:val="lowerLetter"/>
      <w:lvlText w:val="%1)"/>
      <w:lvlJc w:val="left"/>
      <w:pPr>
        <w:ind w:left="1152" w:hanging="360"/>
      </w:p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5B077D9"/>
    <w:multiLevelType w:val="hybridMultilevel"/>
    <w:tmpl w:val="819EF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5EC5"/>
    <w:multiLevelType w:val="hybridMultilevel"/>
    <w:tmpl w:val="D584B24E"/>
    <w:lvl w:ilvl="0" w:tplc="DE5061B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875FB"/>
    <w:multiLevelType w:val="hybridMultilevel"/>
    <w:tmpl w:val="D7928C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628C6"/>
    <w:multiLevelType w:val="hybridMultilevel"/>
    <w:tmpl w:val="809A3A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33356D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E1E1F"/>
    <w:multiLevelType w:val="hybridMultilevel"/>
    <w:tmpl w:val="2CB80A12"/>
    <w:lvl w:ilvl="0" w:tplc="0415000F">
      <w:start w:val="1"/>
      <w:numFmt w:val="decimal"/>
      <w:lvlText w:val="%1."/>
      <w:lvlJc w:val="left"/>
      <w:pPr>
        <w:ind w:left="26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2B471B"/>
    <w:multiLevelType w:val="hybridMultilevel"/>
    <w:tmpl w:val="51E2A6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371E496A"/>
    <w:multiLevelType w:val="hybridMultilevel"/>
    <w:tmpl w:val="7506D6F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3F461325"/>
    <w:multiLevelType w:val="hybridMultilevel"/>
    <w:tmpl w:val="71F2E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F1B7A"/>
    <w:multiLevelType w:val="hybridMultilevel"/>
    <w:tmpl w:val="BE4E6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B5723"/>
    <w:multiLevelType w:val="hybridMultilevel"/>
    <w:tmpl w:val="64E2AF54"/>
    <w:lvl w:ilvl="0" w:tplc="04150013">
      <w:start w:val="1"/>
      <w:numFmt w:val="upperRoman"/>
      <w:pStyle w:val="Nagwek2"/>
      <w:lvlText w:val="%1."/>
      <w:lvlJc w:val="righ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A043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CF1F19"/>
    <w:multiLevelType w:val="hybridMultilevel"/>
    <w:tmpl w:val="5E1CCF9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 w15:restartNumberingAfterBreak="0">
    <w:nsid w:val="5977707D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40DFC"/>
    <w:multiLevelType w:val="hybridMultilevel"/>
    <w:tmpl w:val="ECA05994"/>
    <w:lvl w:ilvl="0" w:tplc="0AB63C28">
      <w:start w:val="1"/>
      <w:numFmt w:val="lowerLetter"/>
      <w:lvlText w:val="%1)"/>
      <w:lvlJc w:val="left"/>
      <w:pPr>
        <w:ind w:left="1152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>
      <w:start w:val="1"/>
      <w:numFmt w:val="lowerRoman"/>
      <w:lvlText w:val="%3."/>
      <w:lvlJc w:val="right"/>
      <w:pPr>
        <w:ind w:left="2592" w:hanging="180"/>
      </w:pPr>
    </w:lvl>
    <w:lvl w:ilvl="3" w:tplc="FFFFFFFF">
      <w:start w:val="1"/>
      <w:numFmt w:val="decimal"/>
      <w:lvlText w:val="%4."/>
      <w:lvlJc w:val="left"/>
      <w:pPr>
        <w:ind w:left="3312" w:hanging="360"/>
      </w:pPr>
    </w:lvl>
    <w:lvl w:ilvl="4" w:tplc="FFFFFFFF">
      <w:start w:val="1"/>
      <w:numFmt w:val="lowerLetter"/>
      <w:lvlText w:val="%5."/>
      <w:lvlJc w:val="left"/>
      <w:pPr>
        <w:ind w:left="4032" w:hanging="360"/>
      </w:pPr>
    </w:lvl>
    <w:lvl w:ilvl="5" w:tplc="FFFFFFFF">
      <w:start w:val="1"/>
      <w:numFmt w:val="lowerRoman"/>
      <w:lvlText w:val="%6."/>
      <w:lvlJc w:val="right"/>
      <w:pPr>
        <w:ind w:left="4752" w:hanging="180"/>
      </w:pPr>
    </w:lvl>
    <w:lvl w:ilvl="6" w:tplc="FFFFFFFF">
      <w:start w:val="1"/>
      <w:numFmt w:val="decimal"/>
      <w:lvlText w:val="%7."/>
      <w:lvlJc w:val="left"/>
      <w:pPr>
        <w:ind w:left="5472" w:hanging="360"/>
      </w:pPr>
    </w:lvl>
    <w:lvl w:ilvl="7" w:tplc="FFFFFFFF">
      <w:start w:val="1"/>
      <w:numFmt w:val="lowerLetter"/>
      <w:lvlText w:val="%8."/>
      <w:lvlJc w:val="left"/>
      <w:pPr>
        <w:ind w:left="6192" w:hanging="360"/>
      </w:pPr>
    </w:lvl>
    <w:lvl w:ilvl="8" w:tplc="FFFFFFFF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6A550C1D"/>
    <w:multiLevelType w:val="hybridMultilevel"/>
    <w:tmpl w:val="D53C1808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F5592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00AB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53E72"/>
    <w:multiLevelType w:val="hybridMultilevel"/>
    <w:tmpl w:val="CD421A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4722290">
    <w:abstractNumId w:val="23"/>
  </w:num>
  <w:num w:numId="2" w16cid:durableId="1315179439">
    <w:abstractNumId w:val="9"/>
  </w:num>
  <w:num w:numId="3" w16cid:durableId="584190646">
    <w:abstractNumId w:val="1"/>
  </w:num>
  <w:num w:numId="4" w16cid:durableId="760295186">
    <w:abstractNumId w:val="8"/>
  </w:num>
  <w:num w:numId="5" w16cid:durableId="744958372">
    <w:abstractNumId w:val="6"/>
  </w:num>
  <w:num w:numId="6" w16cid:durableId="146820971">
    <w:abstractNumId w:val="17"/>
  </w:num>
  <w:num w:numId="7" w16cid:durableId="2064254906">
    <w:abstractNumId w:val="29"/>
  </w:num>
  <w:num w:numId="8" w16cid:durableId="1441294912">
    <w:abstractNumId w:val="0"/>
  </w:num>
  <w:num w:numId="9" w16cid:durableId="1250191648">
    <w:abstractNumId w:val="26"/>
  </w:num>
  <w:num w:numId="10" w16cid:durableId="1680230412">
    <w:abstractNumId w:val="24"/>
  </w:num>
  <w:num w:numId="11" w16cid:durableId="1272981255">
    <w:abstractNumId w:val="28"/>
  </w:num>
  <w:num w:numId="12" w16cid:durableId="302200146">
    <w:abstractNumId w:val="13"/>
  </w:num>
  <w:num w:numId="13" w16cid:durableId="2098358887">
    <w:abstractNumId w:val="11"/>
  </w:num>
  <w:num w:numId="14" w16cid:durableId="14409499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514923">
    <w:abstractNumId w:val="21"/>
  </w:num>
  <w:num w:numId="16" w16cid:durableId="1221284285">
    <w:abstractNumId w:val="18"/>
  </w:num>
  <w:num w:numId="17" w16cid:durableId="258299677">
    <w:abstractNumId w:val="30"/>
  </w:num>
  <w:num w:numId="18" w16cid:durableId="481433447">
    <w:abstractNumId w:val="31"/>
  </w:num>
  <w:num w:numId="19" w16cid:durableId="1792547916">
    <w:abstractNumId w:val="5"/>
  </w:num>
  <w:num w:numId="20" w16cid:durableId="1351684175">
    <w:abstractNumId w:val="23"/>
  </w:num>
  <w:num w:numId="21" w16cid:durableId="1247299114">
    <w:abstractNumId w:val="2"/>
  </w:num>
  <w:num w:numId="22" w16cid:durableId="2073651055">
    <w:abstractNumId w:val="23"/>
  </w:num>
  <w:num w:numId="23" w16cid:durableId="13197047">
    <w:abstractNumId w:val="15"/>
  </w:num>
  <w:num w:numId="24" w16cid:durableId="943727170">
    <w:abstractNumId w:val="23"/>
  </w:num>
  <w:num w:numId="25" w16cid:durableId="1023554699">
    <w:abstractNumId w:val="12"/>
  </w:num>
  <w:num w:numId="26" w16cid:durableId="1848784470">
    <w:abstractNumId w:val="23"/>
  </w:num>
  <w:num w:numId="27" w16cid:durableId="1608610995">
    <w:abstractNumId w:val="23"/>
  </w:num>
  <w:num w:numId="28" w16cid:durableId="225839898">
    <w:abstractNumId w:val="23"/>
  </w:num>
  <w:num w:numId="29" w16cid:durableId="49765575">
    <w:abstractNumId w:val="23"/>
  </w:num>
  <w:num w:numId="30" w16cid:durableId="881407471">
    <w:abstractNumId w:val="23"/>
  </w:num>
  <w:num w:numId="31" w16cid:durableId="269901416">
    <w:abstractNumId w:val="23"/>
  </w:num>
  <w:num w:numId="32" w16cid:durableId="1576549092">
    <w:abstractNumId w:val="23"/>
  </w:num>
  <w:num w:numId="33" w16cid:durableId="795103668">
    <w:abstractNumId w:val="23"/>
  </w:num>
  <w:num w:numId="34" w16cid:durableId="1585065202">
    <w:abstractNumId w:val="23"/>
  </w:num>
  <w:num w:numId="35" w16cid:durableId="233509295">
    <w:abstractNumId w:val="23"/>
  </w:num>
  <w:num w:numId="36" w16cid:durableId="37096906">
    <w:abstractNumId w:val="23"/>
  </w:num>
  <w:num w:numId="37" w16cid:durableId="187448511">
    <w:abstractNumId w:val="10"/>
  </w:num>
  <w:num w:numId="38" w16cid:durableId="1559433839">
    <w:abstractNumId w:val="25"/>
  </w:num>
  <w:num w:numId="39" w16cid:durableId="1207060866">
    <w:abstractNumId w:val="20"/>
  </w:num>
  <w:num w:numId="40" w16cid:durableId="747967795">
    <w:abstractNumId w:val="4"/>
  </w:num>
  <w:num w:numId="41" w16cid:durableId="1216702437">
    <w:abstractNumId w:val="3"/>
  </w:num>
  <w:num w:numId="42" w16cid:durableId="1999071480">
    <w:abstractNumId w:val="16"/>
  </w:num>
  <w:num w:numId="43" w16cid:durableId="1481456374">
    <w:abstractNumId w:val="19"/>
  </w:num>
  <w:num w:numId="44" w16cid:durableId="1949387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673475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5776848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1FB"/>
    <w:rsid w:val="0000080C"/>
    <w:rsid w:val="00000A7A"/>
    <w:rsid w:val="00001A96"/>
    <w:rsid w:val="000041B0"/>
    <w:rsid w:val="00004BD3"/>
    <w:rsid w:val="00006831"/>
    <w:rsid w:val="00012B67"/>
    <w:rsid w:val="00014133"/>
    <w:rsid w:val="000150D3"/>
    <w:rsid w:val="0001589E"/>
    <w:rsid w:val="000200F7"/>
    <w:rsid w:val="000212B5"/>
    <w:rsid w:val="00021F71"/>
    <w:rsid w:val="00025223"/>
    <w:rsid w:val="0002589E"/>
    <w:rsid w:val="00025F93"/>
    <w:rsid w:val="000268A8"/>
    <w:rsid w:val="00027BF1"/>
    <w:rsid w:val="0003174D"/>
    <w:rsid w:val="00034ABD"/>
    <w:rsid w:val="00034EC7"/>
    <w:rsid w:val="0003552F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0383"/>
    <w:rsid w:val="00072453"/>
    <w:rsid w:val="000742B7"/>
    <w:rsid w:val="0007493B"/>
    <w:rsid w:val="00077316"/>
    <w:rsid w:val="0008069A"/>
    <w:rsid w:val="000817B9"/>
    <w:rsid w:val="00081C8C"/>
    <w:rsid w:val="00081CB5"/>
    <w:rsid w:val="00082DA4"/>
    <w:rsid w:val="00085044"/>
    <w:rsid w:val="00085287"/>
    <w:rsid w:val="0008750F"/>
    <w:rsid w:val="000909DC"/>
    <w:rsid w:val="00090BF0"/>
    <w:rsid w:val="00091352"/>
    <w:rsid w:val="00091E7E"/>
    <w:rsid w:val="00092842"/>
    <w:rsid w:val="00092B80"/>
    <w:rsid w:val="000931C4"/>
    <w:rsid w:val="00096E5F"/>
    <w:rsid w:val="000A1723"/>
    <w:rsid w:val="000A34FB"/>
    <w:rsid w:val="000B09F4"/>
    <w:rsid w:val="000B6375"/>
    <w:rsid w:val="000B725D"/>
    <w:rsid w:val="000C56B9"/>
    <w:rsid w:val="000D2882"/>
    <w:rsid w:val="000D4DB0"/>
    <w:rsid w:val="000D5AF5"/>
    <w:rsid w:val="000D70A8"/>
    <w:rsid w:val="000D7C2F"/>
    <w:rsid w:val="000E5AE8"/>
    <w:rsid w:val="000E6F89"/>
    <w:rsid w:val="000E7B5C"/>
    <w:rsid w:val="000F162A"/>
    <w:rsid w:val="000F44B1"/>
    <w:rsid w:val="000F44E1"/>
    <w:rsid w:val="001001BF"/>
    <w:rsid w:val="00105EEC"/>
    <w:rsid w:val="00106306"/>
    <w:rsid w:val="00106433"/>
    <w:rsid w:val="001069F3"/>
    <w:rsid w:val="001131E9"/>
    <w:rsid w:val="00113C28"/>
    <w:rsid w:val="00115FEE"/>
    <w:rsid w:val="001200AF"/>
    <w:rsid w:val="0012226B"/>
    <w:rsid w:val="00122643"/>
    <w:rsid w:val="0012363A"/>
    <w:rsid w:val="00125827"/>
    <w:rsid w:val="00126BA9"/>
    <w:rsid w:val="00127F69"/>
    <w:rsid w:val="001315B0"/>
    <w:rsid w:val="00132623"/>
    <w:rsid w:val="00136936"/>
    <w:rsid w:val="0014029D"/>
    <w:rsid w:val="00142ED3"/>
    <w:rsid w:val="00143003"/>
    <w:rsid w:val="00143543"/>
    <w:rsid w:val="00143AE3"/>
    <w:rsid w:val="001540C6"/>
    <w:rsid w:val="00154E1A"/>
    <w:rsid w:val="00155CE3"/>
    <w:rsid w:val="00160F0E"/>
    <w:rsid w:val="00161E95"/>
    <w:rsid w:val="00163201"/>
    <w:rsid w:val="00165410"/>
    <w:rsid w:val="0017399F"/>
    <w:rsid w:val="00173B86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87667"/>
    <w:rsid w:val="00192357"/>
    <w:rsid w:val="0019354E"/>
    <w:rsid w:val="00193E6A"/>
    <w:rsid w:val="00196624"/>
    <w:rsid w:val="001A1935"/>
    <w:rsid w:val="001A1C01"/>
    <w:rsid w:val="001A38AF"/>
    <w:rsid w:val="001A7673"/>
    <w:rsid w:val="001A7888"/>
    <w:rsid w:val="001A7E1B"/>
    <w:rsid w:val="001B2C93"/>
    <w:rsid w:val="001B31A7"/>
    <w:rsid w:val="001B7A9D"/>
    <w:rsid w:val="001B7EB3"/>
    <w:rsid w:val="001C1457"/>
    <w:rsid w:val="001C3794"/>
    <w:rsid w:val="001C72E4"/>
    <w:rsid w:val="001D02B1"/>
    <w:rsid w:val="001D2C0F"/>
    <w:rsid w:val="001E18EE"/>
    <w:rsid w:val="001E246D"/>
    <w:rsid w:val="001E3BAA"/>
    <w:rsid w:val="001E72EC"/>
    <w:rsid w:val="001F0283"/>
    <w:rsid w:val="001F2149"/>
    <w:rsid w:val="001F3080"/>
    <w:rsid w:val="001F5701"/>
    <w:rsid w:val="001F592C"/>
    <w:rsid w:val="001F70C8"/>
    <w:rsid w:val="00201A59"/>
    <w:rsid w:val="00202ADF"/>
    <w:rsid w:val="00205CC8"/>
    <w:rsid w:val="00210D1F"/>
    <w:rsid w:val="00212D81"/>
    <w:rsid w:val="002146BB"/>
    <w:rsid w:val="00216291"/>
    <w:rsid w:val="002211A7"/>
    <w:rsid w:val="002237F2"/>
    <w:rsid w:val="0022453D"/>
    <w:rsid w:val="00236F61"/>
    <w:rsid w:val="00237B13"/>
    <w:rsid w:val="00240EF4"/>
    <w:rsid w:val="002423B6"/>
    <w:rsid w:val="00242A05"/>
    <w:rsid w:val="00245183"/>
    <w:rsid w:val="0024525D"/>
    <w:rsid w:val="00245359"/>
    <w:rsid w:val="00245B1A"/>
    <w:rsid w:val="00245B2E"/>
    <w:rsid w:val="002461E7"/>
    <w:rsid w:val="00250799"/>
    <w:rsid w:val="00250CF3"/>
    <w:rsid w:val="00252EAA"/>
    <w:rsid w:val="00253286"/>
    <w:rsid w:val="002533AC"/>
    <w:rsid w:val="00253D7E"/>
    <w:rsid w:val="002572B1"/>
    <w:rsid w:val="00261FB9"/>
    <w:rsid w:val="00263BA0"/>
    <w:rsid w:val="00264635"/>
    <w:rsid w:val="00265742"/>
    <w:rsid w:val="00271C99"/>
    <w:rsid w:val="0027348A"/>
    <w:rsid w:val="002735D4"/>
    <w:rsid w:val="002773FA"/>
    <w:rsid w:val="00281E16"/>
    <w:rsid w:val="0028252E"/>
    <w:rsid w:val="00283CDE"/>
    <w:rsid w:val="00291590"/>
    <w:rsid w:val="00294954"/>
    <w:rsid w:val="00294DCF"/>
    <w:rsid w:val="00296981"/>
    <w:rsid w:val="00297BE4"/>
    <w:rsid w:val="002A3319"/>
    <w:rsid w:val="002A7B45"/>
    <w:rsid w:val="002B0BCA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D5A6B"/>
    <w:rsid w:val="002E218A"/>
    <w:rsid w:val="002E4972"/>
    <w:rsid w:val="002E5C64"/>
    <w:rsid w:val="002E5CA2"/>
    <w:rsid w:val="002E5CF4"/>
    <w:rsid w:val="002E64F3"/>
    <w:rsid w:val="002F25AC"/>
    <w:rsid w:val="002F68DE"/>
    <w:rsid w:val="002F79E8"/>
    <w:rsid w:val="00300675"/>
    <w:rsid w:val="00301DF2"/>
    <w:rsid w:val="00302142"/>
    <w:rsid w:val="00302571"/>
    <w:rsid w:val="003048D6"/>
    <w:rsid w:val="003049BD"/>
    <w:rsid w:val="003049EF"/>
    <w:rsid w:val="00305CDF"/>
    <w:rsid w:val="00307DEC"/>
    <w:rsid w:val="00310A68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55B7"/>
    <w:rsid w:val="00335CB4"/>
    <w:rsid w:val="0033780B"/>
    <w:rsid w:val="00342BCC"/>
    <w:rsid w:val="0034321A"/>
    <w:rsid w:val="003436A6"/>
    <w:rsid w:val="00346572"/>
    <w:rsid w:val="00351618"/>
    <w:rsid w:val="00357D2D"/>
    <w:rsid w:val="00360B85"/>
    <w:rsid w:val="00361670"/>
    <w:rsid w:val="003619D2"/>
    <w:rsid w:val="00365564"/>
    <w:rsid w:val="00366E2D"/>
    <w:rsid w:val="00367301"/>
    <w:rsid w:val="00371E9F"/>
    <w:rsid w:val="003720C3"/>
    <w:rsid w:val="003762FC"/>
    <w:rsid w:val="0037644D"/>
    <w:rsid w:val="00381169"/>
    <w:rsid w:val="00387E8F"/>
    <w:rsid w:val="00391397"/>
    <w:rsid w:val="00392015"/>
    <w:rsid w:val="00393617"/>
    <w:rsid w:val="00393767"/>
    <w:rsid w:val="003A12ED"/>
    <w:rsid w:val="003A14AC"/>
    <w:rsid w:val="003A1C0A"/>
    <w:rsid w:val="003A2938"/>
    <w:rsid w:val="003A3732"/>
    <w:rsid w:val="003A45F4"/>
    <w:rsid w:val="003A67D6"/>
    <w:rsid w:val="003B3FFC"/>
    <w:rsid w:val="003B48DF"/>
    <w:rsid w:val="003B68DC"/>
    <w:rsid w:val="003C080A"/>
    <w:rsid w:val="003C2F01"/>
    <w:rsid w:val="003C441B"/>
    <w:rsid w:val="003C4F9D"/>
    <w:rsid w:val="003C5F68"/>
    <w:rsid w:val="003D436F"/>
    <w:rsid w:val="003D6FA9"/>
    <w:rsid w:val="003E3DA7"/>
    <w:rsid w:val="003E407F"/>
    <w:rsid w:val="003E5F06"/>
    <w:rsid w:val="003E6A1B"/>
    <w:rsid w:val="003F3EDA"/>
    <w:rsid w:val="003F62EE"/>
    <w:rsid w:val="003F72BD"/>
    <w:rsid w:val="004011B4"/>
    <w:rsid w:val="004011C5"/>
    <w:rsid w:val="00402555"/>
    <w:rsid w:val="0040375D"/>
    <w:rsid w:val="004037EA"/>
    <w:rsid w:val="00404413"/>
    <w:rsid w:val="00404EFE"/>
    <w:rsid w:val="00407650"/>
    <w:rsid w:val="004102E2"/>
    <w:rsid w:val="00410467"/>
    <w:rsid w:val="0041072C"/>
    <w:rsid w:val="00410908"/>
    <w:rsid w:val="0041169B"/>
    <w:rsid w:val="004124EF"/>
    <w:rsid w:val="00412F59"/>
    <w:rsid w:val="004148E9"/>
    <w:rsid w:val="00417FC9"/>
    <w:rsid w:val="00421953"/>
    <w:rsid w:val="00423D74"/>
    <w:rsid w:val="004268C8"/>
    <w:rsid w:val="0043376A"/>
    <w:rsid w:val="004340CD"/>
    <w:rsid w:val="00434466"/>
    <w:rsid w:val="004350C7"/>
    <w:rsid w:val="00437787"/>
    <w:rsid w:val="004429F1"/>
    <w:rsid w:val="00442DCB"/>
    <w:rsid w:val="00444CE2"/>
    <w:rsid w:val="00445484"/>
    <w:rsid w:val="00453231"/>
    <w:rsid w:val="00454EFE"/>
    <w:rsid w:val="00460625"/>
    <w:rsid w:val="00466940"/>
    <w:rsid w:val="00467617"/>
    <w:rsid w:val="00472325"/>
    <w:rsid w:val="00472A2E"/>
    <w:rsid w:val="00473936"/>
    <w:rsid w:val="00476125"/>
    <w:rsid w:val="00476BCB"/>
    <w:rsid w:val="00477589"/>
    <w:rsid w:val="004813F6"/>
    <w:rsid w:val="0048201F"/>
    <w:rsid w:val="0048422E"/>
    <w:rsid w:val="00487479"/>
    <w:rsid w:val="004940B0"/>
    <w:rsid w:val="00494711"/>
    <w:rsid w:val="004972CB"/>
    <w:rsid w:val="004A0277"/>
    <w:rsid w:val="004A230F"/>
    <w:rsid w:val="004A367D"/>
    <w:rsid w:val="004A409F"/>
    <w:rsid w:val="004A4F73"/>
    <w:rsid w:val="004B27C0"/>
    <w:rsid w:val="004B3D7D"/>
    <w:rsid w:val="004B4DB1"/>
    <w:rsid w:val="004B5048"/>
    <w:rsid w:val="004C31B9"/>
    <w:rsid w:val="004C5AFF"/>
    <w:rsid w:val="004D3B9C"/>
    <w:rsid w:val="004D67BA"/>
    <w:rsid w:val="004D7681"/>
    <w:rsid w:val="004D7961"/>
    <w:rsid w:val="004E3D2F"/>
    <w:rsid w:val="004E50C3"/>
    <w:rsid w:val="004E6156"/>
    <w:rsid w:val="004E7D64"/>
    <w:rsid w:val="004E7E28"/>
    <w:rsid w:val="004E7E65"/>
    <w:rsid w:val="004F7531"/>
    <w:rsid w:val="00502415"/>
    <w:rsid w:val="00504067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247AD"/>
    <w:rsid w:val="00531537"/>
    <w:rsid w:val="0054260E"/>
    <w:rsid w:val="00542D99"/>
    <w:rsid w:val="00546DEE"/>
    <w:rsid w:val="00551507"/>
    <w:rsid w:val="00551B75"/>
    <w:rsid w:val="00552C51"/>
    <w:rsid w:val="00554AFE"/>
    <w:rsid w:val="005550D5"/>
    <w:rsid w:val="00556525"/>
    <w:rsid w:val="0056194D"/>
    <w:rsid w:val="0056436D"/>
    <w:rsid w:val="005646B2"/>
    <w:rsid w:val="00565024"/>
    <w:rsid w:val="00567974"/>
    <w:rsid w:val="005709C6"/>
    <w:rsid w:val="0057137D"/>
    <w:rsid w:val="00574A9E"/>
    <w:rsid w:val="0058426D"/>
    <w:rsid w:val="00584562"/>
    <w:rsid w:val="005849CD"/>
    <w:rsid w:val="005852A2"/>
    <w:rsid w:val="0058678F"/>
    <w:rsid w:val="00587E6A"/>
    <w:rsid w:val="005909E5"/>
    <w:rsid w:val="00590E6A"/>
    <w:rsid w:val="005911CC"/>
    <w:rsid w:val="00595F10"/>
    <w:rsid w:val="005A038B"/>
    <w:rsid w:val="005A33C4"/>
    <w:rsid w:val="005B0314"/>
    <w:rsid w:val="005B17B6"/>
    <w:rsid w:val="005B4445"/>
    <w:rsid w:val="005B5BEF"/>
    <w:rsid w:val="005C0528"/>
    <w:rsid w:val="005C1CAD"/>
    <w:rsid w:val="005C1E3F"/>
    <w:rsid w:val="005C488C"/>
    <w:rsid w:val="005D1099"/>
    <w:rsid w:val="005D6C8E"/>
    <w:rsid w:val="005E0751"/>
    <w:rsid w:val="005E09D8"/>
    <w:rsid w:val="005E0F4C"/>
    <w:rsid w:val="005E1A15"/>
    <w:rsid w:val="005E750F"/>
    <w:rsid w:val="005F087B"/>
    <w:rsid w:val="005F164B"/>
    <w:rsid w:val="005F1D5D"/>
    <w:rsid w:val="005F2921"/>
    <w:rsid w:val="005F29C4"/>
    <w:rsid w:val="005F5059"/>
    <w:rsid w:val="005F51B2"/>
    <w:rsid w:val="00601916"/>
    <w:rsid w:val="0060242C"/>
    <w:rsid w:val="00602681"/>
    <w:rsid w:val="0060270B"/>
    <w:rsid w:val="006029C9"/>
    <w:rsid w:val="00603764"/>
    <w:rsid w:val="00603DDC"/>
    <w:rsid w:val="006065A3"/>
    <w:rsid w:val="00606710"/>
    <w:rsid w:val="00610BC2"/>
    <w:rsid w:val="0061560D"/>
    <w:rsid w:val="006207C6"/>
    <w:rsid w:val="00621DF5"/>
    <w:rsid w:val="00622B9A"/>
    <w:rsid w:val="00622F7D"/>
    <w:rsid w:val="006254E0"/>
    <w:rsid w:val="0062731B"/>
    <w:rsid w:val="00633FB3"/>
    <w:rsid w:val="00642350"/>
    <w:rsid w:val="00644574"/>
    <w:rsid w:val="00644603"/>
    <w:rsid w:val="0064484D"/>
    <w:rsid w:val="00645141"/>
    <w:rsid w:val="00645BEE"/>
    <w:rsid w:val="006475ED"/>
    <w:rsid w:val="00654867"/>
    <w:rsid w:val="00655FFF"/>
    <w:rsid w:val="00656C36"/>
    <w:rsid w:val="00661C9C"/>
    <w:rsid w:val="006621ED"/>
    <w:rsid w:val="00662205"/>
    <w:rsid w:val="00662351"/>
    <w:rsid w:val="00665DD4"/>
    <w:rsid w:val="00673657"/>
    <w:rsid w:val="00675FF2"/>
    <w:rsid w:val="006761DA"/>
    <w:rsid w:val="006771E9"/>
    <w:rsid w:val="00680D61"/>
    <w:rsid w:val="00684DF0"/>
    <w:rsid w:val="00691539"/>
    <w:rsid w:val="006956D9"/>
    <w:rsid w:val="006A0797"/>
    <w:rsid w:val="006A2379"/>
    <w:rsid w:val="006A310D"/>
    <w:rsid w:val="006A717D"/>
    <w:rsid w:val="006A78E4"/>
    <w:rsid w:val="006A7927"/>
    <w:rsid w:val="006B178B"/>
    <w:rsid w:val="006B3880"/>
    <w:rsid w:val="006B43A5"/>
    <w:rsid w:val="006B6820"/>
    <w:rsid w:val="006B6AAC"/>
    <w:rsid w:val="006C35DB"/>
    <w:rsid w:val="006C51CA"/>
    <w:rsid w:val="006C5BA8"/>
    <w:rsid w:val="006D672D"/>
    <w:rsid w:val="006D72EC"/>
    <w:rsid w:val="006E41D3"/>
    <w:rsid w:val="006E44E0"/>
    <w:rsid w:val="006E60D7"/>
    <w:rsid w:val="006E6136"/>
    <w:rsid w:val="006E6465"/>
    <w:rsid w:val="006E6583"/>
    <w:rsid w:val="006E7E46"/>
    <w:rsid w:val="006F17FA"/>
    <w:rsid w:val="006F3289"/>
    <w:rsid w:val="006F5B2F"/>
    <w:rsid w:val="006F6E8D"/>
    <w:rsid w:val="0070142F"/>
    <w:rsid w:val="0070188C"/>
    <w:rsid w:val="00704130"/>
    <w:rsid w:val="0070495C"/>
    <w:rsid w:val="00706BD4"/>
    <w:rsid w:val="00711818"/>
    <w:rsid w:val="00711C79"/>
    <w:rsid w:val="00713C4E"/>
    <w:rsid w:val="00714617"/>
    <w:rsid w:val="007179F1"/>
    <w:rsid w:val="0072381D"/>
    <w:rsid w:val="0072418D"/>
    <w:rsid w:val="00731CB2"/>
    <w:rsid w:val="00742AAC"/>
    <w:rsid w:val="00742ADD"/>
    <w:rsid w:val="007431FB"/>
    <w:rsid w:val="007506C2"/>
    <w:rsid w:val="007509E4"/>
    <w:rsid w:val="00750EDC"/>
    <w:rsid w:val="0075282D"/>
    <w:rsid w:val="0075542A"/>
    <w:rsid w:val="00760479"/>
    <w:rsid w:val="00760BE9"/>
    <w:rsid w:val="007613C7"/>
    <w:rsid w:val="00763513"/>
    <w:rsid w:val="007657E5"/>
    <w:rsid w:val="00775841"/>
    <w:rsid w:val="007800F2"/>
    <w:rsid w:val="007843EC"/>
    <w:rsid w:val="00785A7A"/>
    <w:rsid w:val="007876ED"/>
    <w:rsid w:val="0079076F"/>
    <w:rsid w:val="007910EF"/>
    <w:rsid w:val="00791424"/>
    <w:rsid w:val="00793211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1A9B"/>
    <w:rsid w:val="007E2C1D"/>
    <w:rsid w:val="007E3988"/>
    <w:rsid w:val="007F15BA"/>
    <w:rsid w:val="007F17F3"/>
    <w:rsid w:val="007F5B3B"/>
    <w:rsid w:val="007F64EC"/>
    <w:rsid w:val="0080060F"/>
    <w:rsid w:val="00806E79"/>
    <w:rsid w:val="00807542"/>
    <w:rsid w:val="0081558C"/>
    <w:rsid w:val="00817379"/>
    <w:rsid w:val="008202B0"/>
    <w:rsid w:val="008228BF"/>
    <w:rsid w:val="00825AE5"/>
    <w:rsid w:val="008324F7"/>
    <w:rsid w:val="008342F6"/>
    <w:rsid w:val="008357CE"/>
    <w:rsid w:val="00836362"/>
    <w:rsid w:val="008370C1"/>
    <w:rsid w:val="00842C31"/>
    <w:rsid w:val="00843E08"/>
    <w:rsid w:val="008454C5"/>
    <w:rsid w:val="00850167"/>
    <w:rsid w:val="00851B96"/>
    <w:rsid w:val="00853766"/>
    <w:rsid w:val="0085670C"/>
    <w:rsid w:val="00856C0A"/>
    <w:rsid w:val="008570FF"/>
    <w:rsid w:val="008601BD"/>
    <w:rsid w:val="00860D72"/>
    <w:rsid w:val="0086244F"/>
    <w:rsid w:val="008628E6"/>
    <w:rsid w:val="0086413C"/>
    <w:rsid w:val="00866193"/>
    <w:rsid w:val="008669CC"/>
    <w:rsid w:val="00866B86"/>
    <w:rsid w:val="00870AE4"/>
    <w:rsid w:val="00872335"/>
    <w:rsid w:val="00874FD7"/>
    <w:rsid w:val="008770D8"/>
    <w:rsid w:val="00881896"/>
    <w:rsid w:val="008823E0"/>
    <w:rsid w:val="00885A5E"/>
    <w:rsid w:val="00890A76"/>
    <w:rsid w:val="00892CCC"/>
    <w:rsid w:val="00893312"/>
    <w:rsid w:val="0089346E"/>
    <w:rsid w:val="0089429A"/>
    <w:rsid w:val="00894D9E"/>
    <w:rsid w:val="008A20E5"/>
    <w:rsid w:val="008A23D6"/>
    <w:rsid w:val="008A5EAF"/>
    <w:rsid w:val="008A64F7"/>
    <w:rsid w:val="008A6A4B"/>
    <w:rsid w:val="008B16AA"/>
    <w:rsid w:val="008B2B09"/>
    <w:rsid w:val="008B4E5F"/>
    <w:rsid w:val="008B6B64"/>
    <w:rsid w:val="008B7E96"/>
    <w:rsid w:val="008C0290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D5880"/>
    <w:rsid w:val="008D5F7C"/>
    <w:rsid w:val="008F073D"/>
    <w:rsid w:val="008F09E6"/>
    <w:rsid w:val="008F3E0A"/>
    <w:rsid w:val="008F74F4"/>
    <w:rsid w:val="00905135"/>
    <w:rsid w:val="009051E0"/>
    <w:rsid w:val="00906874"/>
    <w:rsid w:val="00912A8A"/>
    <w:rsid w:val="00920866"/>
    <w:rsid w:val="00922DF5"/>
    <w:rsid w:val="0092417A"/>
    <w:rsid w:val="0092652F"/>
    <w:rsid w:val="009269D2"/>
    <w:rsid w:val="00926F60"/>
    <w:rsid w:val="009273FF"/>
    <w:rsid w:val="00931152"/>
    <w:rsid w:val="009324C2"/>
    <w:rsid w:val="0093321E"/>
    <w:rsid w:val="00934D4E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2F1"/>
    <w:rsid w:val="00946765"/>
    <w:rsid w:val="00952451"/>
    <w:rsid w:val="00952D4B"/>
    <w:rsid w:val="0095488C"/>
    <w:rsid w:val="00962273"/>
    <w:rsid w:val="009632D7"/>
    <w:rsid w:val="0096518D"/>
    <w:rsid w:val="009659AE"/>
    <w:rsid w:val="009729D3"/>
    <w:rsid w:val="00973FF8"/>
    <w:rsid w:val="0097428C"/>
    <w:rsid w:val="00974A92"/>
    <w:rsid w:val="009824F1"/>
    <w:rsid w:val="00985B6E"/>
    <w:rsid w:val="00987875"/>
    <w:rsid w:val="0099000D"/>
    <w:rsid w:val="009902F9"/>
    <w:rsid w:val="00990AC8"/>
    <w:rsid w:val="00996615"/>
    <w:rsid w:val="009A2FE8"/>
    <w:rsid w:val="009A55C2"/>
    <w:rsid w:val="009A7AF5"/>
    <w:rsid w:val="009B030B"/>
    <w:rsid w:val="009B40AA"/>
    <w:rsid w:val="009B60BC"/>
    <w:rsid w:val="009B790B"/>
    <w:rsid w:val="009C1985"/>
    <w:rsid w:val="009C3160"/>
    <w:rsid w:val="009C638C"/>
    <w:rsid w:val="009D0ED7"/>
    <w:rsid w:val="009D184A"/>
    <w:rsid w:val="009D3B6E"/>
    <w:rsid w:val="009D5E1A"/>
    <w:rsid w:val="009E0F97"/>
    <w:rsid w:val="009E3A01"/>
    <w:rsid w:val="009E3F49"/>
    <w:rsid w:val="009E5001"/>
    <w:rsid w:val="009E7998"/>
    <w:rsid w:val="009F1AA6"/>
    <w:rsid w:val="009F4437"/>
    <w:rsid w:val="009F60AB"/>
    <w:rsid w:val="009F6676"/>
    <w:rsid w:val="009F7E0B"/>
    <w:rsid w:val="00A020E3"/>
    <w:rsid w:val="00A069C1"/>
    <w:rsid w:val="00A06C6E"/>
    <w:rsid w:val="00A11087"/>
    <w:rsid w:val="00A206AB"/>
    <w:rsid w:val="00A23326"/>
    <w:rsid w:val="00A2335E"/>
    <w:rsid w:val="00A24328"/>
    <w:rsid w:val="00A26AE4"/>
    <w:rsid w:val="00A340FB"/>
    <w:rsid w:val="00A35BB8"/>
    <w:rsid w:val="00A36151"/>
    <w:rsid w:val="00A3626D"/>
    <w:rsid w:val="00A375F8"/>
    <w:rsid w:val="00A4128C"/>
    <w:rsid w:val="00A4265E"/>
    <w:rsid w:val="00A45B62"/>
    <w:rsid w:val="00A4764E"/>
    <w:rsid w:val="00A47C56"/>
    <w:rsid w:val="00A504B8"/>
    <w:rsid w:val="00A57667"/>
    <w:rsid w:val="00A622D9"/>
    <w:rsid w:val="00A62B61"/>
    <w:rsid w:val="00A67703"/>
    <w:rsid w:val="00A716FD"/>
    <w:rsid w:val="00A74BB4"/>
    <w:rsid w:val="00A769FD"/>
    <w:rsid w:val="00A84BBA"/>
    <w:rsid w:val="00A92736"/>
    <w:rsid w:val="00A94D81"/>
    <w:rsid w:val="00A94FFB"/>
    <w:rsid w:val="00A9661D"/>
    <w:rsid w:val="00AA1C80"/>
    <w:rsid w:val="00AA3211"/>
    <w:rsid w:val="00AA3E15"/>
    <w:rsid w:val="00AB0CB0"/>
    <w:rsid w:val="00AB1A36"/>
    <w:rsid w:val="00AB47B2"/>
    <w:rsid w:val="00AB4ACB"/>
    <w:rsid w:val="00AB62EF"/>
    <w:rsid w:val="00AC0724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B01672"/>
    <w:rsid w:val="00B01DCD"/>
    <w:rsid w:val="00B028E9"/>
    <w:rsid w:val="00B03520"/>
    <w:rsid w:val="00B04DF2"/>
    <w:rsid w:val="00B06843"/>
    <w:rsid w:val="00B11045"/>
    <w:rsid w:val="00B14424"/>
    <w:rsid w:val="00B151C2"/>
    <w:rsid w:val="00B23640"/>
    <w:rsid w:val="00B26EB7"/>
    <w:rsid w:val="00B26F75"/>
    <w:rsid w:val="00B3002B"/>
    <w:rsid w:val="00B3067D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4977"/>
    <w:rsid w:val="00B559C4"/>
    <w:rsid w:val="00B56E0A"/>
    <w:rsid w:val="00B615A5"/>
    <w:rsid w:val="00B61CB9"/>
    <w:rsid w:val="00B6273B"/>
    <w:rsid w:val="00B64930"/>
    <w:rsid w:val="00B66B2F"/>
    <w:rsid w:val="00B678BB"/>
    <w:rsid w:val="00B70789"/>
    <w:rsid w:val="00B71470"/>
    <w:rsid w:val="00B74FC1"/>
    <w:rsid w:val="00B767A7"/>
    <w:rsid w:val="00B82D22"/>
    <w:rsid w:val="00B8764C"/>
    <w:rsid w:val="00B90A5A"/>
    <w:rsid w:val="00B950B4"/>
    <w:rsid w:val="00B96370"/>
    <w:rsid w:val="00BA10A8"/>
    <w:rsid w:val="00BA23D6"/>
    <w:rsid w:val="00BA649F"/>
    <w:rsid w:val="00BB2EEE"/>
    <w:rsid w:val="00BC4128"/>
    <w:rsid w:val="00BC4B9E"/>
    <w:rsid w:val="00BC72F8"/>
    <w:rsid w:val="00BD2BDD"/>
    <w:rsid w:val="00BD2D8C"/>
    <w:rsid w:val="00BD326D"/>
    <w:rsid w:val="00BD7445"/>
    <w:rsid w:val="00BE4858"/>
    <w:rsid w:val="00BE4C3D"/>
    <w:rsid w:val="00BF23B4"/>
    <w:rsid w:val="00BF36A7"/>
    <w:rsid w:val="00BF7600"/>
    <w:rsid w:val="00C003EA"/>
    <w:rsid w:val="00C00FB9"/>
    <w:rsid w:val="00C01D3C"/>
    <w:rsid w:val="00C024FC"/>
    <w:rsid w:val="00C03C50"/>
    <w:rsid w:val="00C07905"/>
    <w:rsid w:val="00C101AC"/>
    <w:rsid w:val="00C109D1"/>
    <w:rsid w:val="00C14903"/>
    <w:rsid w:val="00C1494F"/>
    <w:rsid w:val="00C16E0E"/>
    <w:rsid w:val="00C206DD"/>
    <w:rsid w:val="00C24796"/>
    <w:rsid w:val="00C2636C"/>
    <w:rsid w:val="00C30635"/>
    <w:rsid w:val="00C318C5"/>
    <w:rsid w:val="00C33F97"/>
    <w:rsid w:val="00C34CF9"/>
    <w:rsid w:val="00C4065D"/>
    <w:rsid w:val="00C4138D"/>
    <w:rsid w:val="00C42FE2"/>
    <w:rsid w:val="00C45766"/>
    <w:rsid w:val="00C4650B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3EE4"/>
    <w:rsid w:val="00C778D0"/>
    <w:rsid w:val="00C80F17"/>
    <w:rsid w:val="00C813DF"/>
    <w:rsid w:val="00C81431"/>
    <w:rsid w:val="00C83662"/>
    <w:rsid w:val="00C96C2C"/>
    <w:rsid w:val="00C97B4F"/>
    <w:rsid w:val="00CA6F0D"/>
    <w:rsid w:val="00CA7E05"/>
    <w:rsid w:val="00CB2113"/>
    <w:rsid w:val="00CB3271"/>
    <w:rsid w:val="00CB5AA4"/>
    <w:rsid w:val="00CC089C"/>
    <w:rsid w:val="00CC2532"/>
    <w:rsid w:val="00CC3107"/>
    <w:rsid w:val="00CC4FE4"/>
    <w:rsid w:val="00CC7C4D"/>
    <w:rsid w:val="00CD0CCB"/>
    <w:rsid w:val="00CE1942"/>
    <w:rsid w:val="00CE4458"/>
    <w:rsid w:val="00CE4A5D"/>
    <w:rsid w:val="00CE6F70"/>
    <w:rsid w:val="00CE7AF6"/>
    <w:rsid w:val="00CE7E38"/>
    <w:rsid w:val="00CF153B"/>
    <w:rsid w:val="00CF31A1"/>
    <w:rsid w:val="00D06688"/>
    <w:rsid w:val="00D1147B"/>
    <w:rsid w:val="00D11AFD"/>
    <w:rsid w:val="00D12D26"/>
    <w:rsid w:val="00D138C7"/>
    <w:rsid w:val="00D13D30"/>
    <w:rsid w:val="00D1416F"/>
    <w:rsid w:val="00D150DA"/>
    <w:rsid w:val="00D162AE"/>
    <w:rsid w:val="00D20157"/>
    <w:rsid w:val="00D2369E"/>
    <w:rsid w:val="00D30CE3"/>
    <w:rsid w:val="00D324D8"/>
    <w:rsid w:val="00D325CD"/>
    <w:rsid w:val="00D353E9"/>
    <w:rsid w:val="00D35513"/>
    <w:rsid w:val="00D36E83"/>
    <w:rsid w:val="00D37260"/>
    <w:rsid w:val="00D421C8"/>
    <w:rsid w:val="00D435F5"/>
    <w:rsid w:val="00D44146"/>
    <w:rsid w:val="00D44CF7"/>
    <w:rsid w:val="00D47B5E"/>
    <w:rsid w:val="00D47F99"/>
    <w:rsid w:val="00D52668"/>
    <w:rsid w:val="00D526F6"/>
    <w:rsid w:val="00D52F84"/>
    <w:rsid w:val="00D537D7"/>
    <w:rsid w:val="00D6570A"/>
    <w:rsid w:val="00D65FC1"/>
    <w:rsid w:val="00D7035E"/>
    <w:rsid w:val="00D738DA"/>
    <w:rsid w:val="00D7396C"/>
    <w:rsid w:val="00D74277"/>
    <w:rsid w:val="00D76B3B"/>
    <w:rsid w:val="00D77B98"/>
    <w:rsid w:val="00D8160B"/>
    <w:rsid w:val="00D83C23"/>
    <w:rsid w:val="00D86838"/>
    <w:rsid w:val="00D86E50"/>
    <w:rsid w:val="00D905EC"/>
    <w:rsid w:val="00D91257"/>
    <w:rsid w:val="00D9251F"/>
    <w:rsid w:val="00D926DE"/>
    <w:rsid w:val="00D954AA"/>
    <w:rsid w:val="00D9647D"/>
    <w:rsid w:val="00DA20E6"/>
    <w:rsid w:val="00DA5846"/>
    <w:rsid w:val="00DA79B0"/>
    <w:rsid w:val="00DB0303"/>
    <w:rsid w:val="00DB344F"/>
    <w:rsid w:val="00DB374B"/>
    <w:rsid w:val="00DC0E21"/>
    <w:rsid w:val="00DC1B5E"/>
    <w:rsid w:val="00DC1BEE"/>
    <w:rsid w:val="00DC56DC"/>
    <w:rsid w:val="00DC58B1"/>
    <w:rsid w:val="00DC5B35"/>
    <w:rsid w:val="00DC7317"/>
    <w:rsid w:val="00DD2441"/>
    <w:rsid w:val="00DD6CAF"/>
    <w:rsid w:val="00DF0878"/>
    <w:rsid w:val="00DF4380"/>
    <w:rsid w:val="00DF7531"/>
    <w:rsid w:val="00E008BA"/>
    <w:rsid w:val="00E01178"/>
    <w:rsid w:val="00E039A9"/>
    <w:rsid w:val="00E0620A"/>
    <w:rsid w:val="00E07215"/>
    <w:rsid w:val="00E11595"/>
    <w:rsid w:val="00E11611"/>
    <w:rsid w:val="00E123AF"/>
    <w:rsid w:val="00E13D66"/>
    <w:rsid w:val="00E16512"/>
    <w:rsid w:val="00E17D01"/>
    <w:rsid w:val="00E17E49"/>
    <w:rsid w:val="00E20155"/>
    <w:rsid w:val="00E2314B"/>
    <w:rsid w:val="00E25F88"/>
    <w:rsid w:val="00E302A6"/>
    <w:rsid w:val="00E30315"/>
    <w:rsid w:val="00E3614C"/>
    <w:rsid w:val="00E441DC"/>
    <w:rsid w:val="00E4562B"/>
    <w:rsid w:val="00E479B8"/>
    <w:rsid w:val="00E55737"/>
    <w:rsid w:val="00E6166F"/>
    <w:rsid w:val="00E6445D"/>
    <w:rsid w:val="00E70F1A"/>
    <w:rsid w:val="00E71880"/>
    <w:rsid w:val="00E72534"/>
    <w:rsid w:val="00E7338C"/>
    <w:rsid w:val="00E74A4A"/>
    <w:rsid w:val="00E77BCA"/>
    <w:rsid w:val="00E850F2"/>
    <w:rsid w:val="00E87A6A"/>
    <w:rsid w:val="00E92836"/>
    <w:rsid w:val="00E948EA"/>
    <w:rsid w:val="00EA081E"/>
    <w:rsid w:val="00EA21B5"/>
    <w:rsid w:val="00EA5BC9"/>
    <w:rsid w:val="00EA6905"/>
    <w:rsid w:val="00EA7149"/>
    <w:rsid w:val="00EB08CE"/>
    <w:rsid w:val="00EB2674"/>
    <w:rsid w:val="00EC0AD7"/>
    <w:rsid w:val="00EC11C3"/>
    <w:rsid w:val="00EC1516"/>
    <w:rsid w:val="00EC5246"/>
    <w:rsid w:val="00EC7231"/>
    <w:rsid w:val="00EC7589"/>
    <w:rsid w:val="00EE0E4E"/>
    <w:rsid w:val="00EE1D4B"/>
    <w:rsid w:val="00EE2184"/>
    <w:rsid w:val="00EE3536"/>
    <w:rsid w:val="00EE3C6D"/>
    <w:rsid w:val="00EE4E2E"/>
    <w:rsid w:val="00EE58CA"/>
    <w:rsid w:val="00EE65F6"/>
    <w:rsid w:val="00EE72F9"/>
    <w:rsid w:val="00EE75C7"/>
    <w:rsid w:val="00EF0440"/>
    <w:rsid w:val="00EF33E8"/>
    <w:rsid w:val="00EF66EC"/>
    <w:rsid w:val="00F00DC7"/>
    <w:rsid w:val="00F015F4"/>
    <w:rsid w:val="00F03CC2"/>
    <w:rsid w:val="00F05227"/>
    <w:rsid w:val="00F06A74"/>
    <w:rsid w:val="00F12E78"/>
    <w:rsid w:val="00F1552C"/>
    <w:rsid w:val="00F15EFE"/>
    <w:rsid w:val="00F1768B"/>
    <w:rsid w:val="00F21BFA"/>
    <w:rsid w:val="00F223FC"/>
    <w:rsid w:val="00F252CA"/>
    <w:rsid w:val="00F26463"/>
    <w:rsid w:val="00F27B2B"/>
    <w:rsid w:val="00F333E5"/>
    <w:rsid w:val="00F333FA"/>
    <w:rsid w:val="00F3487C"/>
    <w:rsid w:val="00F37785"/>
    <w:rsid w:val="00F424FB"/>
    <w:rsid w:val="00F42BB6"/>
    <w:rsid w:val="00F43CA8"/>
    <w:rsid w:val="00F46E88"/>
    <w:rsid w:val="00F474BD"/>
    <w:rsid w:val="00F501F5"/>
    <w:rsid w:val="00F50DDA"/>
    <w:rsid w:val="00F538BB"/>
    <w:rsid w:val="00F539BA"/>
    <w:rsid w:val="00F603DA"/>
    <w:rsid w:val="00F60BE6"/>
    <w:rsid w:val="00F617AC"/>
    <w:rsid w:val="00F63207"/>
    <w:rsid w:val="00F63C53"/>
    <w:rsid w:val="00F65320"/>
    <w:rsid w:val="00F7362D"/>
    <w:rsid w:val="00F73ECD"/>
    <w:rsid w:val="00F749AD"/>
    <w:rsid w:val="00F75973"/>
    <w:rsid w:val="00F769BD"/>
    <w:rsid w:val="00F8041C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257"/>
    <w:rsid w:val="00FA4B03"/>
    <w:rsid w:val="00FA64D8"/>
    <w:rsid w:val="00FA6CB1"/>
    <w:rsid w:val="00FA7790"/>
    <w:rsid w:val="00FB0C01"/>
    <w:rsid w:val="00FB1235"/>
    <w:rsid w:val="00FB3902"/>
    <w:rsid w:val="00FB4C10"/>
    <w:rsid w:val="00FB6D0A"/>
    <w:rsid w:val="00FC3F1F"/>
    <w:rsid w:val="00FC55D3"/>
    <w:rsid w:val="00FC7441"/>
    <w:rsid w:val="00FD06B5"/>
    <w:rsid w:val="00FD3CA6"/>
    <w:rsid w:val="00FD45EA"/>
    <w:rsid w:val="00FD7B49"/>
    <w:rsid w:val="00FE1CCE"/>
    <w:rsid w:val="00FE1D98"/>
    <w:rsid w:val="00FE3A28"/>
    <w:rsid w:val="00FE3F73"/>
    <w:rsid w:val="00FE49E8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38AF"/>
    <w:pPr>
      <w:spacing w:before="360" w:after="120"/>
      <w:contextualSpacing/>
      <w:outlineLvl w:val="0"/>
    </w:pPr>
    <w:rPr>
      <w:b/>
      <w:bCs/>
      <w:sz w:val="36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38AF"/>
    <w:pPr>
      <w:keepNext/>
      <w:keepLines/>
      <w:numPr>
        <w:numId w:val="1"/>
      </w:numPr>
      <w:spacing w:before="240" w:after="120"/>
      <w:contextualSpacing/>
      <w:textAlignment w:val="baseline"/>
      <w:outlineLvl w:val="1"/>
    </w:pPr>
    <w:rPr>
      <w:rFonts w:eastAsia="Arial Unicode MS"/>
      <w:b/>
      <w:bCs/>
      <w:sz w:val="32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D52F84"/>
    <w:pPr>
      <w:keepNext/>
      <w:keepLines/>
      <w:spacing w:before="0"/>
      <w:ind w:left="426" w:hanging="69"/>
      <w:jc w:val="both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1A38AF"/>
    <w:rPr>
      <w:b/>
      <w:bCs/>
      <w:sz w:val="36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1A38AF"/>
    <w:rPr>
      <w:rFonts w:eastAsia="Arial Unicode MS"/>
      <w:b/>
      <w:bCs/>
      <w:sz w:val="32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D52F84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C4F9D"/>
    <w:rPr>
      <w:color w:val="808080"/>
    </w:rPr>
  </w:style>
  <w:style w:type="character" w:customStyle="1" w:styleId="ui-provider">
    <w:name w:val="ui-provider"/>
    <w:basedOn w:val="Domylnaczcionkaakapitu"/>
    <w:rsid w:val="00996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fron.org.pl/fileadmin/Programy_PFRON/Wypozyczalnia/2025_rok/2025-03-27_Zmiany_z_19.03.2025/Program_Wypozyczalnia_wersja_z_19_marca_2025_r..pdf?utm_campaign=pfron&amp;utm_source=df&amp;utm_medium=downloa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9008-DA48-4BDB-B81C-BF13F07C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</TotalTime>
  <Pages>9</Pages>
  <Words>2432</Words>
  <Characters>14594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Ekspertyza DPR.WST.4141.2.2025</vt:lpstr>
    </vt:vector>
  </TitlesOfParts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Ekspertyza DPR.WST.4141.2.2025</dc:title>
  <dc:subject/>
  <dc:creator>PFRON</dc:creator>
  <cp:keywords/>
  <cp:lastModifiedBy>Jarzębska Anna</cp:lastModifiedBy>
  <cp:revision>3</cp:revision>
  <cp:lastPrinted>2023-03-17T13:38:00Z</cp:lastPrinted>
  <dcterms:created xsi:type="dcterms:W3CDTF">2025-06-26T06:34:00Z</dcterms:created>
  <dcterms:modified xsi:type="dcterms:W3CDTF">2025-06-26T06:35:00Z</dcterms:modified>
</cp:coreProperties>
</file>