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80BA" w14:textId="1E685E73" w:rsidR="005553C1" w:rsidRPr="00065135" w:rsidRDefault="00D520E8" w:rsidP="008D2F1F">
      <w:r w:rsidRPr="00065135">
        <w:t xml:space="preserve">Znak </w:t>
      </w:r>
      <w:r>
        <w:t>sprawy</w:t>
      </w:r>
      <w:r w:rsidRPr="00065135">
        <w:t>:</w:t>
      </w:r>
      <w:r>
        <w:t xml:space="preserve"> </w:t>
      </w:r>
      <w:r w:rsidR="00E521D2" w:rsidRPr="00E521D2">
        <w:t>BPR.26.1.2026</w:t>
      </w:r>
    </w:p>
    <w:p w14:paraId="6F9C0914" w14:textId="2E3E73A1" w:rsidR="005553C1" w:rsidRDefault="00D520E8" w:rsidP="006525CE">
      <w:pPr>
        <w:spacing w:after="200"/>
        <w:jc w:val="right"/>
      </w:pPr>
      <w:r w:rsidRPr="00065135">
        <w:t xml:space="preserve">Warszawa, </w:t>
      </w:r>
      <w:bookmarkStart w:id="0" w:name="ezdDataPodpisu"/>
      <w:r w:rsidR="00F1527D">
        <w:t>20</w:t>
      </w:r>
      <w:r>
        <w:t xml:space="preserve"> </w:t>
      </w:r>
      <w:r w:rsidR="00F1527D">
        <w:t>lutego</w:t>
      </w:r>
      <w:r>
        <w:t xml:space="preserve"> 2026</w:t>
      </w:r>
      <w:bookmarkEnd w:id="0"/>
    </w:p>
    <w:p w14:paraId="5015363B" w14:textId="77777777" w:rsidR="005553C1" w:rsidRPr="00065135" w:rsidRDefault="005553C1" w:rsidP="006525CE">
      <w:pPr>
        <w:spacing w:after="200"/>
        <w:jc w:val="right"/>
        <w:sectPr w:rsidR="005553C1" w:rsidRPr="00065135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3329F4D6" w14:textId="711C3F2A" w:rsidR="00D520E8" w:rsidRPr="006E14A4" w:rsidRDefault="00D520E8" w:rsidP="00E25967">
      <w:pPr>
        <w:pStyle w:val="Nagwek1"/>
      </w:pPr>
      <w:r>
        <w:t xml:space="preserve">Zapytanie ofertowe na </w:t>
      </w:r>
      <w:r w:rsidR="00F1527D" w:rsidRPr="00585B61">
        <w:t>przeprowadzenie audytu Centralnej Platformy Analitycznej (CPA) / hurtowni danych PFRON</w:t>
      </w:r>
    </w:p>
    <w:p w14:paraId="6BA2871D" w14:textId="101F6829" w:rsidR="00D520E8" w:rsidRPr="006E14A4" w:rsidRDefault="00D520E8" w:rsidP="00DA3EC4">
      <w:pPr>
        <w:pStyle w:val="Nagwek2"/>
        <w:numPr>
          <w:ilvl w:val="0"/>
          <w:numId w:val="51"/>
        </w:numPr>
      </w:pPr>
      <w:r w:rsidRPr="006E14A4">
        <w:t>Nazwa i adres Zamawiającego</w:t>
      </w:r>
    </w:p>
    <w:p w14:paraId="5526476A" w14:textId="77777777" w:rsidR="00D520E8" w:rsidRPr="006E14A4" w:rsidRDefault="00D520E8" w:rsidP="00E25967">
      <w:pPr>
        <w:ind w:right="1712" w:hanging="11"/>
      </w:pPr>
      <w:r w:rsidRPr="006E14A4">
        <w:t>Państwowy Fundusz Rehabilitacji Osób Niepełnosprawnych (PFRON) al. Jana Pawła II nr 13, 00-828 Warszawa.</w:t>
      </w:r>
    </w:p>
    <w:p w14:paraId="388E8C4B" w14:textId="05BDDEE5" w:rsidR="00D520E8" w:rsidRPr="006E14A4" w:rsidRDefault="00D520E8" w:rsidP="00DA3EC4">
      <w:pPr>
        <w:pStyle w:val="Nagwek2"/>
        <w:numPr>
          <w:ilvl w:val="0"/>
          <w:numId w:val="51"/>
        </w:numPr>
      </w:pPr>
      <w:r>
        <w:t xml:space="preserve">Opis </w:t>
      </w:r>
      <w:r w:rsidRPr="5E6181ED">
        <w:rPr>
          <w:rStyle w:val="Nagwek2Znak"/>
          <w:b/>
          <w:bCs/>
        </w:rPr>
        <w:t>przedmiotu zam</w:t>
      </w:r>
      <w:r>
        <w:t>ówienia</w:t>
      </w:r>
    </w:p>
    <w:p w14:paraId="61AED071" w14:textId="77777777" w:rsidR="00E83956" w:rsidRDefault="00F1527D" w:rsidP="00F1527D">
      <w:r w:rsidRPr="00585B61">
        <w:t xml:space="preserve">Przedmiotem zamówienia jest przeprowadzenie audytu wykonanej Centralnej Platformy Analitycznej (CPA) / hurtowni danych PFRON w zakresie: </w:t>
      </w:r>
    </w:p>
    <w:p w14:paraId="75FF09E4" w14:textId="77777777" w:rsidR="00E83956" w:rsidRDefault="00F1527D" w:rsidP="00E83956">
      <w:pPr>
        <w:pStyle w:val="Akapitzlist"/>
        <w:numPr>
          <w:ilvl w:val="0"/>
          <w:numId w:val="46"/>
        </w:numPr>
      </w:pPr>
      <w:r w:rsidRPr="00585B61">
        <w:t xml:space="preserve">analizy stanu faktycznego rozwiązania w wersji powdrożeniowej, </w:t>
      </w:r>
    </w:p>
    <w:p w14:paraId="2BD06CF8" w14:textId="77777777" w:rsidR="00E83956" w:rsidRDefault="00F1527D" w:rsidP="00E83956">
      <w:pPr>
        <w:pStyle w:val="Akapitzlist"/>
        <w:numPr>
          <w:ilvl w:val="0"/>
          <w:numId w:val="46"/>
        </w:numPr>
      </w:pPr>
      <w:r w:rsidRPr="00585B61">
        <w:t xml:space="preserve">porównania stanu faktycznego z wymaganiami określonymi w OPZ budowy CPA </w:t>
      </w:r>
      <w:r w:rsidRPr="00E83956">
        <w:rPr>
          <w:u w:val="single"/>
        </w:rPr>
        <w:t>(</w:t>
      </w:r>
      <w:hyperlink r:id="rId17" w:history="1">
        <w:r w:rsidRPr="00E83956">
          <w:rPr>
            <w:rStyle w:val="Hipercze"/>
            <w:color w:val="4472C4" w:themeColor="accent1"/>
          </w:rPr>
          <w:t>Postępowanie: ZP/22/22 - Dostawa hurtowni danych PFRON – wytworzenie, rozwój i utrzymanie Centralnej Platformy Analitycznej - Platforma Zakupowa</w:t>
        </w:r>
      </w:hyperlink>
      <w:r w:rsidRPr="00E83956">
        <w:rPr>
          <w:color w:val="4472C4" w:themeColor="accent1"/>
          <w:u w:val="single"/>
        </w:rPr>
        <w:t>)</w:t>
      </w:r>
      <w:r w:rsidRPr="00E83956">
        <w:rPr>
          <w:u w:val="single"/>
        </w:rPr>
        <w:t xml:space="preserve">, </w:t>
      </w:r>
    </w:p>
    <w:p w14:paraId="4580C45E" w14:textId="11635C16" w:rsidR="00F1527D" w:rsidRPr="00585B61" w:rsidRDefault="00F1527D" w:rsidP="00E83956">
      <w:pPr>
        <w:pStyle w:val="Akapitzlist"/>
        <w:numPr>
          <w:ilvl w:val="0"/>
          <w:numId w:val="46"/>
        </w:numPr>
      </w:pPr>
      <w:r w:rsidRPr="00585B61">
        <w:t xml:space="preserve">przygotowania raportu audytowego zawierającego: </w:t>
      </w:r>
      <w:r w:rsidRPr="00585B61">
        <w:br/>
        <w:t xml:space="preserve">   • macierz zgodności wymagań OPZ z faktyczną realizacją </w:t>
      </w:r>
      <w:r w:rsidRPr="00585B61">
        <w:br/>
        <w:t xml:space="preserve">   • identyfikację braków i niezgodności, </w:t>
      </w:r>
      <w:r w:rsidRPr="00585B61">
        <w:br/>
        <w:t xml:space="preserve">   • rekomendacje działań naprawczych wraz z priorytetami i szacunkami nakładu.</w:t>
      </w:r>
    </w:p>
    <w:p w14:paraId="77FA197F" w14:textId="3047BAAB" w:rsidR="00F1527D" w:rsidRPr="00585B61" w:rsidRDefault="00F1527D" w:rsidP="00F1527D">
      <w:r w:rsidRPr="00585B61">
        <w:t>Audyt w szczególności powinien obejmować:</w:t>
      </w:r>
    </w:p>
    <w:p w14:paraId="50B104B0" w14:textId="7702B78D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Architektura i przetwarzanie</w:t>
      </w:r>
    </w:p>
    <w:p w14:paraId="320DAEFA" w14:textId="77777777" w:rsidR="00F1527D" w:rsidRPr="00585B61" w:rsidRDefault="00F1527D" w:rsidP="00E83956">
      <w:pPr>
        <w:numPr>
          <w:ilvl w:val="0"/>
          <w:numId w:val="34"/>
        </w:numPr>
        <w:tabs>
          <w:tab w:val="clear" w:pos="720"/>
        </w:tabs>
        <w:ind w:left="1134"/>
        <w:contextualSpacing/>
      </w:pPr>
      <w:r w:rsidRPr="00585B61">
        <w:t xml:space="preserve">Ocena istnienia i kompletności </w:t>
      </w:r>
      <w:r w:rsidRPr="00C561A7">
        <w:t xml:space="preserve">hurtowni danych </w:t>
      </w:r>
      <w:r w:rsidRPr="00585B61">
        <w:t xml:space="preserve">w rozumieniu OPZ (warstwa integracyjna oddzielona od ODS/DM, logika transformacji poza raportami, praca w środowisku chmurowym przewidzianym w OPZ). </w:t>
      </w:r>
    </w:p>
    <w:p w14:paraId="51FE7AE5" w14:textId="77777777" w:rsidR="00F1527D" w:rsidRPr="00585B61" w:rsidRDefault="00F1527D" w:rsidP="00E83956">
      <w:pPr>
        <w:numPr>
          <w:ilvl w:val="0"/>
          <w:numId w:val="34"/>
        </w:numPr>
        <w:tabs>
          <w:tab w:val="clear" w:pos="720"/>
        </w:tabs>
        <w:ind w:left="1134"/>
        <w:contextualSpacing/>
      </w:pPr>
      <w:r w:rsidRPr="00585B61">
        <w:t xml:space="preserve">Weryfikacja </w:t>
      </w:r>
      <w:r w:rsidRPr="00C561A7">
        <w:t>procesów ETL/ELT:</w:t>
      </w:r>
      <w:r w:rsidRPr="00585B61">
        <w:t xml:space="preserve"> narzędzia, harmonogramy, monitorowanie, odporność na błędy, </w:t>
      </w:r>
      <w:proofErr w:type="spellStart"/>
      <w:r w:rsidRPr="00585B61">
        <w:t>lineage</w:t>
      </w:r>
      <w:proofErr w:type="spellEnd"/>
      <w:r w:rsidRPr="00585B61">
        <w:t xml:space="preserve">. (Czy transformacje nie są „zaszyte” wyłącznie w widokach SQL per raport). </w:t>
      </w:r>
    </w:p>
    <w:p w14:paraId="2ABD875F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Model danych i warstwa semantyczna</w:t>
      </w:r>
    </w:p>
    <w:p w14:paraId="43FF1BBB" w14:textId="77777777" w:rsidR="00F1527D" w:rsidRPr="00585B61" w:rsidRDefault="00F1527D" w:rsidP="00E83956">
      <w:pPr>
        <w:numPr>
          <w:ilvl w:val="0"/>
          <w:numId w:val="35"/>
        </w:numPr>
        <w:tabs>
          <w:tab w:val="clear" w:pos="720"/>
        </w:tabs>
        <w:ind w:left="1134"/>
        <w:contextualSpacing/>
      </w:pPr>
      <w:r w:rsidRPr="00585B61">
        <w:t xml:space="preserve">Sprawdzenie, czy zbudowano </w:t>
      </w:r>
      <w:r w:rsidRPr="00C561A7">
        <w:t>wspólny model danych</w:t>
      </w:r>
      <w:r w:rsidRPr="00585B61">
        <w:t xml:space="preserve"> (fakty/wymiary), jednolite </w:t>
      </w:r>
      <w:r w:rsidRPr="00C561A7">
        <w:t xml:space="preserve">definicje miar i jedno źródło prawdy </w:t>
      </w:r>
      <w:r w:rsidRPr="00585B61">
        <w:t>zgodnie z OPZ; identyfikacja miejsc, gdzie dziś miary i logika są duplikowane w raportach.</w:t>
      </w:r>
    </w:p>
    <w:p w14:paraId="2CD7B511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Słowniki i metadane</w:t>
      </w:r>
    </w:p>
    <w:p w14:paraId="6A4A28BC" w14:textId="77777777" w:rsidR="00F1527D" w:rsidRPr="00C561A7" w:rsidRDefault="00F1527D" w:rsidP="00E83956">
      <w:pPr>
        <w:numPr>
          <w:ilvl w:val="0"/>
          <w:numId w:val="36"/>
        </w:numPr>
        <w:tabs>
          <w:tab w:val="clear" w:pos="720"/>
        </w:tabs>
        <w:ind w:left="1134"/>
        <w:contextualSpacing/>
      </w:pPr>
      <w:r w:rsidRPr="00C561A7">
        <w:lastRenderedPageBreak/>
        <w:t>Ocena istnienia centralnej bazy słowników (statusy, typy dokumentów, okres/</w:t>
      </w:r>
      <w:proofErr w:type="spellStart"/>
      <w:r w:rsidRPr="00C561A7">
        <w:t>okres_id</w:t>
      </w:r>
      <w:proofErr w:type="spellEnd"/>
      <w:r w:rsidRPr="00C561A7">
        <w:t>, typy podmiotów) i ich użycia w modelu/raportach – zgodnie z wymaganiami OPZ.</w:t>
      </w:r>
    </w:p>
    <w:p w14:paraId="3A09B327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 xml:space="preserve">Jakość danych (Data </w:t>
      </w:r>
      <w:proofErr w:type="spellStart"/>
      <w:r w:rsidRPr="00C561A7">
        <w:t>Quality</w:t>
      </w:r>
      <w:proofErr w:type="spellEnd"/>
      <w:r w:rsidRPr="00C561A7">
        <w:t>)</w:t>
      </w:r>
    </w:p>
    <w:p w14:paraId="212AA680" w14:textId="77777777" w:rsidR="00F1527D" w:rsidRPr="00C561A7" w:rsidRDefault="00F1527D" w:rsidP="00E83956">
      <w:pPr>
        <w:numPr>
          <w:ilvl w:val="0"/>
          <w:numId w:val="37"/>
        </w:numPr>
        <w:tabs>
          <w:tab w:val="clear" w:pos="720"/>
        </w:tabs>
        <w:ind w:left="1134"/>
        <w:contextualSpacing/>
      </w:pPr>
      <w:r w:rsidRPr="00C561A7">
        <w:t xml:space="preserve">Przegląd reguł jakości (kompletność, spójność, unikalność, referencyjność), sposobu ich uruchamiania i raportowania; porównanie z wymaganiami OPZ (testy, metryki jakości). </w:t>
      </w:r>
    </w:p>
    <w:p w14:paraId="7C425357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Warstwa raportowa</w:t>
      </w:r>
    </w:p>
    <w:p w14:paraId="17841E74" w14:textId="4E4074E8" w:rsidR="00F1527D" w:rsidRPr="00585B61" w:rsidRDefault="00F1527D" w:rsidP="00E83956">
      <w:pPr>
        <w:numPr>
          <w:ilvl w:val="0"/>
          <w:numId w:val="38"/>
        </w:numPr>
        <w:tabs>
          <w:tab w:val="clear" w:pos="720"/>
        </w:tabs>
        <w:ind w:left="1134"/>
        <w:contextualSpacing/>
      </w:pPr>
      <w:r w:rsidRPr="00585B61">
        <w:t xml:space="preserve">Analiza reprezentatywnej próbki raportów pod kątem źródeł danych, zależności od widoków, zgodności definicji i możliwości </w:t>
      </w:r>
      <w:proofErr w:type="spellStart"/>
      <w:r w:rsidRPr="00585B61">
        <w:t>refaktoryzacji</w:t>
      </w:r>
      <w:proofErr w:type="spellEnd"/>
      <w:r w:rsidRPr="00585B61">
        <w:t xml:space="preserve"> do modelu wspólnego. </w:t>
      </w:r>
    </w:p>
    <w:p w14:paraId="429106B5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Bezpieczeństwo i dostęp</w:t>
      </w:r>
    </w:p>
    <w:p w14:paraId="50BB1AEE" w14:textId="77777777" w:rsidR="00F1527D" w:rsidRPr="00585B61" w:rsidRDefault="00F1527D" w:rsidP="00E83956">
      <w:pPr>
        <w:numPr>
          <w:ilvl w:val="0"/>
          <w:numId w:val="39"/>
        </w:numPr>
        <w:tabs>
          <w:tab w:val="clear" w:pos="720"/>
        </w:tabs>
        <w:ind w:left="1134"/>
        <w:contextualSpacing/>
      </w:pPr>
      <w:r w:rsidRPr="00585B61">
        <w:t xml:space="preserve">Przegląd ról/uprawnień (RLS) i dostępów w narzędziu BI zgodnie z zasadami określonymi w OPZ (w tym dostępność funkcjonalna i wymogi dot. środowisk). </w:t>
      </w:r>
    </w:p>
    <w:p w14:paraId="3504F9BF" w14:textId="77777777" w:rsidR="00F1527D" w:rsidRPr="00C561A7" w:rsidRDefault="00F1527D" w:rsidP="00E83956">
      <w:pPr>
        <w:pStyle w:val="Akapitzlist"/>
        <w:numPr>
          <w:ilvl w:val="0"/>
          <w:numId w:val="44"/>
        </w:numPr>
      </w:pPr>
      <w:r w:rsidRPr="00C561A7">
        <w:t>Audyt obejmie w szczególności:</w:t>
      </w:r>
    </w:p>
    <w:p w14:paraId="1AEDF3B3" w14:textId="77777777" w:rsidR="00F1527D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Przegląd dokumentacji,</w:t>
      </w:r>
    </w:p>
    <w:p w14:paraId="35AACF4D" w14:textId="77777777" w:rsidR="00F1527D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Wywiady techniczne,</w:t>
      </w:r>
    </w:p>
    <w:p w14:paraId="74DF9C6E" w14:textId="77777777" w:rsidR="00F1527D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 xml:space="preserve">Inspekcja środowisk: architektura, </w:t>
      </w:r>
      <w:proofErr w:type="spellStart"/>
      <w:r w:rsidRPr="00C561A7">
        <w:t>pipeline’y</w:t>
      </w:r>
      <w:proofErr w:type="spellEnd"/>
      <w:r w:rsidRPr="00C561A7">
        <w:t>, modele/semantyka, słowniki, DQ, RLS,</w:t>
      </w:r>
    </w:p>
    <w:p w14:paraId="5FA19B51" w14:textId="77777777" w:rsidR="00C561A7" w:rsidRPr="00C561A7" w:rsidRDefault="00F1527D" w:rsidP="00E83956">
      <w:pPr>
        <w:numPr>
          <w:ilvl w:val="0"/>
          <w:numId w:val="40"/>
        </w:numPr>
        <w:tabs>
          <w:tab w:val="clear" w:pos="720"/>
        </w:tabs>
        <w:ind w:left="1134" w:hanging="357"/>
        <w:contextualSpacing/>
      </w:pPr>
      <w:r w:rsidRPr="00C561A7">
        <w:t>Analiza raportów</w:t>
      </w:r>
    </w:p>
    <w:p w14:paraId="41811189" w14:textId="55D05016" w:rsidR="00F1527D" w:rsidRPr="00585B61" w:rsidRDefault="00F1527D" w:rsidP="00C561A7">
      <w:pPr>
        <w:spacing w:after="200"/>
      </w:pPr>
      <w:r w:rsidRPr="00585B61">
        <w:t xml:space="preserve">Wyniki porównania trafią do </w:t>
      </w:r>
      <w:r w:rsidRPr="00C561A7">
        <w:t>macierzy zgodności</w:t>
      </w:r>
      <w:r w:rsidRPr="00585B61">
        <w:t xml:space="preserve"> (wymaganie OPZ → dowód → ocena).</w:t>
      </w:r>
    </w:p>
    <w:p w14:paraId="0F8A8C10" w14:textId="77777777" w:rsidR="00F1527D" w:rsidRPr="00585B61" w:rsidRDefault="00F1527D" w:rsidP="00F1527D">
      <w:pPr>
        <w:rPr>
          <w:b/>
          <w:bCs/>
        </w:rPr>
      </w:pPr>
      <w:r w:rsidRPr="00585B61">
        <w:rPr>
          <w:b/>
          <w:bCs/>
        </w:rPr>
        <w:t>Wymagane rezultaty:</w:t>
      </w:r>
    </w:p>
    <w:p w14:paraId="512C0CBD" w14:textId="1F9DC282" w:rsidR="00F1527D" w:rsidRPr="00C561A7" w:rsidRDefault="00F1527D" w:rsidP="00F1527D">
      <w:pPr>
        <w:numPr>
          <w:ilvl w:val="0"/>
          <w:numId w:val="41"/>
        </w:numPr>
        <w:spacing w:after="200"/>
      </w:pPr>
      <w:r w:rsidRPr="00C561A7">
        <w:t xml:space="preserve">Raport audytowy – treść: </w:t>
      </w:r>
    </w:p>
    <w:p w14:paraId="21F1A114" w14:textId="77777777" w:rsidR="00F1527D" w:rsidRPr="00C561A7" w:rsidRDefault="00F1527D" w:rsidP="00F1527D">
      <w:pPr>
        <w:numPr>
          <w:ilvl w:val="1"/>
          <w:numId w:val="41"/>
        </w:numPr>
        <w:spacing w:after="200"/>
      </w:pPr>
      <w:proofErr w:type="spellStart"/>
      <w:r w:rsidRPr="00C561A7">
        <w:t>Executive</w:t>
      </w:r>
      <w:proofErr w:type="spellEnd"/>
      <w:r w:rsidRPr="00C561A7">
        <w:t xml:space="preserve"> </w:t>
      </w:r>
      <w:proofErr w:type="spellStart"/>
      <w:r w:rsidRPr="00C561A7">
        <w:t>summary</w:t>
      </w:r>
      <w:proofErr w:type="spellEnd"/>
      <w:r w:rsidRPr="00C561A7">
        <w:t xml:space="preserve"> dla Kierownictwa (1–2 strony),</w:t>
      </w:r>
    </w:p>
    <w:p w14:paraId="4DBD3DC1" w14:textId="77777777" w:rsidR="00F1527D" w:rsidRPr="00C561A7" w:rsidRDefault="00F1527D" w:rsidP="00F1527D">
      <w:pPr>
        <w:numPr>
          <w:ilvl w:val="1"/>
          <w:numId w:val="41"/>
        </w:numPr>
        <w:spacing w:after="200"/>
      </w:pPr>
      <w:r w:rsidRPr="00C561A7">
        <w:t xml:space="preserve">Szczegółowa ocena zgodności z OPZ w obszarach: architektura HD, ETL/ELT, model/semantyka, słowniki, DQ, raportowanie, bezpieczeństwo. (Dla każdej pozycji: stan, dowód, wniosek). </w:t>
      </w:r>
    </w:p>
    <w:p w14:paraId="6FF6E582" w14:textId="7803FA2C" w:rsidR="00F1527D" w:rsidRPr="00C561A7" w:rsidRDefault="00F1527D" w:rsidP="00F1527D">
      <w:pPr>
        <w:numPr>
          <w:ilvl w:val="0"/>
          <w:numId w:val="41"/>
        </w:numPr>
        <w:spacing w:after="200"/>
      </w:pPr>
      <w:r w:rsidRPr="00C561A7">
        <w:t>Macierz zgodności (</w:t>
      </w:r>
      <w:r w:rsidR="00C561A7" w:rsidRPr="00C561A7">
        <w:t>tabela</w:t>
      </w:r>
      <w:r w:rsidRPr="00C561A7">
        <w:t xml:space="preserve">) – każdy zapis OPZ oznaczony jako: Spełnione / Częściowo / Niespełnione, z odnośnikiem do dowodu (zrzut, konfiguracja, plik), priorytetem i wpływem. </w:t>
      </w:r>
    </w:p>
    <w:p w14:paraId="6DCFA89B" w14:textId="77777777" w:rsidR="00F1527D" w:rsidRPr="00C561A7" w:rsidRDefault="00F1527D" w:rsidP="00F1527D">
      <w:pPr>
        <w:numPr>
          <w:ilvl w:val="0"/>
          <w:numId w:val="41"/>
        </w:numPr>
        <w:spacing w:after="200"/>
      </w:pPr>
      <w:r w:rsidRPr="00C561A7">
        <w:t xml:space="preserve">Gap </w:t>
      </w:r>
      <w:proofErr w:type="spellStart"/>
      <w:r w:rsidRPr="00C561A7">
        <w:t>analysis</w:t>
      </w:r>
      <w:proofErr w:type="spellEnd"/>
      <w:r w:rsidRPr="00C561A7">
        <w:t xml:space="preserve"> oraz Plan naprawczy – lista działań, podzielona na: </w:t>
      </w:r>
    </w:p>
    <w:p w14:paraId="5284303A" w14:textId="77777777" w:rsidR="00F1527D" w:rsidRPr="00585B61" w:rsidRDefault="00F1527D" w:rsidP="00F1527D">
      <w:pPr>
        <w:numPr>
          <w:ilvl w:val="1"/>
          <w:numId w:val="41"/>
        </w:numPr>
        <w:spacing w:after="200"/>
      </w:pPr>
      <w:proofErr w:type="spellStart"/>
      <w:r w:rsidRPr="00585B61">
        <w:t>Quick</w:t>
      </w:r>
      <w:proofErr w:type="spellEnd"/>
      <w:r w:rsidRPr="00585B61">
        <w:t xml:space="preserve"> </w:t>
      </w:r>
      <w:proofErr w:type="spellStart"/>
      <w:r w:rsidRPr="00585B61">
        <w:t>wins</w:t>
      </w:r>
      <w:proofErr w:type="spellEnd"/>
      <w:r w:rsidRPr="00585B61">
        <w:t xml:space="preserve"> (≤ 90 dni) – np. wdrożenie wspólnego </w:t>
      </w:r>
      <w:proofErr w:type="spellStart"/>
      <w:r w:rsidRPr="00585B61">
        <w:t>DIM_Czas</w:t>
      </w:r>
      <w:proofErr w:type="spellEnd"/>
      <w:r w:rsidRPr="00585B61">
        <w:t xml:space="preserve"> z </w:t>
      </w:r>
      <w:proofErr w:type="spellStart"/>
      <w:r w:rsidRPr="00585B61">
        <w:t>okres_id</w:t>
      </w:r>
      <w:proofErr w:type="spellEnd"/>
      <w:r w:rsidRPr="00585B61">
        <w:t xml:space="preserve"> (</w:t>
      </w:r>
      <w:proofErr w:type="spellStart"/>
      <w:r w:rsidRPr="00585B61">
        <w:t>yyyyMM</w:t>
      </w:r>
      <w:proofErr w:type="spellEnd"/>
      <w:r w:rsidRPr="00585B61">
        <w:t>), wstępny katalog miar, pierwszy słownik „Status/Dokument”, podstawowe reguły DQ,</w:t>
      </w:r>
    </w:p>
    <w:p w14:paraId="343B0CE5" w14:textId="77777777" w:rsidR="00F1527D" w:rsidRPr="00585B61" w:rsidRDefault="00F1527D" w:rsidP="00F1527D">
      <w:pPr>
        <w:numPr>
          <w:ilvl w:val="1"/>
          <w:numId w:val="41"/>
        </w:numPr>
        <w:spacing w:after="200"/>
      </w:pPr>
      <w:r w:rsidRPr="00585B61">
        <w:lastRenderedPageBreak/>
        <w:t>Średni termin (≤ 6–9 mies.) – np. przeniesienie logiki z widoków do procesów integracyjnych i modelu wspólnego,</w:t>
      </w:r>
    </w:p>
    <w:p w14:paraId="3A1F1429" w14:textId="77777777" w:rsidR="00C561A7" w:rsidRDefault="00F1527D" w:rsidP="00F1527D">
      <w:pPr>
        <w:numPr>
          <w:ilvl w:val="1"/>
          <w:numId w:val="41"/>
        </w:numPr>
        <w:tabs>
          <w:tab w:val="clear" w:pos="1440"/>
        </w:tabs>
        <w:spacing w:after="200"/>
      </w:pPr>
      <w:r w:rsidRPr="00585B61">
        <w:t>Dłuższy termin (≤ 12 mies.) – np. pełna centralizacja słowników i konsolidacja domen.</w:t>
      </w:r>
    </w:p>
    <w:p w14:paraId="586A6F47" w14:textId="0A42A776" w:rsidR="00F1527D" w:rsidRPr="00585B61" w:rsidRDefault="00F1527D" w:rsidP="00C561A7">
      <w:pPr>
        <w:spacing w:after="200"/>
      </w:pPr>
      <w:r w:rsidRPr="00585B61">
        <w:t xml:space="preserve">Dla każdego zadania: cel, zakres, zależności, ryzyko, koszt (widełki MD) i kryteria odbioru. </w:t>
      </w:r>
    </w:p>
    <w:p w14:paraId="6CAFC715" w14:textId="2098158D" w:rsidR="00D520E8" w:rsidRPr="006E14A4" w:rsidRDefault="00D520E8" w:rsidP="00DA3EC4">
      <w:pPr>
        <w:pStyle w:val="Nagwek2"/>
        <w:numPr>
          <w:ilvl w:val="0"/>
          <w:numId w:val="51"/>
        </w:numPr>
      </w:pPr>
      <w:r>
        <w:t>Kody CPV</w:t>
      </w:r>
    </w:p>
    <w:p w14:paraId="2E757015" w14:textId="49BE451C" w:rsidR="00D520E8" w:rsidRDefault="00D520E8" w:rsidP="00E25967">
      <w:r>
        <w:t>7222</w:t>
      </w:r>
      <w:r w:rsidR="00F1527D">
        <w:t>5</w:t>
      </w:r>
      <w:r>
        <w:t>000-</w:t>
      </w:r>
      <w:r w:rsidR="00F1527D">
        <w:t>8</w:t>
      </w:r>
      <w:r>
        <w:t xml:space="preserve"> - Usługi doradcze w zakresie </w:t>
      </w:r>
      <w:r w:rsidR="00F1527D">
        <w:t>oceny i audytu systemów informatycznych</w:t>
      </w:r>
    </w:p>
    <w:p w14:paraId="6A59AE6B" w14:textId="199AB63A" w:rsidR="00D520E8" w:rsidRDefault="00F1527D" w:rsidP="00E25967">
      <w:r>
        <w:t xml:space="preserve">72226000-5 - </w:t>
      </w:r>
      <w:r w:rsidR="00D520E8">
        <w:t xml:space="preserve">Usługi </w:t>
      </w:r>
      <w:r>
        <w:t>związane z konsultacjami w zakresie technologii informatycznych</w:t>
      </w:r>
    </w:p>
    <w:p w14:paraId="3B9326A9" w14:textId="29B44A28" w:rsidR="00F1527D" w:rsidRDefault="00F1527D" w:rsidP="00E25967">
      <w:r>
        <w:t>72316000-3 – Usługi w zakresie analizy danych</w:t>
      </w:r>
    </w:p>
    <w:p w14:paraId="0D852214" w14:textId="4EED8D84" w:rsidR="00D520E8" w:rsidRPr="006E14A4" w:rsidRDefault="00D520E8" w:rsidP="00DA3EC4">
      <w:pPr>
        <w:pStyle w:val="Nagwek2"/>
        <w:numPr>
          <w:ilvl w:val="0"/>
          <w:numId w:val="51"/>
        </w:numPr>
      </w:pPr>
      <w:r w:rsidRPr="006E14A4">
        <w:t>Termin wykonania zamówienia</w:t>
      </w:r>
    </w:p>
    <w:p w14:paraId="71DC040B" w14:textId="77777777" w:rsidR="00F1527D" w:rsidRPr="00585B61" w:rsidRDefault="00F1527D" w:rsidP="00F1527D">
      <w:r w:rsidRPr="00585B61">
        <w:t>Zamówienie należy zrealizować w terminie 4 tygodni od dnia podpisania umowy.</w:t>
      </w:r>
    </w:p>
    <w:p w14:paraId="2093FF87" w14:textId="2C3B494B" w:rsidR="00F1527D" w:rsidRPr="00CB52CE" w:rsidRDefault="00F1527D" w:rsidP="00F1527D">
      <w:r w:rsidRPr="00CB52CE">
        <w:t>Harmonogram</w:t>
      </w:r>
      <w:r w:rsidR="00CB52CE" w:rsidRPr="00CB52CE">
        <w:t xml:space="preserve"> ramowy</w:t>
      </w:r>
    </w:p>
    <w:p w14:paraId="68BE9650" w14:textId="77777777" w:rsidR="00F1527D" w:rsidRPr="00CB52CE" w:rsidRDefault="00F1527D" w:rsidP="00F1527D">
      <w:pPr>
        <w:numPr>
          <w:ilvl w:val="0"/>
          <w:numId w:val="42"/>
        </w:numPr>
        <w:spacing w:after="200"/>
      </w:pPr>
      <w:r w:rsidRPr="00CB52CE">
        <w:t>Tydzień 1: Kick</w:t>
      </w:r>
      <w:r w:rsidRPr="00CB52CE">
        <w:noBreakHyphen/>
        <w:t xml:space="preserve">off, zbiór materiałów, dostęp </w:t>
      </w:r>
      <w:proofErr w:type="spellStart"/>
      <w:r w:rsidRPr="00CB52CE">
        <w:t>read</w:t>
      </w:r>
      <w:r w:rsidRPr="00CB52CE">
        <w:noBreakHyphen/>
        <w:t>only</w:t>
      </w:r>
      <w:proofErr w:type="spellEnd"/>
      <w:r w:rsidRPr="00CB52CE">
        <w:t>, plan wywiadów.</w:t>
      </w:r>
    </w:p>
    <w:p w14:paraId="729964B5" w14:textId="77777777" w:rsidR="00F1527D" w:rsidRPr="00CB52CE" w:rsidRDefault="00F1527D" w:rsidP="00F1527D">
      <w:pPr>
        <w:numPr>
          <w:ilvl w:val="0"/>
          <w:numId w:val="42"/>
        </w:numPr>
        <w:spacing w:after="200"/>
      </w:pPr>
      <w:r w:rsidRPr="00CB52CE">
        <w:t>Tydzień 2–3: Analiza architektury/ETL/semantyki/słowników/DQ + analiza raportów (w tym 00328).</w:t>
      </w:r>
    </w:p>
    <w:p w14:paraId="01B9784E" w14:textId="77777777" w:rsidR="00F1527D" w:rsidRPr="00CB52CE" w:rsidRDefault="00F1527D" w:rsidP="00F1527D">
      <w:pPr>
        <w:numPr>
          <w:ilvl w:val="0"/>
          <w:numId w:val="42"/>
        </w:numPr>
        <w:spacing w:after="200"/>
      </w:pPr>
      <w:r w:rsidRPr="00CB52CE">
        <w:t>Tydzień 4: Raport końcowy + Macierz zgodności + Plan naprawczy; warsztat wynikowy.</w:t>
      </w:r>
    </w:p>
    <w:p w14:paraId="0CBF061C" w14:textId="54EE60DD" w:rsidR="00D520E8" w:rsidRDefault="00D520E8" w:rsidP="00DA3EC4">
      <w:pPr>
        <w:pStyle w:val="Nagwek2"/>
        <w:numPr>
          <w:ilvl w:val="0"/>
          <w:numId w:val="51"/>
        </w:numPr>
      </w:pPr>
      <w:r w:rsidRPr="00A2068F">
        <w:t>Warunki i sposób realizacji zamówienia</w:t>
      </w:r>
    </w:p>
    <w:p w14:paraId="175A1081" w14:textId="77777777" w:rsidR="00D520E8" w:rsidRPr="00A2068F" w:rsidRDefault="00D520E8" w:rsidP="00E25967">
      <w:pPr>
        <w:pStyle w:val="Akapitzlist"/>
        <w:numPr>
          <w:ilvl w:val="0"/>
          <w:numId w:val="29"/>
        </w:numPr>
        <w:ind w:left="425" w:right="1712" w:hanging="425"/>
        <w:contextualSpacing w:val="0"/>
        <w:rPr>
          <w:b/>
          <w:bCs/>
        </w:rPr>
      </w:pPr>
      <w:r w:rsidRPr="005D3D12">
        <w:t>Wynagrodzenie zostanie wypłacone za faktycznie zrealizowane usługi.</w:t>
      </w:r>
    </w:p>
    <w:p w14:paraId="7537DE68" w14:textId="77777777" w:rsidR="00D520E8" w:rsidRPr="00A2068F" w:rsidRDefault="00D520E8" w:rsidP="00E25967">
      <w:pPr>
        <w:pStyle w:val="Akapitzlist"/>
        <w:numPr>
          <w:ilvl w:val="0"/>
          <w:numId w:val="29"/>
        </w:numPr>
        <w:ind w:left="425" w:right="2" w:hanging="425"/>
        <w:contextualSpacing w:val="0"/>
        <w:rPr>
          <w:b/>
          <w:bCs/>
        </w:rPr>
      </w:pPr>
      <w:r w:rsidRPr="005D3D12">
        <w:t xml:space="preserve">Wykonawca w okresie realizacji umowy uwzględni wszelkie uwagi </w:t>
      </w:r>
      <w:r>
        <w:t>z</w:t>
      </w:r>
      <w:r w:rsidRPr="005D3D12">
        <w:t>głoszone przez Zamawiającego w zakresie realizacji zamówienia</w:t>
      </w:r>
      <w:r>
        <w:t xml:space="preserve"> i dokona ewentualnej korekty</w:t>
      </w:r>
      <w:r w:rsidRPr="005D3D12">
        <w:t>.</w:t>
      </w:r>
    </w:p>
    <w:p w14:paraId="7B5C28CC" w14:textId="77777777" w:rsidR="00D520E8" w:rsidRPr="00A2068F" w:rsidRDefault="00D520E8" w:rsidP="00E25967">
      <w:pPr>
        <w:pStyle w:val="Akapitzlist"/>
        <w:numPr>
          <w:ilvl w:val="0"/>
          <w:numId w:val="29"/>
        </w:numPr>
        <w:ind w:left="425" w:right="2" w:hanging="425"/>
        <w:contextualSpacing w:val="0"/>
        <w:rPr>
          <w:b/>
          <w:bCs/>
        </w:rPr>
      </w:pPr>
      <w:r w:rsidRPr="005D3D12">
        <w:t>Wykonawca będzie niezwłocznie informował o pojawiających się problemach, zagrożeniach lub opóźnieniach w realizacji, a także innych zagadnieniach istotnych dla realizacji zamówienia</w:t>
      </w:r>
      <w:r>
        <w:t>.</w:t>
      </w:r>
    </w:p>
    <w:p w14:paraId="19962567" w14:textId="339D164A" w:rsidR="00D520E8" w:rsidRDefault="00D520E8" w:rsidP="00DA3EC4">
      <w:pPr>
        <w:pStyle w:val="Nagwek2"/>
        <w:numPr>
          <w:ilvl w:val="0"/>
          <w:numId w:val="51"/>
        </w:numPr>
      </w:pPr>
      <w:r>
        <w:t>Warunki udziału w postępowaniu</w:t>
      </w:r>
    </w:p>
    <w:p w14:paraId="3025ADAC" w14:textId="68F6F9B1" w:rsidR="00D520E8" w:rsidRDefault="00D520E8" w:rsidP="00AA282A">
      <w:pPr>
        <w:pStyle w:val="Akapitzlist"/>
        <w:numPr>
          <w:ilvl w:val="1"/>
          <w:numId w:val="42"/>
        </w:numPr>
        <w:ind w:left="426" w:right="6"/>
      </w:pPr>
      <w:r w:rsidRPr="00820117">
        <w:t xml:space="preserve">O udzielenie zamówienia może ubiegać się </w:t>
      </w:r>
      <w:r>
        <w:t>W</w:t>
      </w:r>
      <w:r w:rsidRPr="00820117">
        <w:t>ykonawca, który posiada niezbędną wiedzę</w:t>
      </w:r>
      <w:r>
        <w:t>, </w:t>
      </w:r>
      <w:r w:rsidRPr="00820117">
        <w:t>doświadczenie</w:t>
      </w:r>
      <w:r>
        <w:t>, kwalifikacje</w:t>
      </w:r>
      <w:r w:rsidRPr="00820117">
        <w:t xml:space="preserve"> oraz dysponuje odpowiednim potencjałem </w:t>
      </w:r>
      <w:r w:rsidRPr="00D67939">
        <w:t>technicznym i osobami zdolnymi do wykonania zamówienia.</w:t>
      </w:r>
    </w:p>
    <w:p w14:paraId="5C9B8413" w14:textId="5F95AE38" w:rsidR="00AA282A" w:rsidRDefault="00AA282A" w:rsidP="00AA282A">
      <w:pPr>
        <w:pStyle w:val="Akapitzlist"/>
        <w:numPr>
          <w:ilvl w:val="1"/>
          <w:numId w:val="42"/>
        </w:numPr>
        <w:ind w:left="426" w:right="6"/>
      </w:pPr>
      <w:r>
        <w:t>Posiada:</w:t>
      </w:r>
    </w:p>
    <w:p w14:paraId="63910CB8" w14:textId="457F52EE" w:rsidR="00AA282A" w:rsidRDefault="00AA282A" w:rsidP="00AA282A">
      <w:pPr>
        <w:pStyle w:val="Akapitzlist"/>
        <w:numPr>
          <w:ilvl w:val="0"/>
          <w:numId w:val="52"/>
        </w:numPr>
        <w:ind w:right="6"/>
      </w:pPr>
      <w:r>
        <w:lastRenderedPageBreak/>
        <w:t>co najmniej 5 lat doświadczenia w audytach hurtowni danych u dużych firm powyżej 200 pracowników;</w:t>
      </w:r>
    </w:p>
    <w:p w14:paraId="4EA1D100" w14:textId="5CD7AF20" w:rsidR="00AA282A" w:rsidRDefault="00E521D2" w:rsidP="00AA282A">
      <w:pPr>
        <w:pStyle w:val="Akapitzlist"/>
        <w:numPr>
          <w:ilvl w:val="0"/>
          <w:numId w:val="52"/>
        </w:numPr>
        <w:ind w:right="6"/>
      </w:pPr>
      <w:r>
        <w:t xml:space="preserve">udokumentowane przeprowadzenie </w:t>
      </w:r>
      <w:r w:rsidR="00AA282A">
        <w:t xml:space="preserve">co najmniej </w:t>
      </w:r>
      <w:r>
        <w:t>2</w:t>
      </w:r>
      <w:r w:rsidR="00AA282A">
        <w:t xml:space="preserve"> </w:t>
      </w:r>
      <w:r>
        <w:t>audytów hurtowni danych</w:t>
      </w:r>
      <w:r w:rsidR="00AA282A">
        <w:t>;</w:t>
      </w:r>
    </w:p>
    <w:p w14:paraId="30DBC4E4" w14:textId="45202BFF" w:rsidR="00AA282A" w:rsidRDefault="00AA282A" w:rsidP="00AA282A">
      <w:pPr>
        <w:pStyle w:val="Akapitzlist"/>
        <w:numPr>
          <w:ilvl w:val="0"/>
          <w:numId w:val="52"/>
        </w:numPr>
        <w:ind w:right="6"/>
      </w:pPr>
      <w:r>
        <w:t>znajomość różnych technologii hurtowni danych (np. SQL, systemy chmurowe, narzędzia ETL);</w:t>
      </w:r>
    </w:p>
    <w:p w14:paraId="7DEBC7D7" w14:textId="22CE9321" w:rsidR="00AA282A" w:rsidRPr="00D67939" w:rsidRDefault="00AA282A" w:rsidP="00AA282A">
      <w:pPr>
        <w:pStyle w:val="Akapitzlist"/>
        <w:numPr>
          <w:ilvl w:val="0"/>
          <w:numId w:val="52"/>
        </w:numPr>
        <w:ind w:right="6"/>
      </w:pPr>
      <w:r>
        <w:t>kompetencje w obszarze bezpieczeństwa danych i zgodności z regulacjami.</w:t>
      </w:r>
    </w:p>
    <w:p w14:paraId="617FB0EC" w14:textId="217B4330" w:rsidR="00D520E8" w:rsidRDefault="00D520E8" w:rsidP="00DA3EC4">
      <w:pPr>
        <w:pStyle w:val="Nagwek2"/>
        <w:numPr>
          <w:ilvl w:val="0"/>
          <w:numId w:val="51"/>
        </w:numPr>
      </w:pPr>
      <w:r>
        <w:t>Przesłanki wykluczenia Wykonawcy</w:t>
      </w:r>
    </w:p>
    <w:p w14:paraId="7AB33D13" w14:textId="77777777" w:rsidR="00D520E8" w:rsidRPr="009356B0" w:rsidRDefault="00D520E8" w:rsidP="00E25967">
      <w:pPr>
        <w:numPr>
          <w:ilvl w:val="0"/>
          <w:numId w:val="22"/>
        </w:numPr>
        <w:ind w:left="426" w:right="6" w:hanging="426"/>
      </w:pPr>
      <w:r w:rsidRPr="009356B0">
        <w:t>Zamówienie nie zostanie udzielone Wykonawcy, który podlega wykluczeniu z postępowania.</w:t>
      </w:r>
    </w:p>
    <w:p w14:paraId="493AFEF5" w14:textId="77777777" w:rsidR="00D520E8" w:rsidRDefault="00D520E8" w:rsidP="00E25967">
      <w:pPr>
        <w:numPr>
          <w:ilvl w:val="0"/>
          <w:numId w:val="22"/>
        </w:numPr>
        <w:ind w:left="426" w:right="6" w:hanging="426"/>
      </w:pPr>
      <w:r w:rsidRPr="009356B0">
        <w:t>Wykonawca podlega wykluczeniu w oparciu o podstawy wykluczenia wskazane art. 7 ustawy z dnia 13 kwietnia 2022 r. o szczególnych</w:t>
      </w:r>
      <w:r>
        <w:t xml:space="preserve"> rozwiązaniach w zakresie przeciwdziałania wspieraniu agresji na Ukrainę oraz służących ochronie bezpieczeństwa narodowego (</w:t>
      </w:r>
      <w:proofErr w:type="spellStart"/>
      <w:r>
        <w:t>t.j</w:t>
      </w:r>
      <w:proofErr w:type="spellEnd"/>
      <w:r>
        <w:t>. Dz. U. 2025 r., poz. 514).</w:t>
      </w:r>
    </w:p>
    <w:p w14:paraId="7753DCFC" w14:textId="77777777" w:rsidR="00D520E8" w:rsidRDefault="00D520E8" w:rsidP="00E25967">
      <w:pPr>
        <w:numPr>
          <w:ilvl w:val="0"/>
          <w:numId w:val="22"/>
        </w:numPr>
        <w:ind w:left="426" w:right="6" w:hanging="426"/>
      </w:pPr>
      <w:r>
        <w:t>Zamawiający informuje, że wykluczeniu z postępowania na podstawie punktu 2 podlega:</w:t>
      </w:r>
    </w:p>
    <w:p w14:paraId="6751A389" w14:textId="77777777" w:rsidR="00D520E8" w:rsidRDefault="00D520E8" w:rsidP="00E25967">
      <w:pPr>
        <w:numPr>
          <w:ilvl w:val="1"/>
          <w:numId w:val="22"/>
        </w:numPr>
        <w:ind w:left="709" w:right="6" w:hanging="425"/>
      </w:pPr>
      <w:r>
        <w:t xml:space="preserve">wykonawca wymieniony w wykazach określonych w rozporządzeniu 765/2006 i rozporządzeniu 269/2014 albo wpisany na listę na podstawie decyzji w sprawie wpisu na listę rozstrzygającej o zastosowaniu środka, o którym mowa w art. 1 pkt 3 </w:t>
      </w:r>
      <w:r w:rsidRPr="00BF2FB8">
        <w:t>ustawy z</w:t>
      </w:r>
      <w:r>
        <w:t> </w:t>
      </w:r>
      <w:r w:rsidRPr="00BF2FB8">
        <w:t>dnia 13 kwietnia 2022 r. o szczególnych rozwiązaniach w zakresie przeciwdziałania wspieraniu agresji na Ukrainę oraz służących ochronie bezpieczeństwa narodowego</w:t>
      </w:r>
      <w:r>
        <w:t>;</w:t>
      </w:r>
    </w:p>
    <w:p w14:paraId="41FB9F81" w14:textId="77777777" w:rsidR="00D520E8" w:rsidRDefault="00D520E8" w:rsidP="00E25967">
      <w:pPr>
        <w:numPr>
          <w:ilvl w:val="1"/>
          <w:numId w:val="22"/>
        </w:numPr>
        <w:ind w:left="709" w:right="6" w:hanging="425"/>
      </w:pPr>
      <w:r>
        <w:t xml:space="preserve">wykonawca, którego beneficjentem rzeczywistym w rozumieniu ustawy z dnia 1 marca 2018 r. o przeciwdziałaniu praniu pieniędzy oraz finansowaniu terroryzmu (Dz. U. z 2023 r. poz. 1124, z </w:t>
      </w:r>
      <w:proofErr w:type="spellStart"/>
      <w:r>
        <w:t>późn</w:t>
      </w:r>
      <w:proofErr w:type="spellEnd"/>
      <w:r>
        <w:t>. zm.) jest</w:t>
      </w:r>
      <w:r w:rsidRPr="00BF2FB8">
        <w:t xml:space="preserve"> </w:t>
      </w:r>
      <w:r>
        <w:t>osoba wymieniona w wykazach określonych w rozporządzeniu 765/2006 i rozporządzeniu 269/2014 albo wpisana</w:t>
      </w:r>
      <w:r w:rsidRPr="00BF2FB8">
        <w:t xml:space="preserve"> </w:t>
      </w:r>
      <w:r>
        <w:t>na listę lub będąca takim beneficjentem rzeczywistym od dnia 24 lutego 2022 r., o ile została wpisana na listę na podstawie decyzji w sprawie wpisu na listę rozstrzygającej o zastosowaniu środka, o którym mowa w art. 1 pkt 3</w:t>
      </w:r>
      <w:r w:rsidRPr="00BF2FB8">
        <w:t xml:space="preserve"> ustawy z dnia 13 kwietnia 2022 r. o szczególnych rozwiązaniach w zakresie przeciwdziałania wspieraniu agresji na Ukrainę oraz służących ochronie bezpieczeństwa narodowego</w:t>
      </w:r>
      <w:r>
        <w:t>;</w:t>
      </w:r>
    </w:p>
    <w:p w14:paraId="6D22DE71" w14:textId="77777777" w:rsidR="00D520E8" w:rsidRDefault="00D520E8" w:rsidP="00E25967">
      <w:pPr>
        <w:pStyle w:val="Akapitzlist"/>
        <w:numPr>
          <w:ilvl w:val="1"/>
          <w:numId w:val="22"/>
        </w:numPr>
        <w:ind w:left="709" w:right="6" w:hanging="425"/>
        <w:contextualSpacing w:val="0"/>
      </w:pPr>
      <w:r>
        <w:t>wykonawca,</w:t>
      </w:r>
      <w:r w:rsidRPr="00BF2FB8">
        <w:t xml:space="preserve"> </w:t>
      </w:r>
      <w:r>
        <w:t>którego jednostką dominującą w rozumieniu art. 3 ust. 1 pkt 37 ustawy z dnia29 września 1994 r. o rachunkowości (Dz. U. z 2023 r. poz. 120, 295 i 1598 oraz z 2024 r.</w:t>
      </w:r>
      <w:r w:rsidRPr="00BF2FB8">
        <w:t xml:space="preserve"> </w:t>
      </w:r>
      <w:r>
        <w:t>poz. 619, 1685 i 1863) jest</w:t>
      </w:r>
      <w:r w:rsidRPr="00BF2FB8">
        <w:t xml:space="preserve"> </w:t>
      </w:r>
      <w:r>
        <w:t>podmiot wymieniony w wykazach określonych w rozporządzeniu 765/2006 i</w:t>
      </w:r>
      <w:r w:rsidRPr="00BF2FB8">
        <w:t xml:space="preserve"> </w:t>
      </w:r>
      <w:r>
        <w:t>rozporządzeniu 269/2014 albo wpisany</w:t>
      </w:r>
      <w:r w:rsidRPr="00BF2FB8">
        <w:t xml:space="preserve"> </w:t>
      </w:r>
      <w:r>
        <w:t>na listę lub będący taką jednostką dominującą od dnia 24 lutego 2022 r., o ile został wpisany na listę na podstawie</w:t>
      </w:r>
      <w:r w:rsidRPr="00BF2FB8">
        <w:t xml:space="preserve"> </w:t>
      </w:r>
      <w:r>
        <w:t xml:space="preserve">decyzji w sprawie wpisu na listę rozstrzygającej o zastosowaniu środka, o którym mowa w art. 1 pkt 3 </w:t>
      </w:r>
      <w:r w:rsidRPr="00BF2FB8">
        <w:t xml:space="preserve">ustawy z dnia 13 kwietnia 2022 r. </w:t>
      </w:r>
      <w:r w:rsidRPr="00BF2FB8">
        <w:lastRenderedPageBreak/>
        <w:t>o</w:t>
      </w:r>
      <w:r>
        <w:t> </w:t>
      </w:r>
      <w:r w:rsidRPr="00BF2FB8">
        <w:t>szczególnych rozwiązaniach w zakresie przeciwdziałania wspieraniu agresji na Ukrainę oraz służących ochronie bezpieczeństwa narodowego</w:t>
      </w:r>
      <w:r>
        <w:t>.</w:t>
      </w:r>
    </w:p>
    <w:p w14:paraId="6DBC994C" w14:textId="77777777" w:rsidR="00D520E8" w:rsidRDefault="00D520E8" w:rsidP="00E25967">
      <w:pPr>
        <w:pStyle w:val="Akapitzlist"/>
        <w:numPr>
          <w:ilvl w:val="0"/>
          <w:numId w:val="22"/>
        </w:numPr>
        <w:ind w:left="426" w:right="6" w:hanging="426"/>
        <w:contextualSpacing w:val="0"/>
      </w:pPr>
      <w:r>
        <w:t>Wykluczenie, o którym mowa w punkcie 3 następuje na okres trwania ww. okoliczności.</w:t>
      </w:r>
    </w:p>
    <w:p w14:paraId="7751E960" w14:textId="77777777" w:rsidR="00D520E8" w:rsidRPr="00973D99" w:rsidRDefault="00D520E8" w:rsidP="00E25967">
      <w:pPr>
        <w:pStyle w:val="Akapitzlist"/>
        <w:numPr>
          <w:ilvl w:val="0"/>
          <w:numId w:val="22"/>
        </w:numPr>
        <w:ind w:left="426" w:right="2" w:hanging="426"/>
        <w:contextualSpacing w:val="0"/>
      </w:pPr>
      <w:r w:rsidRPr="00973D99">
        <w:t xml:space="preserve">Weryfikacja spełniania braku podstaw wykluczenia nastąpi w oparciu o analizę oświadczenia Wykonawcy zawartego w </w:t>
      </w:r>
      <w:r>
        <w:t>f</w:t>
      </w:r>
      <w:r w:rsidRPr="00973D99">
        <w:t>ormularzu ofertowym.</w:t>
      </w:r>
    </w:p>
    <w:p w14:paraId="1C72EFF4" w14:textId="77777777" w:rsidR="00D520E8" w:rsidRPr="007B5A69" w:rsidRDefault="00D520E8" w:rsidP="00E25967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contextualSpacing w:val="0"/>
      </w:pPr>
      <w:r w:rsidRPr="00AB3143">
        <w:t xml:space="preserve">Z postępowania </w:t>
      </w:r>
      <w:r w:rsidRPr="009356B0">
        <w:t>Zamawiający wykluczy Wykonawcę</w:t>
      </w:r>
      <w:r w:rsidRPr="00AB3143">
        <w:rPr>
          <w:b/>
          <w:bCs/>
        </w:rPr>
        <w:t xml:space="preserve"> </w:t>
      </w:r>
      <w:r w:rsidRPr="002A5612">
        <w:t>powiązanego z Zamawiającym</w:t>
      </w:r>
      <w:r>
        <w:t xml:space="preserve"> </w:t>
      </w:r>
      <w:r w:rsidRPr="002A5612">
        <w:t>osobowo lub kapitałowo.</w:t>
      </w:r>
      <w:r w:rsidRPr="00AB3143">
        <w:t xml:space="preserve"> Przez powiązanie kapitałowe lub osobowe rozumie się wzajemne powiązania między </w:t>
      </w:r>
      <w:r>
        <w:t>Z</w:t>
      </w:r>
      <w:r w:rsidRPr="00AB3143">
        <w:t xml:space="preserve">amawiającym lub osobami wykonującymi w imieniu </w:t>
      </w:r>
      <w:r>
        <w:t>Z</w:t>
      </w:r>
      <w:r w:rsidRPr="00AB3143">
        <w:t xml:space="preserve">amawiającego </w:t>
      </w:r>
      <w:r w:rsidRPr="007B5A69">
        <w:t>czynności związanych z przygotowaniem i przeprowadzeniem procedury wyboru Wykonawcy, a Wykonawcą, polegające w szczególności na:</w:t>
      </w:r>
    </w:p>
    <w:p w14:paraId="006C22A9" w14:textId="77777777" w:rsidR="00D520E8" w:rsidRPr="007B5A69" w:rsidRDefault="00D520E8" w:rsidP="00E25967">
      <w:pPr>
        <w:pStyle w:val="Akapitzlist"/>
        <w:numPr>
          <w:ilvl w:val="0"/>
          <w:numId w:val="23"/>
        </w:numPr>
        <w:ind w:hanging="426"/>
        <w:contextualSpacing w:val="0"/>
      </w:pPr>
      <w:bookmarkStart w:id="1" w:name="_Hlk214255428"/>
      <w:r w:rsidRPr="007B5A69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4F7A57A7" w14:textId="77777777" w:rsidR="00D520E8" w:rsidRPr="007B5A69" w:rsidRDefault="00D520E8" w:rsidP="00E25967">
      <w:pPr>
        <w:pStyle w:val="Akapitzlist"/>
        <w:numPr>
          <w:ilvl w:val="0"/>
          <w:numId w:val="23"/>
        </w:numPr>
        <w:ind w:hanging="426"/>
        <w:contextualSpacing w:val="0"/>
      </w:pPr>
      <w:r w:rsidRPr="007B5A69"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23818C98" w14:textId="77777777" w:rsidR="00D520E8" w:rsidRPr="007B5A69" w:rsidRDefault="00D520E8" w:rsidP="00E25967">
      <w:pPr>
        <w:pStyle w:val="Akapitzlist"/>
        <w:numPr>
          <w:ilvl w:val="0"/>
          <w:numId w:val="23"/>
        </w:numPr>
        <w:ind w:hanging="426"/>
        <w:contextualSpacing w:val="0"/>
      </w:pPr>
      <w:r w:rsidRPr="007B5A69">
        <w:t>pozostawaniu z Wykonawcą w takim stosunku prawnym lub faktycznym, że istnieje uzasadniona wątpliwość co do ich bezstronności lub niezależności w związku z</w:t>
      </w:r>
      <w:r>
        <w:t> </w:t>
      </w:r>
      <w:r w:rsidRPr="007B5A69">
        <w:t>postępowaniem o udzielenie zamówienia.</w:t>
      </w:r>
    </w:p>
    <w:bookmarkEnd w:id="1"/>
    <w:p w14:paraId="3BFB69E0" w14:textId="0C27F40B" w:rsidR="00D520E8" w:rsidRPr="007B5A69" w:rsidRDefault="00D520E8" w:rsidP="00DA3EC4">
      <w:pPr>
        <w:pStyle w:val="Akapitzlist"/>
        <w:numPr>
          <w:ilvl w:val="0"/>
          <w:numId w:val="22"/>
        </w:numPr>
        <w:ind w:left="426" w:hanging="426"/>
      </w:pPr>
      <w:r w:rsidRPr="007B5A69">
        <w:t xml:space="preserve">Brak podstaw wykluczenia, o których mowa w niniejszym </w:t>
      </w:r>
      <w:r>
        <w:t>ustępie</w:t>
      </w:r>
      <w:r w:rsidRPr="007B5A69">
        <w:t xml:space="preserve">, zostanie zweryfikowany w oparciu o oświadczenie Wykonawcy (załącznik nr 2 do </w:t>
      </w:r>
      <w:r>
        <w:t>z</w:t>
      </w:r>
      <w:r w:rsidRPr="007B5A69">
        <w:t>apytania ofertowego)</w:t>
      </w:r>
      <w:r w:rsidR="00DA3EC4">
        <w:t>.</w:t>
      </w:r>
    </w:p>
    <w:p w14:paraId="37199B3B" w14:textId="79236AE9" w:rsidR="00D520E8" w:rsidRPr="007B5A69" w:rsidRDefault="00DA3EC4" w:rsidP="00DA3EC4">
      <w:pPr>
        <w:pStyle w:val="Nagwek2"/>
      </w:pPr>
      <w:r>
        <w:t>8. O</w:t>
      </w:r>
      <w:r w:rsidR="00D520E8" w:rsidRPr="007B5A69">
        <w:t>pis kryteriów i sposób oceny ofert</w:t>
      </w:r>
    </w:p>
    <w:p w14:paraId="6C64ECA4" w14:textId="77777777" w:rsidR="00D520E8" w:rsidRDefault="00D520E8" w:rsidP="00DA3EC4">
      <w:r w:rsidRPr="00096468">
        <w:t xml:space="preserve">Zamawiający dokona oceny ofert na podstawie danych zawartych w </w:t>
      </w:r>
      <w:r>
        <w:t>f</w:t>
      </w:r>
      <w:r w:rsidRPr="00096468">
        <w:t xml:space="preserve">ormularzu </w:t>
      </w:r>
      <w:r>
        <w:t>o</w:t>
      </w:r>
      <w:r w:rsidRPr="00096468">
        <w:t>fert</w:t>
      </w:r>
      <w:r>
        <w:t>owym</w:t>
      </w:r>
      <w:r w:rsidRPr="00096468">
        <w:t xml:space="preserve"> stanowiącym załącznik numer </w:t>
      </w:r>
      <w:r>
        <w:t>1</w:t>
      </w:r>
      <w:r w:rsidRPr="00096468">
        <w:t xml:space="preserve"> do zapytania ofertowego</w:t>
      </w:r>
      <w:r>
        <w:t>.</w:t>
      </w:r>
    </w:p>
    <w:p w14:paraId="65844C70" w14:textId="77777777" w:rsidR="00E83956" w:rsidRDefault="00D520E8" w:rsidP="00E83956">
      <w:pPr>
        <w:pStyle w:val="Akapitzlist"/>
        <w:numPr>
          <w:ilvl w:val="0"/>
          <w:numId w:val="47"/>
        </w:numPr>
        <w:ind w:left="567" w:right="2" w:hanging="425"/>
        <w:contextualSpacing w:val="0"/>
      </w:pPr>
      <w:r w:rsidRPr="00096468">
        <w:t>Zamawiający odrzuci ofertę, jeżeli oferta zostanie złożona przez Wykonawcę, który posiada zaległości finansowe względem Zamawiającego lub jest z nim w sporze prawnym. Wykonawca potwierdzi na formularzu ofertowym, że nie posiada rzeczonych zaległości względem Zamawiającego ani nie jest z nim w sporze prawnym.</w:t>
      </w:r>
    </w:p>
    <w:p w14:paraId="387F127B" w14:textId="271180BB" w:rsidR="00D520E8" w:rsidRDefault="00D520E8" w:rsidP="00E83956">
      <w:pPr>
        <w:pStyle w:val="Akapitzlist"/>
        <w:numPr>
          <w:ilvl w:val="0"/>
          <w:numId w:val="47"/>
        </w:numPr>
        <w:ind w:left="567" w:right="2" w:hanging="425"/>
        <w:contextualSpacing w:val="0"/>
      </w:pPr>
      <w:r>
        <w:t>Przy wyborze najkorzystniejszej oferty Zamawiający będzie kierował się najniższą ceną:</w:t>
      </w:r>
    </w:p>
    <w:p w14:paraId="7DF4D7EA" w14:textId="4AC7C13C" w:rsidR="00D520E8" w:rsidRPr="009A2E1D" w:rsidRDefault="00D520E8" w:rsidP="00E83956">
      <w:pPr>
        <w:pStyle w:val="Akapitzlist"/>
        <w:numPr>
          <w:ilvl w:val="1"/>
          <w:numId w:val="47"/>
        </w:numPr>
        <w:ind w:left="993"/>
        <w:contextualSpacing w:val="0"/>
        <w:rPr>
          <w:b/>
          <w:bCs/>
        </w:rPr>
      </w:pPr>
      <w:r w:rsidRPr="5249F816">
        <w:rPr>
          <w:b/>
          <w:bCs/>
        </w:rPr>
        <w:t xml:space="preserve">Kryterium – cena brutto – waga </w:t>
      </w:r>
      <w:r w:rsidR="00F1527D">
        <w:rPr>
          <w:b/>
          <w:bCs/>
        </w:rPr>
        <w:t>8</w:t>
      </w:r>
      <w:r w:rsidRPr="5249F816">
        <w:rPr>
          <w:b/>
          <w:bCs/>
        </w:rPr>
        <w:t>0% (</w:t>
      </w:r>
      <w:r w:rsidR="00F1527D">
        <w:rPr>
          <w:b/>
          <w:bCs/>
        </w:rPr>
        <w:t>8</w:t>
      </w:r>
      <w:r w:rsidRPr="5249F816">
        <w:rPr>
          <w:b/>
          <w:bCs/>
        </w:rPr>
        <w:t>0 punktów).</w:t>
      </w:r>
    </w:p>
    <w:p w14:paraId="350C270B" w14:textId="0C3D1C96" w:rsidR="00D520E8" w:rsidRPr="007B5A69" w:rsidRDefault="00D520E8" w:rsidP="00E25967">
      <w:pPr>
        <w:ind w:left="426"/>
      </w:pPr>
      <w:r w:rsidRPr="007B5A69">
        <w:lastRenderedPageBreak/>
        <w:t xml:space="preserve">Maksymalną liczbę punktów </w:t>
      </w:r>
      <w:r>
        <w:t xml:space="preserve">w ramach tego </w:t>
      </w:r>
      <w:r w:rsidRPr="007B5A69">
        <w:t>kryterium (</w:t>
      </w:r>
      <w:r w:rsidR="00F1527D">
        <w:t>8</w:t>
      </w:r>
      <w:r>
        <w:t>0</w:t>
      </w:r>
      <w:r w:rsidRPr="007B5A69">
        <w:t xml:space="preserve"> </w:t>
      </w:r>
      <w:r>
        <w:t>punktów)</w:t>
      </w:r>
      <w:r w:rsidRPr="007B5A69">
        <w:t xml:space="preserve"> otrzyma oferta Wykonawcy, który zaproponuje najniższą cenę brutto za wykonanie całości przedmiotu zamówienia. Liczbę punktów oblicza się zgodnie z poniższym wzorem:</w:t>
      </w:r>
    </w:p>
    <w:p w14:paraId="2E428E5D" w14:textId="77777777" w:rsidR="00D520E8" w:rsidRPr="007B5A69" w:rsidRDefault="00D520E8" w:rsidP="00E25967">
      <w:pPr>
        <w:ind w:left="567"/>
      </w:pPr>
      <w:r w:rsidRPr="007B5A69">
        <w:t xml:space="preserve">C = </w:t>
      </w:r>
      <w:proofErr w:type="spellStart"/>
      <w:r w:rsidRPr="007B5A69">
        <w:t>Cn</w:t>
      </w:r>
      <w:proofErr w:type="spellEnd"/>
      <w:r w:rsidRPr="007B5A69">
        <w:t xml:space="preserve">/Co x </w:t>
      </w:r>
      <w:r>
        <w:t>100</w:t>
      </w:r>
      <w:r w:rsidRPr="007B5A69">
        <w:t xml:space="preserve"> pkt</w:t>
      </w:r>
    </w:p>
    <w:p w14:paraId="4A5C568F" w14:textId="77777777" w:rsidR="00D520E8" w:rsidRPr="007B5A69" w:rsidRDefault="00D520E8" w:rsidP="00E25967">
      <w:pPr>
        <w:ind w:left="567"/>
      </w:pPr>
      <w:r w:rsidRPr="007B5A69">
        <w:t>gdzie:</w:t>
      </w:r>
    </w:p>
    <w:p w14:paraId="53717E72" w14:textId="77777777" w:rsidR="00D520E8" w:rsidRPr="007B5A69" w:rsidRDefault="00D520E8" w:rsidP="00E25967">
      <w:pPr>
        <w:ind w:left="567"/>
      </w:pPr>
      <w:proofErr w:type="spellStart"/>
      <w:r w:rsidRPr="007B5A69">
        <w:t>Cn</w:t>
      </w:r>
      <w:proofErr w:type="spellEnd"/>
      <w:r w:rsidRPr="007B5A69">
        <w:t xml:space="preserve"> – najniższa cena brutto spośród ocenianych ofert</w:t>
      </w:r>
    </w:p>
    <w:p w14:paraId="440CB4BB" w14:textId="77777777" w:rsidR="00D520E8" w:rsidRPr="007B5A69" w:rsidRDefault="00D520E8" w:rsidP="00E25967">
      <w:pPr>
        <w:ind w:left="567"/>
      </w:pPr>
      <w:r w:rsidRPr="007B5A69">
        <w:t>Co – cena brutto oferty ocenianej</w:t>
      </w:r>
    </w:p>
    <w:p w14:paraId="367E3131" w14:textId="77777777" w:rsidR="00D520E8" w:rsidRDefault="00D520E8" w:rsidP="00E25967">
      <w:pPr>
        <w:ind w:left="426"/>
      </w:pPr>
      <w:r w:rsidRPr="007B5A69">
        <w:t>Liczba punktów zostanie zaokrąglona do drugiego miejsca po przecinku.</w:t>
      </w:r>
    </w:p>
    <w:p w14:paraId="58FD2705" w14:textId="7EA85FF5" w:rsidR="00F1527D" w:rsidRPr="00E83956" w:rsidRDefault="00F1527D" w:rsidP="00E83956">
      <w:pPr>
        <w:pStyle w:val="Akapitzlist"/>
        <w:numPr>
          <w:ilvl w:val="1"/>
          <w:numId w:val="47"/>
        </w:numPr>
        <w:ind w:left="993"/>
        <w:rPr>
          <w:b/>
          <w:bCs/>
        </w:rPr>
      </w:pPr>
      <w:r w:rsidRPr="00E83956">
        <w:rPr>
          <w:b/>
          <w:bCs/>
        </w:rPr>
        <w:t>Doświadczenie wykonawcy w audytach Hurtowni danych  – waga 20% (20 punktów)</w:t>
      </w:r>
    </w:p>
    <w:p w14:paraId="0C1A9266" w14:textId="4EA5C90C" w:rsidR="00F1527D" w:rsidRDefault="00F1527D" w:rsidP="00F1527D">
      <w:pPr>
        <w:pStyle w:val="Akapitzlist"/>
        <w:ind w:left="425" w:right="2"/>
        <w:contextualSpacing w:val="0"/>
      </w:pPr>
      <w:r w:rsidRPr="007B5A69">
        <w:t xml:space="preserve">Maksymalną liczbę punktów </w:t>
      </w:r>
      <w:r>
        <w:t xml:space="preserve">w ramach tego </w:t>
      </w:r>
      <w:r w:rsidRPr="007B5A69">
        <w:t>kryterium (</w:t>
      </w:r>
      <w:r>
        <w:t>20</w:t>
      </w:r>
      <w:r w:rsidRPr="007B5A69">
        <w:t xml:space="preserve"> </w:t>
      </w:r>
      <w:r>
        <w:t>punktów)</w:t>
      </w:r>
      <w:r w:rsidRPr="007B5A69">
        <w:t xml:space="preserve"> otrzyma oferta Wykonawcy, który</w:t>
      </w:r>
      <w:r>
        <w:t xml:space="preserve"> wykaże </w:t>
      </w:r>
      <w:r w:rsidR="00E521D2">
        <w:t>dodatkow</w:t>
      </w:r>
      <w:r w:rsidR="00C17946">
        <w:t>o</w:t>
      </w:r>
      <w:r w:rsidR="00E521D2">
        <w:t xml:space="preserve"> co najmniej </w:t>
      </w:r>
      <w:r>
        <w:t>2 audyt</w:t>
      </w:r>
      <w:r w:rsidR="00E521D2">
        <w:t>y</w:t>
      </w:r>
      <w:r>
        <w:t xml:space="preserve"> hurtowni danych</w:t>
      </w:r>
      <w:r w:rsidR="00E521D2">
        <w:t xml:space="preserve"> (inne niż wskazane na potwierdzenie doświadczenia, o którym mowa w ustępie 6)</w:t>
      </w:r>
      <w:r>
        <w:t xml:space="preserve">. </w:t>
      </w:r>
    </w:p>
    <w:p w14:paraId="1A8FD676" w14:textId="77777777" w:rsidR="00E83956" w:rsidRDefault="00D520E8" w:rsidP="00E83956">
      <w:pPr>
        <w:pStyle w:val="Akapitzlist"/>
        <w:ind w:left="425" w:right="2"/>
        <w:contextualSpacing w:val="0"/>
      </w:pPr>
      <w:r>
        <w:t>Najkorzystniejsza oferta może uzyskać maksymalnie 100 punktów.</w:t>
      </w:r>
    </w:p>
    <w:p w14:paraId="6844A62E" w14:textId="77777777" w:rsidR="00E83956" w:rsidRDefault="00D520E8" w:rsidP="00E83956">
      <w:pPr>
        <w:pStyle w:val="Akapitzlist"/>
        <w:numPr>
          <w:ilvl w:val="0"/>
          <w:numId w:val="47"/>
        </w:numPr>
        <w:ind w:left="426" w:right="2" w:hanging="426"/>
        <w:contextualSpacing w:val="0"/>
      </w:pPr>
      <w:r>
        <w:t>Zamawiający udzieli zamówienia Wykonawcy, którego oferta odpowiadać będzie wszystkim wymaganiom przedstawionym w zapytaniu ofertowym i zostanie oceniona jako najkorzystniejsza.</w:t>
      </w:r>
    </w:p>
    <w:p w14:paraId="7DDB8C2E" w14:textId="26961F8A" w:rsidR="00D520E8" w:rsidRPr="007B5A69" w:rsidRDefault="00D520E8" w:rsidP="00E83956">
      <w:pPr>
        <w:pStyle w:val="Akapitzlist"/>
        <w:numPr>
          <w:ilvl w:val="0"/>
          <w:numId w:val="47"/>
        </w:numPr>
        <w:ind w:left="426" w:right="2" w:hanging="426"/>
        <w:contextualSpacing w:val="0"/>
      </w:pPr>
      <w:r>
        <w:t xml:space="preserve">W </w:t>
      </w:r>
      <w:r w:rsidRPr="00645012">
        <w:t>przypadku, gdy w postępowaniu nie będzie można dokonać wyboru oferty najkorzystniejszej z uwagi na to, że dwie lub więcej ofert uzyska taką samą liczbę punktów, Zamawiający wezwie Wykonawców do ponownego złożenia korzystniejszych ofert.</w:t>
      </w:r>
    </w:p>
    <w:p w14:paraId="6A9DA9D5" w14:textId="75BEB618" w:rsidR="00D520E8" w:rsidRPr="00E2056F" w:rsidRDefault="00DA3EC4" w:rsidP="00E25967">
      <w:pPr>
        <w:pStyle w:val="Nagwek2"/>
      </w:pPr>
      <w:r>
        <w:t xml:space="preserve">9. </w:t>
      </w:r>
      <w:r w:rsidR="00D520E8" w:rsidRPr="00E2056F">
        <w:t>Termin związania ofertą</w:t>
      </w:r>
    </w:p>
    <w:p w14:paraId="3D894A96" w14:textId="77777777" w:rsidR="00D520E8" w:rsidRDefault="00D520E8" w:rsidP="00E25967">
      <w:pPr>
        <w:ind w:right="5"/>
      </w:pPr>
      <w:r w:rsidRPr="00762AF6">
        <w:t>30 dni od dnia upływu terminu składania ofert.</w:t>
      </w:r>
    </w:p>
    <w:p w14:paraId="194CBB9D" w14:textId="49664250" w:rsidR="00D520E8" w:rsidRDefault="00DA3EC4" w:rsidP="00E25967">
      <w:pPr>
        <w:pStyle w:val="Nagwek2"/>
      </w:pPr>
      <w:r>
        <w:t xml:space="preserve">10. </w:t>
      </w:r>
      <w:r w:rsidR="00D520E8">
        <w:t>Wymagane dokumenty</w:t>
      </w:r>
    </w:p>
    <w:p w14:paraId="2FC6264A" w14:textId="6BF63748" w:rsidR="00D520E8" w:rsidRDefault="00D520E8" w:rsidP="00E521D2">
      <w:pPr>
        <w:pStyle w:val="Akapitzlist"/>
        <w:numPr>
          <w:ilvl w:val="1"/>
          <w:numId w:val="53"/>
        </w:numPr>
        <w:ind w:left="426" w:right="6"/>
      </w:pPr>
      <w:r>
        <w:t>Wykonawca zobowiązany jest złożyć ofertę na formularzu stanowiącym załącznik nr 1 do zapytania ofertowego wraz z:</w:t>
      </w:r>
    </w:p>
    <w:p w14:paraId="5FB7BDD2" w14:textId="77777777" w:rsidR="00D520E8" w:rsidRDefault="00D520E8" w:rsidP="00E83956">
      <w:pPr>
        <w:pStyle w:val="Akapitzlist"/>
        <w:numPr>
          <w:ilvl w:val="0"/>
          <w:numId w:val="49"/>
        </w:numPr>
        <w:ind w:right="6" w:hanging="361"/>
        <w:contextualSpacing w:val="0"/>
      </w:pPr>
      <w:r>
        <w:t>oświadczeniem o braku powiązań osobowych lub kapitałowych stanowiącym załącznik nr 2 do zapytania ofertowego;</w:t>
      </w:r>
    </w:p>
    <w:p w14:paraId="0C43A68A" w14:textId="77777777" w:rsidR="00C17946" w:rsidRDefault="00D520E8" w:rsidP="00E83956">
      <w:pPr>
        <w:pStyle w:val="Akapitzlist"/>
        <w:numPr>
          <w:ilvl w:val="0"/>
          <w:numId w:val="49"/>
        </w:numPr>
        <w:ind w:right="6" w:hanging="361"/>
        <w:contextualSpacing w:val="0"/>
        <w:rPr>
          <w:color w:val="000000" w:themeColor="text1"/>
        </w:rPr>
      </w:pPr>
      <w:bookmarkStart w:id="2" w:name="_Hlk214253564"/>
      <w:r w:rsidRPr="5249F816">
        <w:rPr>
          <w:color w:val="000000" w:themeColor="text1"/>
        </w:rPr>
        <w:t>dokumentami na potwierdzenie spełnienia warunków udziału w postępowaniu opisanych w ustępie 6 zapytania ofertowego</w:t>
      </w:r>
      <w:r w:rsidR="00C17946">
        <w:rPr>
          <w:color w:val="000000" w:themeColor="text1"/>
        </w:rPr>
        <w:t>;</w:t>
      </w:r>
    </w:p>
    <w:p w14:paraId="26FA126F" w14:textId="00A4EBE0" w:rsidR="00D520E8" w:rsidRPr="007479A4" w:rsidRDefault="00C17946" w:rsidP="00E83956">
      <w:pPr>
        <w:pStyle w:val="Akapitzlist"/>
        <w:numPr>
          <w:ilvl w:val="0"/>
          <w:numId w:val="49"/>
        </w:numPr>
        <w:ind w:right="6" w:hanging="361"/>
        <w:contextualSpacing w:val="0"/>
        <w:rPr>
          <w:color w:val="000000" w:themeColor="text1"/>
        </w:rPr>
      </w:pPr>
      <w:r>
        <w:rPr>
          <w:color w:val="000000" w:themeColor="text1"/>
        </w:rPr>
        <w:t>dokumentami niezbędnymi do przyznania punktów w drugim kryterium oceny ofert opisanym w ustępie 8 zapytania ofertowego</w:t>
      </w:r>
      <w:r w:rsidR="00E521D2">
        <w:rPr>
          <w:color w:val="000000" w:themeColor="text1"/>
        </w:rPr>
        <w:t>.</w:t>
      </w:r>
    </w:p>
    <w:bookmarkEnd w:id="2"/>
    <w:p w14:paraId="62A1EA70" w14:textId="1F6F3541" w:rsidR="00D520E8" w:rsidRPr="00E83956" w:rsidRDefault="00D520E8" w:rsidP="00E521D2">
      <w:pPr>
        <w:pStyle w:val="Akapitzlist"/>
        <w:numPr>
          <w:ilvl w:val="1"/>
          <w:numId w:val="53"/>
        </w:numPr>
        <w:ind w:left="426" w:right="6"/>
        <w:rPr>
          <w:color w:val="000000" w:themeColor="text1"/>
        </w:rPr>
      </w:pPr>
      <w:r w:rsidRPr="00E83956">
        <w:rPr>
          <w:color w:val="000000" w:themeColor="text1"/>
        </w:rPr>
        <w:t>Składana oferta powinna zawierać co najmniej informacje wskazane poniżej:</w:t>
      </w:r>
    </w:p>
    <w:p w14:paraId="78ABBAC7" w14:textId="6B369679" w:rsidR="00D520E8" w:rsidRDefault="00D520E8" w:rsidP="00E83956">
      <w:pPr>
        <w:pStyle w:val="Akapitzlist"/>
        <w:numPr>
          <w:ilvl w:val="0"/>
          <w:numId w:val="50"/>
        </w:numPr>
        <w:ind w:right="6"/>
      </w:pPr>
      <w:r w:rsidRPr="5249F816">
        <w:lastRenderedPageBreak/>
        <w:t>nazwę albo imię i nazwisko, siedzibę albo miejsce zamieszkania wykonawcy;</w:t>
      </w:r>
    </w:p>
    <w:p w14:paraId="6F295A4D" w14:textId="4BA34EA4" w:rsidR="00D520E8" w:rsidRDefault="00D520E8" w:rsidP="00E83956">
      <w:pPr>
        <w:pStyle w:val="Akapitzlist"/>
        <w:numPr>
          <w:ilvl w:val="0"/>
          <w:numId w:val="50"/>
        </w:numPr>
        <w:ind w:right="6"/>
      </w:pPr>
      <w:r w:rsidRPr="5249F816">
        <w:t>dane do kontaktu z wykonawcą (numer telefonu, adres poczty elektronicznej);</w:t>
      </w:r>
    </w:p>
    <w:p w14:paraId="0CE1D668" w14:textId="4CD3150E" w:rsidR="00D520E8" w:rsidRDefault="00D520E8" w:rsidP="00C17946">
      <w:pPr>
        <w:pStyle w:val="Akapitzlist"/>
        <w:numPr>
          <w:ilvl w:val="0"/>
          <w:numId w:val="50"/>
        </w:numPr>
        <w:ind w:right="6"/>
      </w:pPr>
      <w:r w:rsidRPr="5249F816">
        <w:t>cena oferty netto i brutto.</w:t>
      </w:r>
    </w:p>
    <w:p w14:paraId="4EEB1844" w14:textId="2212E13A" w:rsidR="00D520E8" w:rsidRDefault="00DA3EC4" w:rsidP="00E25967">
      <w:pPr>
        <w:pStyle w:val="Nagwek2"/>
      </w:pPr>
      <w:r>
        <w:t xml:space="preserve">11. </w:t>
      </w:r>
      <w:r w:rsidR="00D520E8">
        <w:t>Sposób</w:t>
      </w:r>
      <w:r w:rsidR="00D520E8" w:rsidRPr="006D6426">
        <w:t xml:space="preserve"> i termin składania ofert</w:t>
      </w:r>
    </w:p>
    <w:p w14:paraId="2C0EC34B" w14:textId="5A4777C1" w:rsidR="00D520E8" w:rsidRPr="001F49EB" w:rsidRDefault="00D520E8" w:rsidP="00E25967">
      <w:pPr>
        <w:pStyle w:val="Akapitzlist"/>
        <w:numPr>
          <w:ilvl w:val="0"/>
          <w:numId w:val="30"/>
        </w:numPr>
        <w:ind w:left="426" w:hanging="426"/>
        <w:contextualSpacing w:val="0"/>
        <w:rPr>
          <w:b/>
          <w:bCs/>
        </w:rPr>
      </w:pPr>
      <w:r>
        <w:t xml:space="preserve">Ofertę należy przesłać </w:t>
      </w:r>
      <w:r w:rsidRPr="00A56C83">
        <w:t xml:space="preserve">pocztą elektroniczną na </w:t>
      </w:r>
      <w:r w:rsidRPr="00D20B5A">
        <w:t xml:space="preserve">adres: </w:t>
      </w:r>
      <w:r w:rsidR="00C17946">
        <w:t>J</w:t>
      </w:r>
      <w:r w:rsidR="00F1527D">
        <w:t>akub.</w:t>
      </w:r>
      <w:r w:rsidR="00C17946">
        <w:t>S</w:t>
      </w:r>
      <w:r w:rsidR="00F1527D">
        <w:t>lodki</w:t>
      </w:r>
      <w:r>
        <w:t>@pfron.org.pl</w:t>
      </w:r>
      <w:r w:rsidRPr="00D20B5A">
        <w:t xml:space="preserve"> </w:t>
      </w:r>
      <w:r w:rsidRPr="001F49EB">
        <w:rPr>
          <w:b/>
          <w:bCs/>
        </w:rPr>
        <w:t xml:space="preserve">do dnia </w:t>
      </w:r>
      <w:r>
        <w:rPr>
          <w:b/>
          <w:bCs/>
          <w:color w:val="002060"/>
        </w:rPr>
        <w:t>2</w:t>
      </w:r>
      <w:r w:rsidR="00F1527D">
        <w:rPr>
          <w:b/>
          <w:bCs/>
          <w:color w:val="002060"/>
        </w:rPr>
        <w:t>7</w:t>
      </w:r>
      <w:r>
        <w:rPr>
          <w:b/>
          <w:bCs/>
          <w:color w:val="002060"/>
        </w:rPr>
        <w:t>.0</w:t>
      </w:r>
      <w:r w:rsidR="00F1527D">
        <w:rPr>
          <w:b/>
          <w:bCs/>
          <w:color w:val="002060"/>
        </w:rPr>
        <w:t>2</w:t>
      </w:r>
      <w:r>
        <w:rPr>
          <w:b/>
          <w:bCs/>
          <w:color w:val="002060"/>
        </w:rPr>
        <w:t>.</w:t>
      </w:r>
      <w:r w:rsidRPr="001F49EB">
        <w:rPr>
          <w:b/>
          <w:bCs/>
        </w:rPr>
        <w:t>202</w:t>
      </w:r>
      <w:r>
        <w:rPr>
          <w:b/>
          <w:bCs/>
        </w:rPr>
        <w:t>6</w:t>
      </w:r>
      <w:r w:rsidRPr="001F49EB">
        <w:rPr>
          <w:b/>
          <w:bCs/>
        </w:rPr>
        <w:t xml:space="preserve"> r. do godziny </w:t>
      </w:r>
      <w:r>
        <w:rPr>
          <w:b/>
          <w:bCs/>
        </w:rPr>
        <w:t>1</w:t>
      </w:r>
      <w:r w:rsidR="00F1527D">
        <w:rPr>
          <w:b/>
          <w:bCs/>
        </w:rPr>
        <w:t>2</w:t>
      </w:r>
      <w:r>
        <w:rPr>
          <w:b/>
          <w:bCs/>
        </w:rPr>
        <w:t>:00.</w:t>
      </w:r>
    </w:p>
    <w:p w14:paraId="4D66DEE0" w14:textId="77777777" w:rsidR="00D520E8" w:rsidRDefault="00D520E8" w:rsidP="00E25967">
      <w:pPr>
        <w:pStyle w:val="Akapitzlist"/>
        <w:numPr>
          <w:ilvl w:val="0"/>
          <w:numId w:val="30"/>
        </w:numPr>
        <w:ind w:left="426" w:hanging="426"/>
        <w:contextualSpacing w:val="0"/>
      </w:pPr>
      <w:r>
        <w:t>Ofertę należy złożyć w formie elektronicznej:</w:t>
      </w:r>
    </w:p>
    <w:p w14:paraId="7E810DEA" w14:textId="77777777" w:rsidR="00D520E8" w:rsidRDefault="00D520E8" w:rsidP="00E25967">
      <w:pPr>
        <w:pStyle w:val="Akapitzlist"/>
        <w:numPr>
          <w:ilvl w:val="0"/>
          <w:numId w:val="27"/>
        </w:numPr>
        <w:ind w:left="709" w:hanging="283"/>
        <w:contextualSpacing w:val="0"/>
      </w:pPr>
      <w:r>
        <w:t>jako skan, w formacie pdf, uprzednio podpisanej oferty przez osoby uprawnione do reprezentowania Wykonawcy lub</w:t>
      </w:r>
    </w:p>
    <w:p w14:paraId="37FFC258" w14:textId="77777777" w:rsidR="00D520E8" w:rsidRDefault="00D520E8" w:rsidP="00E25967">
      <w:pPr>
        <w:pStyle w:val="Akapitzlist"/>
        <w:numPr>
          <w:ilvl w:val="0"/>
          <w:numId w:val="27"/>
        </w:numPr>
        <w:ind w:left="709" w:hanging="283"/>
        <w:contextualSpacing w:val="0"/>
      </w:pPr>
      <w:r>
        <w:t>w formacie danych, podpisaną podpisem elektronicznym umożliwiającym identyfikację osoby składającej podpis.</w:t>
      </w:r>
    </w:p>
    <w:p w14:paraId="69CF7904" w14:textId="257A733F" w:rsidR="00D520E8" w:rsidRDefault="00DA3EC4" w:rsidP="00E25967">
      <w:pPr>
        <w:pStyle w:val="Nagwek2"/>
      </w:pPr>
      <w:r>
        <w:t xml:space="preserve">12. </w:t>
      </w:r>
      <w:r w:rsidR="00D520E8" w:rsidRPr="00075881">
        <w:t xml:space="preserve">Osoba uprawniona do kontaktów z </w:t>
      </w:r>
      <w:r w:rsidR="00D520E8">
        <w:t>W</w:t>
      </w:r>
      <w:r w:rsidR="00D520E8" w:rsidRPr="00075881">
        <w:t>ykonawcami</w:t>
      </w:r>
    </w:p>
    <w:p w14:paraId="5762807E" w14:textId="65A97310" w:rsidR="00D520E8" w:rsidRPr="00A56C83" w:rsidRDefault="00D520E8" w:rsidP="00E25967">
      <w:pPr>
        <w:tabs>
          <w:tab w:val="left" w:leader="dot" w:pos="2694"/>
          <w:tab w:val="left" w:leader="dot" w:pos="4962"/>
          <w:tab w:val="left" w:leader="dot" w:pos="7230"/>
          <w:tab w:val="left" w:leader="dot" w:pos="9072"/>
        </w:tabs>
        <w:ind w:left="52"/>
      </w:pPr>
      <w:r>
        <w:t xml:space="preserve">Informacji na temat przedmiotu zamówienia udziela </w:t>
      </w:r>
      <w:r w:rsidR="00F1527D">
        <w:t>Jakub Słodki</w:t>
      </w:r>
      <w:r>
        <w:t xml:space="preserve"> pod numerem telefonu </w:t>
      </w:r>
      <w:r w:rsidR="00F1527D">
        <w:t>502 309 109</w:t>
      </w:r>
      <w:r>
        <w:t xml:space="preserve">, e-mail: </w:t>
      </w:r>
      <w:hyperlink r:id="rId18" w:history="1">
        <w:r>
          <w:t xml:space="preserve"> </w:t>
        </w:r>
      </w:hyperlink>
      <w:r w:rsidR="00C17946">
        <w:t>J</w:t>
      </w:r>
      <w:r w:rsidR="00E83956">
        <w:t>akub.</w:t>
      </w:r>
      <w:r w:rsidR="00C17946">
        <w:t>S</w:t>
      </w:r>
      <w:r w:rsidR="00E83956">
        <w:t>lodki</w:t>
      </w:r>
      <w:r>
        <w:t>@pfron.org.pl</w:t>
      </w:r>
    </w:p>
    <w:p w14:paraId="78E84D24" w14:textId="2366A285" w:rsidR="00D520E8" w:rsidRPr="00A56C83" w:rsidRDefault="00DA3EC4" w:rsidP="00E25967">
      <w:pPr>
        <w:pStyle w:val="Nagwek2"/>
      </w:pPr>
      <w:r>
        <w:t xml:space="preserve">13. </w:t>
      </w:r>
      <w:r w:rsidR="00D520E8" w:rsidRPr="00A56C83">
        <w:t>Informacje dodatkowe</w:t>
      </w:r>
    </w:p>
    <w:p w14:paraId="02E46973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926525">
        <w:t>Wykonawca może złożyć tylko jedną ofertę, która powinna obejmować całość zamówienia.</w:t>
      </w:r>
    </w:p>
    <w:p w14:paraId="0FAE0E90" w14:textId="77777777" w:rsidR="00D520E8" w:rsidRPr="00322FC0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322FC0">
        <w:t>Oferta winna zawierać: nazwę, adres, numer telefonu do kontaktu oraz datę sporządzenia oferty i podpis Wykonawcy.</w:t>
      </w:r>
    </w:p>
    <w:p w14:paraId="23715D1E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322FC0">
        <w:t>W toku analizy ofert Zamawiający może żądać od Wykonawców wyjaśnień dotyczących treści złożonych ofert</w:t>
      </w:r>
      <w:r w:rsidRPr="002A5612">
        <w:t xml:space="preserve"> bądź uzupełnień dotyczących dokumentów lub oświadczeń.</w:t>
      </w:r>
    </w:p>
    <w:p w14:paraId="4F0E1839" w14:textId="77777777" w:rsidR="00D520E8" w:rsidRPr="00322FC0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>
        <w:t>Występujące w ofertach oczywiste omyłki pisarskie oraz omyłko rachunkowe zostaną poprawione przez Zamawiającego.</w:t>
      </w:r>
    </w:p>
    <w:p w14:paraId="6AC411C1" w14:textId="77777777" w:rsidR="00D520E8" w:rsidRPr="0009646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 w:rsidRPr="00096468">
        <w:t>Zamawiający odrzuci ofertę w przypadku:</w:t>
      </w:r>
    </w:p>
    <w:p w14:paraId="7EEA0B27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 xml:space="preserve">niezgodności treści oferty z </w:t>
      </w:r>
      <w:r>
        <w:t>z</w:t>
      </w:r>
      <w:r w:rsidRPr="00096468">
        <w:t xml:space="preserve">apytaniem </w:t>
      </w:r>
      <w:r>
        <w:t>of</w:t>
      </w:r>
      <w:r w:rsidRPr="00096468">
        <w:t>ertowym;</w:t>
      </w:r>
    </w:p>
    <w:p w14:paraId="73BAC28A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>przedstawienia przez Wykonawcę nieprawdziwych informacji;</w:t>
      </w:r>
    </w:p>
    <w:p w14:paraId="5EC60D36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 xml:space="preserve">gdy </w:t>
      </w:r>
      <w:r>
        <w:t>f</w:t>
      </w:r>
      <w:r w:rsidRPr="00096468">
        <w:t xml:space="preserve">ormularz </w:t>
      </w:r>
      <w:r>
        <w:t>o</w:t>
      </w:r>
      <w:r w:rsidRPr="00096468">
        <w:t>fertowy będzie niekompletny lub nieczytelny;</w:t>
      </w:r>
    </w:p>
    <w:p w14:paraId="6EF5ABCD" w14:textId="77777777" w:rsidR="00D520E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>gdy oferta została złożona przez Wykonawcę, który posiada zaległości finansowe względem Zamawiającego lub jest z nim w sporze prawnym;</w:t>
      </w:r>
    </w:p>
    <w:p w14:paraId="61CCD9D9" w14:textId="77777777" w:rsidR="00D520E8" w:rsidRPr="00096468" w:rsidRDefault="00D520E8" w:rsidP="00E25967">
      <w:pPr>
        <w:numPr>
          <w:ilvl w:val="1"/>
          <w:numId w:val="28"/>
        </w:numPr>
        <w:ind w:left="850" w:right="-284" w:hanging="425"/>
      </w:pPr>
      <w:r w:rsidRPr="00096468">
        <w:t xml:space="preserve">gdy oferta wpłynie po terminie wskazanym w </w:t>
      </w:r>
      <w:r>
        <w:t>ustępie</w:t>
      </w:r>
      <w:r w:rsidRPr="00096468">
        <w:t xml:space="preserve"> </w:t>
      </w:r>
      <w:r>
        <w:t>11</w:t>
      </w:r>
      <w:r w:rsidRPr="00096468">
        <w:t>.</w:t>
      </w:r>
    </w:p>
    <w:p w14:paraId="0ACE35C6" w14:textId="77777777" w:rsidR="00D520E8" w:rsidRDefault="00D520E8" w:rsidP="00E25967">
      <w:pPr>
        <w:numPr>
          <w:ilvl w:val="0"/>
          <w:numId w:val="24"/>
        </w:numPr>
        <w:ind w:left="426" w:right="6" w:hanging="426"/>
        <w:rPr>
          <w:color w:val="000000" w:themeColor="text1"/>
        </w:rPr>
      </w:pPr>
      <w:r w:rsidRPr="5249F816">
        <w:rPr>
          <w:color w:val="000000" w:themeColor="text1"/>
        </w:rPr>
        <w:t>Oferty nieczytelne lub wariantowe nie będą rozpatrywane.</w:t>
      </w:r>
    </w:p>
    <w:p w14:paraId="23F19B8A" w14:textId="77777777" w:rsidR="00D520E8" w:rsidRPr="00322FC0" w:rsidRDefault="00D520E8" w:rsidP="00E25967">
      <w:pPr>
        <w:numPr>
          <w:ilvl w:val="0"/>
          <w:numId w:val="24"/>
        </w:numPr>
        <w:ind w:left="426" w:right="6" w:hanging="426"/>
      </w:pPr>
      <w:r w:rsidRPr="00322FC0">
        <w:lastRenderedPageBreak/>
        <w:t>Zamawiający zastrzega sobie prawo negocjacji ceny oferty z Wykonawcami, którzy złożyli w terminie prawidłowe oferty.</w:t>
      </w:r>
    </w:p>
    <w:p w14:paraId="06E8AFDD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>
        <w:t>Wszystkie koszty związane ze sporządzeniem i złożeniem oferty ponosi Wykonawca. Zamawiający nie przewiduje zwrotu kosztów udziału w postępowaniu.</w:t>
      </w:r>
    </w:p>
    <w:p w14:paraId="27AF63A4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</w:pPr>
      <w:r>
        <w:t>Zapytanie ofertowe nie stanowi oferty w rozumieniu art. 66 Kodeksu cywilnego.</w:t>
      </w:r>
    </w:p>
    <w:p w14:paraId="0E8E4074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  <w:rPr>
          <w:color w:val="000000" w:themeColor="text1"/>
        </w:rPr>
      </w:pPr>
      <w:r>
        <w:t>Zamawiający zastrzega sobie prawo unieważnienia przedmiotowego postępowania na każdym etapie bez podania przyczyny unieważnienia. W przypadku unieważnienia postępowania Zamawiający nie ponosi kosztów przygotowania i złożenia oferty;</w:t>
      </w:r>
    </w:p>
    <w:p w14:paraId="024B6CA0" w14:textId="77777777" w:rsidR="00D520E8" w:rsidRPr="006F3673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  <w:rPr>
          <w:color w:val="000000" w:themeColor="text1"/>
        </w:rPr>
      </w:pPr>
      <w:r>
        <w:t>Wynagrodzenie wykonawców udokumentowane otrzymanymi fakturami, Zamawiający będzie regulował wyłącznie na rachunki bankowe znajdujące się na „białej liście podatników VAT”.</w:t>
      </w:r>
    </w:p>
    <w:p w14:paraId="2292D85F" w14:textId="77777777" w:rsidR="00D520E8" w:rsidRDefault="00D520E8" w:rsidP="00E25967">
      <w:pPr>
        <w:pStyle w:val="Akapitzlist"/>
        <w:numPr>
          <w:ilvl w:val="0"/>
          <w:numId w:val="24"/>
        </w:numPr>
        <w:ind w:left="426" w:hanging="426"/>
        <w:contextualSpacing w:val="0"/>
        <w:rPr>
          <w:color w:val="000000" w:themeColor="text1"/>
        </w:rPr>
      </w:pPr>
      <w:r>
        <w:t>Projektowane istotne postanowienia umowy mogą ulec zmianie na etapie podpisywania umowy z Wykonawcą.</w:t>
      </w:r>
    </w:p>
    <w:p w14:paraId="2A479CF1" w14:textId="4F30CFA7" w:rsidR="00D520E8" w:rsidRDefault="00DA3EC4" w:rsidP="00E25967">
      <w:pPr>
        <w:pStyle w:val="Nagwek2"/>
      </w:pPr>
      <w:r>
        <w:t xml:space="preserve">14. </w:t>
      </w:r>
      <w:r w:rsidR="00D520E8">
        <w:t>Informacje o przetwarzaniu danych osobowych przez Państwowy Fundusz Rehabilitacji Osób Niepełnosprawnych</w:t>
      </w:r>
    </w:p>
    <w:p w14:paraId="185C856C" w14:textId="77777777" w:rsidR="00D520E8" w:rsidRDefault="00D520E8" w:rsidP="00E25967">
      <w:pPr>
        <w:ind w:hanging="11"/>
        <w:contextualSpacing/>
      </w:pPr>
      <w:r>
        <w:t>Działając na podstawie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 związku z zapytaniem ofertowym (dalej: „Zapytanie”), Zamawiający przekazuje poniżej informacje dotyczące przetwarzania danych osobowych.</w:t>
      </w:r>
    </w:p>
    <w:p w14:paraId="307738BB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Tożsamość administratora</w:t>
      </w:r>
    </w:p>
    <w:p w14:paraId="68C8361F" w14:textId="77777777" w:rsidR="00D520E8" w:rsidRDefault="00D520E8" w:rsidP="00E25967">
      <w:pPr>
        <w:ind w:hanging="11"/>
      </w:pPr>
      <w:r>
        <w:t>Administratorem danych osobowych jest Państwowy Fundusz Rehabilitacji Osób Niepełnosprawnych (PFRON) z siedzibą w Warszawie (00-828), przy al. Jana Pawła II 13.</w:t>
      </w:r>
    </w:p>
    <w:p w14:paraId="63D13B72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Dane kontaktowe administratora</w:t>
      </w:r>
    </w:p>
    <w:p w14:paraId="6CE26BBD" w14:textId="77777777" w:rsidR="00D520E8" w:rsidRDefault="00D520E8" w:rsidP="00E25967">
      <w:pPr>
        <w:ind w:hanging="11"/>
      </w:pPr>
      <w:r>
        <w:t xml:space="preserve">Z administratorem można skontaktować się poprzez adres e-mail: </w:t>
      </w:r>
      <w:hyperlink r:id="rId19" w:history="1">
        <w:r w:rsidRPr="004E695E">
          <w:rPr>
            <w:rStyle w:val="Hipercze"/>
            <w:color w:val="002060"/>
          </w:rPr>
          <w:t>kancelaria@pfron.org.pl</w:t>
        </w:r>
      </w:hyperlink>
      <w:r>
        <w:t>, telefonicznie pod numerem +48 22 50 55 500 lub pisemnie na adres siedziby administratora.</w:t>
      </w:r>
    </w:p>
    <w:p w14:paraId="454C1E02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Dane kontaktowe Inspektora Ochrony Danych</w:t>
      </w:r>
    </w:p>
    <w:p w14:paraId="1427FF62" w14:textId="77777777" w:rsidR="00D520E8" w:rsidRDefault="00D520E8" w:rsidP="00E25967">
      <w:pPr>
        <w:ind w:hanging="11"/>
      </w:pPr>
      <w:r>
        <w:t xml:space="preserve">Administrator wyznaczył inspektora ochrony danych, z którym można skontaktować się poprzez e-mail: </w:t>
      </w:r>
      <w:hyperlink r:id="rId20" w:history="1">
        <w:r w:rsidRPr="004E695E">
          <w:rPr>
            <w:rStyle w:val="Hipercze"/>
            <w:color w:val="002060"/>
          </w:rPr>
          <w:t>iod@pfron.org.pl</w:t>
        </w:r>
      </w:hyperlink>
      <w:r>
        <w:t xml:space="preserve"> we wszystkich sprawach dotyczących przetwarzania danych osobowych oraz korzystania z praw związanych z przetwarzaniem.</w:t>
      </w:r>
    </w:p>
    <w:p w14:paraId="5D7CFF1C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Cele przetwarzania</w:t>
      </w:r>
    </w:p>
    <w:p w14:paraId="1F53AAF8" w14:textId="77777777" w:rsidR="00D520E8" w:rsidRDefault="00D520E8" w:rsidP="00E25967">
      <w:pPr>
        <w:ind w:hanging="11"/>
      </w:pPr>
      <w:r>
        <w:t xml:space="preserve">Celem przetwarzania danych osobowych jest przeprowadzenie Zapytania oraz </w:t>
      </w:r>
      <w:r w:rsidRPr="004E695E">
        <w:t xml:space="preserve">archiwizacja dokumentacji zgromadzonej w jego wyniku. Dane osobowe mogą być przetwarzane w celu </w:t>
      </w:r>
      <w:r w:rsidRPr="004E695E">
        <w:lastRenderedPageBreak/>
        <w:t>realizacji przez administratora jego uzasadnionego interesu, w tym ustalenia, dochodzenia lub obrony roszczeń.</w:t>
      </w:r>
    </w:p>
    <w:p w14:paraId="67D29EBE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Podstawa prawna przetwarzania</w:t>
      </w:r>
    </w:p>
    <w:p w14:paraId="1620D723" w14:textId="77777777" w:rsidR="00D520E8" w:rsidRDefault="00D520E8" w:rsidP="00E25967">
      <w:pPr>
        <w:ind w:hanging="11"/>
      </w:pPr>
      <w:r>
        <w:t>Podstawą prawną przetwarzania danych osobowych jest art. 6 ust. 1 lit. c RODO (realizacja przez administratora obowiązku prawnego).</w:t>
      </w:r>
      <w:r w:rsidRPr="004E695E">
        <w:t xml:space="preserve"> W przypadku przetwarzania danych osobowych w celu realizacji przez administratora jest prawnie uzasadnionego interesu podstawą prawną przetwarzania jest art. 6 ust. 1 lit. f RODO.</w:t>
      </w:r>
    </w:p>
    <w:p w14:paraId="04EA13B7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Źródło danych osobowych</w:t>
      </w:r>
    </w:p>
    <w:p w14:paraId="2302F739" w14:textId="77777777" w:rsidR="00D520E8" w:rsidRDefault="00D520E8" w:rsidP="00E25967">
      <w:pPr>
        <w:ind w:hanging="11"/>
      </w:pPr>
      <w:r>
        <w:t>Administrator może pozyskiwać dane osobowe przedstawicieli Wykonawcy za jego pośrednictwem.</w:t>
      </w:r>
    </w:p>
    <w:p w14:paraId="43D311D6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Kategorie danych osobowych</w:t>
      </w:r>
    </w:p>
    <w:p w14:paraId="13600733" w14:textId="77777777" w:rsidR="00D520E8" w:rsidRDefault="00D520E8" w:rsidP="00E25967">
      <w:pPr>
        <w:ind w:hanging="11"/>
      </w:pPr>
      <w:r>
        <w:t>Zakres danych dotyczących przedstawicieli Wykonawcy obejmuje dane osobowe przedstawione w związku z udziałem w Zapytaniu, w szczególności imię, nazwisko, stanowisko, adres poczty elektronicznej lub numer telefonu.</w:t>
      </w:r>
    </w:p>
    <w:p w14:paraId="6600FBCD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Okres, przez który dane będą przechowywane</w:t>
      </w:r>
    </w:p>
    <w:p w14:paraId="4EC8E43A" w14:textId="77777777" w:rsidR="00D520E8" w:rsidRDefault="00D520E8" w:rsidP="00E25967">
      <w:pPr>
        <w:ind w:hanging="11"/>
      </w:pPr>
      <w:r w:rsidRPr="004E695E">
        <w:t>Dane osobowe będą przetwarzane przez okres niezbędny do realizacji celu przetwarzania, zgodnie z zasadami archiwizacji dokumentacji obowiązującymi u administratora</w:t>
      </w:r>
      <w:r>
        <w:t>. Dane osobowe mogą być przechowywane przez okres przedawnienia roszczeń w przypadku ustalania, dochodzenia lub obrony tych roszczeń.</w:t>
      </w:r>
    </w:p>
    <w:p w14:paraId="0BE86F79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Podmioty, którym będą udostępniane dane osobowe</w:t>
      </w:r>
    </w:p>
    <w:p w14:paraId="6F0925BC" w14:textId="77777777" w:rsidR="00D520E8" w:rsidRDefault="00D520E8" w:rsidP="00E25967">
      <w:pPr>
        <w:ind w:hanging="11"/>
      </w:pPr>
      <w:r>
        <w:t>Dostęp do danych osobowych mogą mieć podmioty świadczące na rzecz administratora usługi doradcze, z zakresu pomocy prawnej, pocztowe, dostawy lub utrzymania systemów informatycznych. Dane osobowe mogą być udostępniane przez PFRON podmiotom uprawnionym do ich otrzymania na mocy obowiązujących przepisów prawa, np. organom publicznym.</w:t>
      </w:r>
    </w:p>
    <w:p w14:paraId="4CF980A7" w14:textId="77777777" w:rsidR="00D520E8" w:rsidRDefault="00D520E8" w:rsidP="00E25967">
      <w:pPr>
        <w:ind w:hanging="11"/>
      </w:pPr>
      <w:r>
        <w:t>Niezależnie od powyższego odbiorcami danych osobowych mogą być wszyscy zainteresowani przebiegiem Zapytania, z zastrzeżeniem wyjątków określonych w art. 18 ust. 5 pkt 1 i 2 ustawy – Prawo zamówień publicznych.</w:t>
      </w:r>
    </w:p>
    <w:p w14:paraId="1AC95B1D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Prawa podmiotów danych</w:t>
      </w:r>
    </w:p>
    <w:p w14:paraId="39B93636" w14:textId="77777777" w:rsidR="00D520E8" w:rsidRDefault="00D520E8" w:rsidP="00E25967">
      <w:pPr>
        <w:ind w:hanging="11"/>
      </w:pPr>
      <w:r>
        <w:t>Osobom fizycznym, których dane osobowe przetwarza administrator, przysługuje prawo:</w:t>
      </w:r>
    </w:p>
    <w:p w14:paraId="116184D2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>na podstawie art. 15 RODO – prawo dostępu do danych osobowych i uzyskania ich kopii;</w:t>
      </w:r>
    </w:p>
    <w:p w14:paraId="65311F8A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>na podstawie art. 16 RODO – prawo do sprostowania i uzupełnienia danych osobowych;</w:t>
      </w:r>
    </w:p>
    <w:p w14:paraId="2893D444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t xml:space="preserve">na podstawie art. 17 RODO – prawo do usunięcia danych osobowych, </w:t>
      </w:r>
      <w:r w:rsidRPr="004E695E">
        <w:t>z zastrzeżeniem wyjątków przewidzianych w art. 17 ust. 3 lit. b, d oraz e RODO;</w:t>
      </w:r>
    </w:p>
    <w:p w14:paraId="4A42F418" w14:textId="77777777" w:rsidR="00D520E8" w:rsidRDefault="00D520E8" w:rsidP="00E83956">
      <w:pPr>
        <w:numPr>
          <w:ilvl w:val="0"/>
          <w:numId w:val="32"/>
        </w:numPr>
        <w:ind w:left="426" w:hanging="284"/>
      </w:pPr>
      <w:r>
        <w:lastRenderedPageBreak/>
        <w:t>na podstawie art. 18 RODO – prawo żądania od administratora ograniczenia przetwarzania danych, z tym zastrzeżeniem, że zgłoszenie tego żądania nie ogranicza przetwarzania danych osobowych do czasu zakończenia postępowania;</w:t>
      </w:r>
    </w:p>
    <w:p w14:paraId="059B09D3" w14:textId="77777777" w:rsidR="00D520E8" w:rsidRDefault="00D520E8" w:rsidP="00E83956">
      <w:pPr>
        <w:pStyle w:val="Akapitzlist"/>
        <w:numPr>
          <w:ilvl w:val="0"/>
          <w:numId w:val="32"/>
        </w:numPr>
        <w:tabs>
          <w:tab w:val="left" w:pos="330"/>
        </w:tabs>
        <w:ind w:left="426" w:hanging="284"/>
        <w:contextualSpacing w:val="0"/>
        <w:rPr>
          <w:rFonts w:asciiTheme="minorHAnsi" w:eastAsiaTheme="minorHAnsi" w:hAnsiTheme="minorHAnsi" w:cstheme="minorHAnsi"/>
        </w:rPr>
      </w:pPr>
      <w:r>
        <w:rPr>
          <w:rFonts w:cstheme="minorHAnsi"/>
        </w:rPr>
        <w:t>na podstawie art. 21 RODO – prawo do wniesienia sprzeciwu wobec przetwarzania danych osobowych na podstawie art. 6 ust. 1 lit. f RODO.</w:t>
      </w:r>
    </w:p>
    <w:p w14:paraId="27D4939C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Prawo wniesienia skargi do organu nadzorczego</w:t>
      </w:r>
    </w:p>
    <w:p w14:paraId="212F84BE" w14:textId="77777777" w:rsidR="00D520E8" w:rsidRDefault="00D520E8" w:rsidP="00E25967">
      <w:pPr>
        <w:ind w:hanging="11"/>
      </w:pPr>
      <w:r>
        <w:t xml:space="preserve">Osobom fizycznym, które dane osobowe przetwarza administrator, przysługuje prawo wniesienia skargi do organu nadzorczego, tj. Prezesa Urzędu Ochrony Danych Osobowych, </w:t>
      </w:r>
      <w:r w:rsidRPr="00973D99">
        <w:t>Stanisława Moniuszki 1A, 00-014 Warszawa</w:t>
      </w:r>
      <w:r>
        <w:t>, na niezgodne z prawem przetwarzanie danych osobowych przez administratora.</w:t>
      </w:r>
    </w:p>
    <w:p w14:paraId="370421EC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Informacja o dowolności lub obowiązku podania danych oraz o ewentualnych konsekwencjach niepodania danych</w:t>
      </w:r>
    </w:p>
    <w:p w14:paraId="34963DB7" w14:textId="77777777" w:rsidR="00D520E8" w:rsidRPr="008E2E95" w:rsidRDefault="00D520E8" w:rsidP="00E25967">
      <w:pPr>
        <w:ind w:hanging="11"/>
      </w:pPr>
      <w:r w:rsidRPr="008E2E95">
        <w:t xml:space="preserve">Podanie danych osobowych jest dobrowolne, jednak stanowi warunek umożliwiający udział w </w:t>
      </w:r>
      <w:r>
        <w:t>Z</w:t>
      </w:r>
      <w:r w:rsidRPr="008E2E95">
        <w:t>apytaniu.</w:t>
      </w:r>
    </w:p>
    <w:p w14:paraId="02CA6D4D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Informacja o zautomatyzowanym podejmowaniu decyzji</w:t>
      </w:r>
    </w:p>
    <w:p w14:paraId="2ACFD1F4" w14:textId="77777777" w:rsidR="00D520E8" w:rsidRDefault="00D520E8" w:rsidP="00E25967">
      <w:pPr>
        <w:ind w:hanging="11"/>
      </w:pPr>
      <w:r w:rsidRPr="00311AB8">
        <w:t>Administrator nie będzie podejmował decyzji opartych na zautomatyzowanym przetwarzaniu danych osobowych.</w:t>
      </w:r>
    </w:p>
    <w:p w14:paraId="01B65337" w14:textId="77777777" w:rsidR="00D520E8" w:rsidRPr="00363402" w:rsidRDefault="00D520E8" w:rsidP="00E25967">
      <w:pPr>
        <w:rPr>
          <w:b/>
          <w:bCs/>
        </w:rPr>
      </w:pPr>
      <w:r w:rsidRPr="00363402">
        <w:rPr>
          <w:b/>
          <w:bCs/>
        </w:rPr>
        <w:t>Realizacja obowiązku informacyjnego w imieniu administratora</w:t>
      </w:r>
    </w:p>
    <w:p w14:paraId="4AA319BB" w14:textId="77777777" w:rsidR="00D520E8" w:rsidRPr="00311AB8" w:rsidRDefault="00D520E8" w:rsidP="00E25967">
      <w:pPr>
        <w:ind w:hanging="11"/>
      </w:pPr>
      <w:r w:rsidRPr="00311AB8">
        <w:t xml:space="preserve">Wykonawca jest zobowiązany do przekazania informacji o przetwarzaniu danych osobowych przez administratora osobom, których dane zawarte są w </w:t>
      </w:r>
      <w:r>
        <w:t>formularzu ofertowym i załącznikach składanych wraz z nim</w:t>
      </w:r>
      <w:r w:rsidRPr="00311AB8">
        <w:t>.</w:t>
      </w:r>
    </w:p>
    <w:p w14:paraId="6E1EEFFA" w14:textId="05232034" w:rsidR="00D520E8" w:rsidRDefault="00DA3EC4" w:rsidP="00E25967">
      <w:pPr>
        <w:pStyle w:val="Nagwek2"/>
      </w:pPr>
      <w:r>
        <w:t xml:space="preserve">15. </w:t>
      </w:r>
      <w:r w:rsidR="00D520E8">
        <w:t>Załączniki</w:t>
      </w:r>
    </w:p>
    <w:p w14:paraId="33E940E2" w14:textId="77777777" w:rsidR="00D520E8" w:rsidRDefault="00D520E8" w:rsidP="00E25967">
      <w:pPr>
        <w:ind w:left="62" w:hanging="11"/>
      </w:pPr>
      <w:r>
        <w:t>Załącznik nr 1 – Formularz ofertowy</w:t>
      </w:r>
    </w:p>
    <w:p w14:paraId="166AE9B5" w14:textId="77777777" w:rsidR="00D520E8" w:rsidRDefault="00D520E8" w:rsidP="00E25967">
      <w:pPr>
        <w:ind w:left="68" w:right="6" w:hanging="11"/>
      </w:pPr>
      <w:r>
        <w:t>Załącznik nr 2 – Oświadczenie o braku powiązań osobowych lub kapitałowych</w:t>
      </w:r>
    </w:p>
    <w:p w14:paraId="7DD8B084" w14:textId="5061AFD6" w:rsidR="005553C1" w:rsidRPr="006C360C" w:rsidRDefault="00D520E8" w:rsidP="00476965">
      <w:pPr>
        <w:ind w:left="68" w:right="6" w:hanging="11"/>
      </w:pPr>
      <w:r>
        <w:t>Załącznik nr 3 – Projektowane istotne postanowienia umowy.</w:t>
      </w:r>
    </w:p>
    <w:sectPr w:rsidR="005553C1" w:rsidRPr="006C360C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D39D" w14:textId="77777777" w:rsidR="002947C1" w:rsidRDefault="002947C1">
      <w:pPr>
        <w:spacing w:after="0" w:line="240" w:lineRule="auto"/>
      </w:pPr>
      <w:r>
        <w:separator/>
      </w:r>
    </w:p>
  </w:endnote>
  <w:endnote w:type="continuationSeparator" w:id="0">
    <w:p w14:paraId="57F6A47A" w14:textId="77777777" w:rsidR="002947C1" w:rsidRDefault="0029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A381" w14:textId="77777777" w:rsidR="005553C1" w:rsidRDefault="005553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D853" w14:textId="77777777" w:rsidR="005553C1" w:rsidRDefault="00D520E8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D935589" wp14:editId="184568D3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9AF" w14:textId="77777777" w:rsidR="005553C1" w:rsidRDefault="00D520E8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7399F3" wp14:editId="47E5D286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26B3" w14:textId="77777777" w:rsidR="002947C1" w:rsidRDefault="002947C1">
      <w:pPr>
        <w:spacing w:after="0" w:line="240" w:lineRule="auto"/>
      </w:pPr>
      <w:r>
        <w:separator/>
      </w:r>
    </w:p>
  </w:footnote>
  <w:footnote w:type="continuationSeparator" w:id="0">
    <w:p w14:paraId="160FA8A3" w14:textId="77777777" w:rsidR="002947C1" w:rsidRDefault="0029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3F88" w14:textId="77777777" w:rsidR="005553C1" w:rsidRDefault="005553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C8A" w14:textId="77777777" w:rsidR="005553C1" w:rsidRDefault="005553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71E7" w14:textId="77777777" w:rsidR="005553C1" w:rsidRDefault="00D520E8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9D32A77" wp14:editId="7510D977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5F366A61" w14:textId="77777777" w:rsidR="005553C1" w:rsidRDefault="005553C1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9E"/>
    <w:multiLevelType w:val="multilevel"/>
    <w:tmpl w:val="ADA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82805"/>
    <w:multiLevelType w:val="hybridMultilevel"/>
    <w:tmpl w:val="7CB0D2CA"/>
    <w:lvl w:ilvl="0" w:tplc="F61E70CE">
      <w:numFmt w:val="bullet"/>
      <w:lvlText w:val="•"/>
      <w:lvlJc w:val="left"/>
      <w:pPr>
        <w:ind w:left="712" w:hanging="660"/>
      </w:pPr>
      <w:rPr>
        <w:rFonts w:ascii="Calibri" w:eastAsia="Calibri" w:hAnsi="Calibri" w:cs="Calibri" w:hint="default"/>
      </w:rPr>
    </w:lvl>
    <w:lvl w:ilvl="1" w:tplc="054EC220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E6E44858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B1A0E0B6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45542E16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85B882A6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81BC762A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B18CE0AC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C00C0964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4" w15:restartNumberingAfterBreak="0">
    <w:nsid w:val="0C0E17EF"/>
    <w:multiLevelType w:val="hybridMultilevel"/>
    <w:tmpl w:val="26FE2504"/>
    <w:lvl w:ilvl="0" w:tplc="7E16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FF05CB0" w:tentative="1">
      <w:start w:val="1"/>
      <w:numFmt w:val="lowerLetter"/>
      <w:lvlText w:val="%2."/>
      <w:lvlJc w:val="left"/>
      <w:pPr>
        <w:ind w:left="1788" w:hanging="360"/>
      </w:pPr>
    </w:lvl>
    <w:lvl w:ilvl="2" w:tplc="1E74958C" w:tentative="1">
      <w:start w:val="1"/>
      <w:numFmt w:val="lowerRoman"/>
      <w:lvlText w:val="%3."/>
      <w:lvlJc w:val="right"/>
      <w:pPr>
        <w:ind w:left="2508" w:hanging="180"/>
      </w:pPr>
    </w:lvl>
    <w:lvl w:ilvl="3" w:tplc="B3462FE2" w:tentative="1">
      <w:start w:val="1"/>
      <w:numFmt w:val="decimal"/>
      <w:lvlText w:val="%4."/>
      <w:lvlJc w:val="left"/>
      <w:pPr>
        <w:ind w:left="3228" w:hanging="360"/>
      </w:pPr>
    </w:lvl>
    <w:lvl w:ilvl="4" w:tplc="421448E2" w:tentative="1">
      <w:start w:val="1"/>
      <w:numFmt w:val="lowerLetter"/>
      <w:lvlText w:val="%5."/>
      <w:lvlJc w:val="left"/>
      <w:pPr>
        <w:ind w:left="3948" w:hanging="360"/>
      </w:pPr>
    </w:lvl>
    <w:lvl w:ilvl="5" w:tplc="74F8A968" w:tentative="1">
      <w:start w:val="1"/>
      <w:numFmt w:val="lowerRoman"/>
      <w:lvlText w:val="%6."/>
      <w:lvlJc w:val="right"/>
      <w:pPr>
        <w:ind w:left="4668" w:hanging="180"/>
      </w:pPr>
    </w:lvl>
    <w:lvl w:ilvl="6" w:tplc="A93A981C" w:tentative="1">
      <w:start w:val="1"/>
      <w:numFmt w:val="decimal"/>
      <w:lvlText w:val="%7."/>
      <w:lvlJc w:val="left"/>
      <w:pPr>
        <w:ind w:left="5388" w:hanging="360"/>
      </w:pPr>
    </w:lvl>
    <w:lvl w:ilvl="7" w:tplc="03D4348C" w:tentative="1">
      <w:start w:val="1"/>
      <w:numFmt w:val="lowerLetter"/>
      <w:lvlText w:val="%8."/>
      <w:lvlJc w:val="left"/>
      <w:pPr>
        <w:ind w:left="6108" w:hanging="360"/>
      </w:pPr>
    </w:lvl>
    <w:lvl w:ilvl="8" w:tplc="568CC92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A6EC4"/>
    <w:multiLevelType w:val="multilevel"/>
    <w:tmpl w:val="45D2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44246"/>
    <w:multiLevelType w:val="hybridMultilevel"/>
    <w:tmpl w:val="3146A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15256"/>
    <w:multiLevelType w:val="multilevel"/>
    <w:tmpl w:val="D29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16455"/>
    <w:multiLevelType w:val="hybridMultilevel"/>
    <w:tmpl w:val="3B7EBF86"/>
    <w:lvl w:ilvl="0" w:tplc="13089E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0501F66" w:tentative="1">
      <w:start w:val="1"/>
      <w:numFmt w:val="lowerLetter"/>
      <w:lvlText w:val="%2."/>
      <w:lvlJc w:val="left"/>
      <w:pPr>
        <w:ind w:left="1440" w:hanging="360"/>
      </w:pPr>
    </w:lvl>
    <w:lvl w:ilvl="2" w:tplc="CBB0CFBE" w:tentative="1">
      <w:start w:val="1"/>
      <w:numFmt w:val="lowerRoman"/>
      <w:lvlText w:val="%3."/>
      <w:lvlJc w:val="right"/>
      <w:pPr>
        <w:ind w:left="2160" w:hanging="180"/>
      </w:pPr>
    </w:lvl>
    <w:lvl w:ilvl="3" w:tplc="26447F68" w:tentative="1">
      <w:start w:val="1"/>
      <w:numFmt w:val="decimal"/>
      <w:lvlText w:val="%4."/>
      <w:lvlJc w:val="left"/>
      <w:pPr>
        <w:ind w:left="2880" w:hanging="360"/>
      </w:pPr>
    </w:lvl>
    <w:lvl w:ilvl="4" w:tplc="52E0DB0E" w:tentative="1">
      <w:start w:val="1"/>
      <w:numFmt w:val="lowerLetter"/>
      <w:lvlText w:val="%5."/>
      <w:lvlJc w:val="left"/>
      <w:pPr>
        <w:ind w:left="3600" w:hanging="360"/>
      </w:pPr>
    </w:lvl>
    <w:lvl w:ilvl="5" w:tplc="39C0FDE2" w:tentative="1">
      <w:start w:val="1"/>
      <w:numFmt w:val="lowerRoman"/>
      <w:lvlText w:val="%6."/>
      <w:lvlJc w:val="right"/>
      <w:pPr>
        <w:ind w:left="4320" w:hanging="180"/>
      </w:pPr>
    </w:lvl>
    <w:lvl w:ilvl="6" w:tplc="5A6C4D30" w:tentative="1">
      <w:start w:val="1"/>
      <w:numFmt w:val="decimal"/>
      <w:lvlText w:val="%7."/>
      <w:lvlJc w:val="left"/>
      <w:pPr>
        <w:ind w:left="5040" w:hanging="360"/>
      </w:pPr>
    </w:lvl>
    <w:lvl w:ilvl="7" w:tplc="A97C64CA" w:tentative="1">
      <w:start w:val="1"/>
      <w:numFmt w:val="lowerLetter"/>
      <w:lvlText w:val="%8."/>
      <w:lvlJc w:val="left"/>
      <w:pPr>
        <w:ind w:left="5760" w:hanging="360"/>
      </w:pPr>
    </w:lvl>
    <w:lvl w:ilvl="8" w:tplc="F0E08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B0094"/>
    <w:multiLevelType w:val="multilevel"/>
    <w:tmpl w:val="5CB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A181B"/>
    <w:multiLevelType w:val="hybridMultilevel"/>
    <w:tmpl w:val="00B8E7EA"/>
    <w:lvl w:ilvl="0" w:tplc="1E74889A">
      <w:start w:val="1"/>
      <w:numFmt w:val="decimal"/>
      <w:lvlText w:val="%1)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2BC9C">
      <w:start w:val="1"/>
      <w:numFmt w:val="decimal"/>
      <w:lvlText w:val="%2)"/>
      <w:lvlJc w:val="left"/>
      <w:pPr>
        <w:ind w:left="1867" w:hanging="360"/>
      </w:pPr>
    </w:lvl>
    <w:lvl w:ilvl="2" w:tplc="2D068B6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8826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774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610E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7CE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5F4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094A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63360"/>
    <w:multiLevelType w:val="hybridMultilevel"/>
    <w:tmpl w:val="0958D64E"/>
    <w:lvl w:ilvl="0" w:tplc="BEBCC6FC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26D70">
      <w:start w:val="1"/>
      <w:numFmt w:val="decimal"/>
      <w:lvlText w:val="%2)"/>
      <w:lvlJc w:val="left"/>
      <w:pPr>
        <w:ind w:left="1867" w:hanging="360"/>
      </w:pPr>
    </w:lvl>
    <w:lvl w:ilvl="2" w:tplc="D4881EE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6AFE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4296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C8C5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A44BA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6E23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4D9F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97DDC"/>
    <w:multiLevelType w:val="hybridMultilevel"/>
    <w:tmpl w:val="7196F36A"/>
    <w:lvl w:ilvl="0" w:tplc="72C6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A5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27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85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F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E9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6D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3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262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D01FB"/>
    <w:multiLevelType w:val="hybridMultilevel"/>
    <w:tmpl w:val="3B127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209E5"/>
    <w:multiLevelType w:val="hybridMultilevel"/>
    <w:tmpl w:val="569642BA"/>
    <w:lvl w:ilvl="0" w:tplc="9574E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C028E" w:tentative="1">
      <w:start w:val="1"/>
      <w:numFmt w:val="lowerLetter"/>
      <w:lvlText w:val="%2."/>
      <w:lvlJc w:val="left"/>
      <w:pPr>
        <w:ind w:left="1440" w:hanging="360"/>
      </w:pPr>
    </w:lvl>
    <w:lvl w:ilvl="2" w:tplc="6B400566" w:tentative="1">
      <w:start w:val="1"/>
      <w:numFmt w:val="lowerRoman"/>
      <w:lvlText w:val="%3."/>
      <w:lvlJc w:val="right"/>
      <w:pPr>
        <w:ind w:left="2160" w:hanging="180"/>
      </w:pPr>
    </w:lvl>
    <w:lvl w:ilvl="3" w:tplc="700A8F9A" w:tentative="1">
      <w:start w:val="1"/>
      <w:numFmt w:val="decimal"/>
      <w:lvlText w:val="%4."/>
      <w:lvlJc w:val="left"/>
      <w:pPr>
        <w:ind w:left="2880" w:hanging="360"/>
      </w:pPr>
    </w:lvl>
    <w:lvl w:ilvl="4" w:tplc="80DE5648" w:tentative="1">
      <w:start w:val="1"/>
      <w:numFmt w:val="lowerLetter"/>
      <w:lvlText w:val="%5."/>
      <w:lvlJc w:val="left"/>
      <w:pPr>
        <w:ind w:left="3600" w:hanging="360"/>
      </w:pPr>
    </w:lvl>
    <w:lvl w:ilvl="5" w:tplc="697A0D40" w:tentative="1">
      <w:start w:val="1"/>
      <w:numFmt w:val="lowerRoman"/>
      <w:lvlText w:val="%6."/>
      <w:lvlJc w:val="right"/>
      <w:pPr>
        <w:ind w:left="4320" w:hanging="180"/>
      </w:pPr>
    </w:lvl>
    <w:lvl w:ilvl="6" w:tplc="91F03BB0" w:tentative="1">
      <w:start w:val="1"/>
      <w:numFmt w:val="decimal"/>
      <w:lvlText w:val="%7."/>
      <w:lvlJc w:val="left"/>
      <w:pPr>
        <w:ind w:left="5040" w:hanging="360"/>
      </w:pPr>
    </w:lvl>
    <w:lvl w:ilvl="7" w:tplc="3694295C" w:tentative="1">
      <w:start w:val="1"/>
      <w:numFmt w:val="lowerLetter"/>
      <w:lvlText w:val="%8."/>
      <w:lvlJc w:val="left"/>
      <w:pPr>
        <w:ind w:left="5760" w:hanging="360"/>
      </w:pPr>
    </w:lvl>
    <w:lvl w:ilvl="8" w:tplc="22E65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94B4D"/>
    <w:multiLevelType w:val="multilevel"/>
    <w:tmpl w:val="1FAC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646A1"/>
    <w:multiLevelType w:val="hybridMultilevel"/>
    <w:tmpl w:val="81C02F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FFD15CE"/>
    <w:multiLevelType w:val="hybridMultilevel"/>
    <w:tmpl w:val="90F469E0"/>
    <w:lvl w:ilvl="0" w:tplc="0415000F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867" w:hanging="360"/>
      </w:p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2462B1"/>
    <w:multiLevelType w:val="multilevel"/>
    <w:tmpl w:val="5CBC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16E55"/>
    <w:multiLevelType w:val="multilevel"/>
    <w:tmpl w:val="FCEC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B0A91"/>
    <w:multiLevelType w:val="hybridMultilevel"/>
    <w:tmpl w:val="8C120E3A"/>
    <w:lvl w:ilvl="0" w:tplc="4C6AF9E0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607EC">
      <w:start w:val="1"/>
      <w:numFmt w:val="decimal"/>
      <w:lvlText w:val="%2)"/>
      <w:lvlJc w:val="left"/>
      <w:pPr>
        <w:ind w:left="1867" w:hanging="360"/>
      </w:pPr>
    </w:lvl>
    <w:lvl w:ilvl="2" w:tplc="2FCE63B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0E858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260D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2EB2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4D47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A68C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C042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BE4694"/>
    <w:multiLevelType w:val="hybridMultilevel"/>
    <w:tmpl w:val="0152E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C31CF"/>
    <w:multiLevelType w:val="multilevel"/>
    <w:tmpl w:val="FF00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B405D4"/>
    <w:multiLevelType w:val="hybridMultilevel"/>
    <w:tmpl w:val="C6F2EDA8"/>
    <w:lvl w:ilvl="0" w:tplc="F542857E">
      <w:start w:val="1"/>
      <w:numFmt w:val="decimal"/>
      <w:lvlText w:val="%1."/>
      <w:lvlJc w:val="left"/>
      <w:pPr>
        <w:ind w:left="787"/>
      </w:pPr>
      <w:rPr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E486">
      <w:start w:val="1"/>
      <w:numFmt w:val="decimal"/>
      <w:lvlText w:val="%2)"/>
      <w:lvlJc w:val="left"/>
      <w:pPr>
        <w:ind w:left="1867" w:hanging="360"/>
      </w:pPr>
    </w:lvl>
    <w:lvl w:ilvl="2" w:tplc="9E2C906E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489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451E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2B51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8DD2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2F80C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2BA6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7311A4"/>
    <w:multiLevelType w:val="hybridMultilevel"/>
    <w:tmpl w:val="C50E55AA"/>
    <w:lvl w:ilvl="0" w:tplc="7C82F99E">
      <w:start w:val="1"/>
      <w:numFmt w:val="decimal"/>
      <w:lvlText w:val="%1."/>
      <w:lvlJc w:val="left"/>
      <w:pPr>
        <w:ind w:left="772" w:hanging="360"/>
      </w:pPr>
    </w:lvl>
    <w:lvl w:ilvl="1" w:tplc="CD8291E0" w:tentative="1">
      <w:start w:val="1"/>
      <w:numFmt w:val="lowerLetter"/>
      <w:lvlText w:val="%2."/>
      <w:lvlJc w:val="left"/>
      <w:pPr>
        <w:ind w:left="1492" w:hanging="360"/>
      </w:pPr>
    </w:lvl>
    <w:lvl w:ilvl="2" w:tplc="C52CA864" w:tentative="1">
      <w:start w:val="1"/>
      <w:numFmt w:val="lowerRoman"/>
      <w:lvlText w:val="%3."/>
      <w:lvlJc w:val="right"/>
      <w:pPr>
        <w:ind w:left="2212" w:hanging="180"/>
      </w:pPr>
    </w:lvl>
    <w:lvl w:ilvl="3" w:tplc="9CDE576A" w:tentative="1">
      <w:start w:val="1"/>
      <w:numFmt w:val="decimal"/>
      <w:lvlText w:val="%4."/>
      <w:lvlJc w:val="left"/>
      <w:pPr>
        <w:ind w:left="2932" w:hanging="360"/>
      </w:pPr>
    </w:lvl>
    <w:lvl w:ilvl="4" w:tplc="F4F8974E" w:tentative="1">
      <w:start w:val="1"/>
      <w:numFmt w:val="lowerLetter"/>
      <w:lvlText w:val="%5."/>
      <w:lvlJc w:val="left"/>
      <w:pPr>
        <w:ind w:left="3652" w:hanging="360"/>
      </w:pPr>
    </w:lvl>
    <w:lvl w:ilvl="5" w:tplc="21761888" w:tentative="1">
      <w:start w:val="1"/>
      <w:numFmt w:val="lowerRoman"/>
      <w:lvlText w:val="%6."/>
      <w:lvlJc w:val="right"/>
      <w:pPr>
        <w:ind w:left="4372" w:hanging="180"/>
      </w:pPr>
    </w:lvl>
    <w:lvl w:ilvl="6" w:tplc="70423576" w:tentative="1">
      <w:start w:val="1"/>
      <w:numFmt w:val="decimal"/>
      <w:lvlText w:val="%7."/>
      <w:lvlJc w:val="left"/>
      <w:pPr>
        <w:ind w:left="5092" w:hanging="360"/>
      </w:pPr>
    </w:lvl>
    <w:lvl w:ilvl="7" w:tplc="653E7F04" w:tentative="1">
      <w:start w:val="1"/>
      <w:numFmt w:val="lowerLetter"/>
      <w:lvlText w:val="%8."/>
      <w:lvlJc w:val="left"/>
      <w:pPr>
        <w:ind w:left="5812" w:hanging="360"/>
      </w:pPr>
    </w:lvl>
    <w:lvl w:ilvl="8" w:tplc="2ED64496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4B543D"/>
    <w:multiLevelType w:val="multilevel"/>
    <w:tmpl w:val="E3A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A30A8"/>
    <w:multiLevelType w:val="hybridMultilevel"/>
    <w:tmpl w:val="D43C7B30"/>
    <w:lvl w:ilvl="0" w:tplc="8BFCE486">
      <w:start w:val="1"/>
      <w:numFmt w:val="decimal"/>
      <w:lvlText w:val="%1)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867" w:hanging="360"/>
      </w:p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43441E"/>
    <w:multiLevelType w:val="hybridMultilevel"/>
    <w:tmpl w:val="B9C40A0A"/>
    <w:lvl w:ilvl="0" w:tplc="0D8291AA">
      <w:start w:val="1"/>
      <w:numFmt w:val="lowerLetter"/>
      <w:lvlText w:val="%1."/>
      <w:lvlJc w:val="left"/>
      <w:pPr>
        <w:ind w:left="1713" w:hanging="360"/>
      </w:pPr>
    </w:lvl>
    <w:lvl w:ilvl="1" w:tplc="B942B0B8">
      <w:start w:val="1"/>
      <w:numFmt w:val="decimal"/>
      <w:lvlText w:val="%2)"/>
      <w:lvlJc w:val="left"/>
      <w:pPr>
        <w:ind w:left="710" w:hanging="360"/>
      </w:pPr>
    </w:lvl>
    <w:lvl w:ilvl="2" w:tplc="1E3084D6" w:tentative="1">
      <w:start w:val="1"/>
      <w:numFmt w:val="lowerRoman"/>
      <w:lvlText w:val="%3."/>
      <w:lvlJc w:val="right"/>
      <w:pPr>
        <w:ind w:left="3153" w:hanging="180"/>
      </w:pPr>
    </w:lvl>
    <w:lvl w:ilvl="3" w:tplc="978ED1E2" w:tentative="1">
      <w:start w:val="1"/>
      <w:numFmt w:val="decimal"/>
      <w:lvlText w:val="%4."/>
      <w:lvlJc w:val="left"/>
      <w:pPr>
        <w:ind w:left="3873" w:hanging="360"/>
      </w:pPr>
    </w:lvl>
    <w:lvl w:ilvl="4" w:tplc="5B88D3CE" w:tentative="1">
      <w:start w:val="1"/>
      <w:numFmt w:val="lowerLetter"/>
      <w:lvlText w:val="%5."/>
      <w:lvlJc w:val="left"/>
      <w:pPr>
        <w:ind w:left="4593" w:hanging="360"/>
      </w:pPr>
    </w:lvl>
    <w:lvl w:ilvl="5" w:tplc="13168C1E" w:tentative="1">
      <w:start w:val="1"/>
      <w:numFmt w:val="lowerRoman"/>
      <w:lvlText w:val="%6."/>
      <w:lvlJc w:val="right"/>
      <w:pPr>
        <w:ind w:left="5313" w:hanging="180"/>
      </w:pPr>
    </w:lvl>
    <w:lvl w:ilvl="6" w:tplc="BED0A696" w:tentative="1">
      <w:start w:val="1"/>
      <w:numFmt w:val="decimal"/>
      <w:lvlText w:val="%7."/>
      <w:lvlJc w:val="left"/>
      <w:pPr>
        <w:ind w:left="6033" w:hanging="360"/>
      </w:pPr>
    </w:lvl>
    <w:lvl w:ilvl="7" w:tplc="484E2E26" w:tentative="1">
      <w:start w:val="1"/>
      <w:numFmt w:val="lowerLetter"/>
      <w:lvlText w:val="%8."/>
      <w:lvlJc w:val="left"/>
      <w:pPr>
        <w:ind w:left="6753" w:hanging="360"/>
      </w:pPr>
    </w:lvl>
    <w:lvl w:ilvl="8" w:tplc="E1B0D17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A5441"/>
    <w:multiLevelType w:val="hybridMultilevel"/>
    <w:tmpl w:val="5F781504"/>
    <w:lvl w:ilvl="0" w:tplc="3EE8B66E">
      <w:start w:val="1"/>
      <w:numFmt w:val="decimal"/>
      <w:lvlText w:val="%1)"/>
      <w:lvlJc w:val="left"/>
      <w:pPr>
        <w:ind w:left="710" w:hanging="360"/>
      </w:pPr>
    </w:lvl>
    <w:lvl w:ilvl="1" w:tplc="3E72F394" w:tentative="1">
      <w:start w:val="1"/>
      <w:numFmt w:val="lowerLetter"/>
      <w:lvlText w:val="%2."/>
      <w:lvlJc w:val="left"/>
      <w:pPr>
        <w:ind w:left="1430" w:hanging="360"/>
      </w:pPr>
    </w:lvl>
    <w:lvl w:ilvl="2" w:tplc="28328572" w:tentative="1">
      <w:start w:val="1"/>
      <w:numFmt w:val="lowerRoman"/>
      <w:lvlText w:val="%3."/>
      <w:lvlJc w:val="right"/>
      <w:pPr>
        <w:ind w:left="2150" w:hanging="180"/>
      </w:pPr>
    </w:lvl>
    <w:lvl w:ilvl="3" w:tplc="D0526062" w:tentative="1">
      <w:start w:val="1"/>
      <w:numFmt w:val="decimal"/>
      <w:lvlText w:val="%4."/>
      <w:lvlJc w:val="left"/>
      <w:pPr>
        <w:ind w:left="2870" w:hanging="360"/>
      </w:pPr>
    </w:lvl>
    <w:lvl w:ilvl="4" w:tplc="2D6E5F6C" w:tentative="1">
      <w:start w:val="1"/>
      <w:numFmt w:val="lowerLetter"/>
      <w:lvlText w:val="%5."/>
      <w:lvlJc w:val="left"/>
      <w:pPr>
        <w:ind w:left="3590" w:hanging="360"/>
      </w:pPr>
    </w:lvl>
    <w:lvl w:ilvl="5" w:tplc="38E89F52" w:tentative="1">
      <w:start w:val="1"/>
      <w:numFmt w:val="lowerRoman"/>
      <w:lvlText w:val="%6."/>
      <w:lvlJc w:val="right"/>
      <w:pPr>
        <w:ind w:left="4310" w:hanging="180"/>
      </w:pPr>
    </w:lvl>
    <w:lvl w:ilvl="6" w:tplc="81981B90" w:tentative="1">
      <w:start w:val="1"/>
      <w:numFmt w:val="decimal"/>
      <w:lvlText w:val="%7."/>
      <w:lvlJc w:val="left"/>
      <w:pPr>
        <w:ind w:left="5030" w:hanging="360"/>
      </w:pPr>
    </w:lvl>
    <w:lvl w:ilvl="7" w:tplc="A75AD1D0" w:tentative="1">
      <w:start w:val="1"/>
      <w:numFmt w:val="lowerLetter"/>
      <w:lvlText w:val="%8."/>
      <w:lvlJc w:val="left"/>
      <w:pPr>
        <w:ind w:left="5750" w:hanging="360"/>
      </w:pPr>
    </w:lvl>
    <w:lvl w:ilvl="8" w:tplc="BE147ABC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1" w15:restartNumberingAfterBreak="0">
    <w:nsid w:val="6E3409B4"/>
    <w:multiLevelType w:val="multilevel"/>
    <w:tmpl w:val="BDB0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AB5B0E"/>
    <w:multiLevelType w:val="hybridMultilevel"/>
    <w:tmpl w:val="0236182A"/>
    <w:lvl w:ilvl="0" w:tplc="38D6BBD4">
      <w:start w:val="1"/>
      <w:numFmt w:val="decimal"/>
      <w:lvlText w:val="%1)"/>
      <w:lvlJc w:val="left"/>
      <w:pPr>
        <w:ind w:left="127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A3DDA">
      <w:start w:val="1"/>
      <w:numFmt w:val="lowerLetter"/>
      <w:lvlText w:val="%2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2F9FE">
      <w:start w:val="1"/>
      <w:numFmt w:val="lowerRoman"/>
      <w:lvlText w:val="%3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4E690">
      <w:start w:val="1"/>
      <w:numFmt w:val="decimal"/>
      <w:lvlText w:val="%4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A1368">
      <w:start w:val="1"/>
      <w:numFmt w:val="lowerLetter"/>
      <w:lvlText w:val="%5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0FC4E">
      <w:start w:val="1"/>
      <w:numFmt w:val="lowerRoman"/>
      <w:lvlText w:val="%6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A06C2">
      <w:start w:val="1"/>
      <w:numFmt w:val="decimal"/>
      <w:lvlText w:val="%7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8F004">
      <w:start w:val="1"/>
      <w:numFmt w:val="lowerLetter"/>
      <w:lvlText w:val="%8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8A118">
      <w:start w:val="1"/>
      <w:numFmt w:val="lowerRoman"/>
      <w:lvlText w:val="%9"/>
      <w:lvlJc w:val="left"/>
      <w:pPr>
        <w:ind w:left="7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40946"/>
    <w:multiLevelType w:val="hybridMultilevel"/>
    <w:tmpl w:val="4DFE77CA"/>
    <w:lvl w:ilvl="0" w:tplc="51B053D6">
      <w:start w:val="1"/>
      <w:numFmt w:val="decimal"/>
      <w:lvlText w:val="%1)"/>
      <w:lvlJc w:val="left"/>
      <w:pPr>
        <w:ind w:left="3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AB28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4798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AB0E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2768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0998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6ACA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E6DC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0E19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B04FB6"/>
    <w:multiLevelType w:val="hybridMultilevel"/>
    <w:tmpl w:val="9CD2C052"/>
    <w:lvl w:ilvl="0" w:tplc="9F4EF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526F92"/>
    <w:multiLevelType w:val="hybridMultilevel"/>
    <w:tmpl w:val="20EC6D60"/>
    <w:lvl w:ilvl="0" w:tplc="0415000F">
      <w:start w:val="1"/>
      <w:numFmt w:val="decimal"/>
      <w:lvlText w:val="%1."/>
      <w:lvlJc w:val="left"/>
      <w:pPr>
        <w:ind w:left="78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867" w:hanging="360"/>
      </w:pPr>
    </w:lvl>
    <w:lvl w:ilvl="2" w:tplc="FFFFFFFF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7BD7104"/>
    <w:multiLevelType w:val="multilevel"/>
    <w:tmpl w:val="DD5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4674ED"/>
    <w:multiLevelType w:val="hybridMultilevel"/>
    <w:tmpl w:val="37D42AFE"/>
    <w:lvl w:ilvl="0" w:tplc="EB48C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31C25"/>
    <w:multiLevelType w:val="hybridMultilevel"/>
    <w:tmpl w:val="E26CE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50570">
    <w:abstractNumId w:val="13"/>
  </w:num>
  <w:num w:numId="2" w16cid:durableId="1197425776">
    <w:abstractNumId w:val="6"/>
  </w:num>
  <w:num w:numId="3" w16cid:durableId="1716588522">
    <w:abstractNumId w:val="35"/>
  </w:num>
  <w:num w:numId="4" w16cid:durableId="1782218349">
    <w:abstractNumId w:val="30"/>
  </w:num>
  <w:num w:numId="5" w16cid:durableId="1732189215">
    <w:abstractNumId w:val="2"/>
  </w:num>
  <w:num w:numId="6" w16cid:durableId="143813329">
    <w:abstractNumId w:val="39"/>
  </w:num>
  <w:num w:numId="7" w16cid:durableId="1951014200">
    <w:abstractNumId w:val="19"/>
  </w:num>
  <w:num w:numId="8" w16cid:durableId="815806446">
    <w:abstractNumId w:val="1"/>
  </w:num>
  <w:num w:numId="9" w16cid:durableId="858466157">
    <w:abstractNumId w:val="17"/>
  </w:num>
  <w:num w:numId="10" w16cid:durableId="1506241363">
    <w:abstractNumId w:val="23"/>
  </w:num>
  <w:num w:numId="11" w16cid:durableId="802046102">
    <w:abstractNumId w:val="47"/>
  </w:num>
  <w:num w:numId="12" w16cid:durableId="170687387">
    <w:abstractNumId w:val="44"/>
  </w:num>
  <w:num w:numId="13" w16cid:durableId="1170411530">
    <w:abstractNumId w:val="31"/>
  </w:num>
  <w:num w:numId="14" w16cid:durableId="1396930632">
    <w:abstractNumId w:val="24"/>
  </w:num>
  <w:num w:numId="15" w16cid:durableId="45303795">
    <w:abstractNumId w:val="29"/>
  </w:num>
  <w:num w:numId="16" w16cid:durableId="77752724">
    <w:abstractNumId w:val="43"/>
  </w:num>
  <w:num w:numId="17" w16cid:durableId="649361660">
    <w:abstractNumId w:val="48"/>
  </w:num>
  <w:num w:numId="18" w16cid:durableId="2055157460">
    <w:abstractNumId w:val="28"/>
  </w:num>
  <w:num w:numId="19" w16cid:durableId="611980800">
    <w:abstractNumId w:val="4"/>
  </w:num>
  <w:num w:numId="20" w16cid:durableId="2012903490">
    <w:abstractNumId w:val="14"/>
  </w:num>
  <w:num w:numId="21" w16cid:durableId="491801743">
    <w:abstractNumId w:val="42"/>
  </w:num>
  <w:num w:numId="22" w16cid:durableId="280765551">
    <w:abstractNumId w:val="33"/>
  </w:num>
  <w:num w:numId="23" w16cid:durableId="1980530352">
    <w:abstractNumId w:val="40"/>
  </w:num>
  <w:num w:numId="24" w16cid:durableId="1951080234">
    <w:abstractNumId w:val="26"/>
  </w:num>
  <w:num w:numId="25" w16cid:durableId="1881242593">
    <w:abstractNumId w:val="16"/>
  </w:num>
  <w:num w:numId="26" w16cid:durableId="1320572653">
    <w:abstractNumId w:val="12"/>
  </w:num>
  <w:num w:numId="27" w16cid:durableId="1850440735">
    <w:abstractNumId w:val="3"/>
  </w:num>
  <w:num w:numId="28" w16cid:durableId="615334524">
    <w:abstractNumId w:val="38"/>
  </w:num>
  <w:num w:numId="29" w16cid:durableId="1076363283">
    <w:abstractNumId w:val="9"/>
  </w:num>
  <w:num w:numId="30" w16cid:durableId="2029326352">
    <w:abstractNumId w:val="34"/>
  </w:num>
  <w:num w:numId="31" w16cid:durableId="125970254">
    <w:abstractNumId w:val="11"/>
  </w:num>
  <w:num w:numId="32" w16cid:durableId="1392115904">
    <w:abstractNumId w:val="45"/>
  </w:num>
  <w:num w:numId="33" w16cid:durableId="278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108338">
    <w:abstractNumId w:val="50"/>
  </w:num>
  <w:num w:numId="35" w16cid:durableId="995186444">
    <w:abstractNumId w:val="41"/>
  </w:num>
  <w:num w:numId="36" w16cid:durableId="712924369">
    <w:abstractNumId w:val="18"/>
  </w:num>
  <w:num w:numId="37" w16cid:durableId="1213347588">
    <w:abstractNumId w:val="0"/>
  </w:num>
  <w:num w:numId="38" w16cid:durableId="1272778739">
    <w:abstractNumId w:val="36"/>
  </w:num>
  <w:num w:numId="39" w16cid:durableId="1519076525">
    <w:abstractNumId w:val="8"/>
  </w:num>
  <w:num w:numId="40" w16cid:durableId="1555040306">
    <w:abstractNumId w:val="5"/>
  </w:num>
  <w:num w:numId="41" w16cid:durableId="21640347">
    <w:abstractNumId w:val="32"/>
  </w:num>
  <w:num w:numId="42" w16cid:durableId="1565333022">
    <w:abstractNumId w:val="10"/>
  </w:num>
  <w:num w:numId="43" w16cid:durableId="1445416953">
    <w:abstractNumId w:val="46"/>
  </w:num>
  <w:num w:numId="44" w16cid:durableId="881938440">
    <w:abstractNumId w:val="7"/>
  </w:num>
  <w:num w:numId="45" w16cid:durableId="61871065">
    <w:abstractNumId w:val="15"/>
  </w:num>
  <w:num w:numId="46" w16cid:durableId="1507164084">
    <w:abstractNumId w:val="27"/>
  </w:num>
  <w:num w:numId="47" w16cid:durableId="1111895231">
    <w:abstractNumId w:val="21"/>
  </w:num>
  <w:num w:numId="48" w16cid:durableId="301810792">
    <w:abstractNumId w:val="49"/>
  </w:num>
  <w:num w:numId="49" w16cid:durableId="1757434349">
    <w:abstractNumId w:val="37"/>
  </w:num>
  <w:num w:numId="50" w16cid:durableId="1510828031">
    <w:abstractNumId w:val="52"/>
  </w:num>
  <w:num w:numId="51" w16cid:durableId="1910193218">
    <w:abstractNumId w:val="51"/>
  </w:num>
  <w:num w:numId="52" w16cid:durableId="1182477976">
    <w:abstractNumId w:val="20"/>
  </w:num>
  <w:num w:numId="53" w16cid:durableId="20301784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C1"/>
    <w:rsid w:val="001244DF"/>
    <w:rsid w:val="00124868"/>
    <w:rsid w:val="002947C1"/>
    <w:rsid w:val="002E5451"/>
    <w:rsid w:val="00476965"/>
    <w:rsid w:val="005553C1"/>
    <w:rsid w:val="008267C2"/>
    <w:rsid w:val="008409DA"/>
    <w:rsid w:val="009309E7"/>
    <w:rsid w:val="009E4054"/>
    <w:rsid w:val="00A16303"/>
    <w:rsid w:val="00AA282A"/>
    <w:rsid w:val="00C17946"/>
    <w:rsid w:val="00C561A7"/>
    <w:rsid w:val="00CB52CE"/>
    <w:rsid w:val="00D520E8"/>
    <w:rsid w:val="00DA3EC4"/>
    <w:rsid w:val="00DA6B4D"/>
    <w:rsid w:val="00E13469"/>
    <w:rsid w:val="00E47FD7"/>
    <w:rsid w:val="00E521D2"/>
    <w:rsid w:val="00E83956"/>
    <w:rsid w:val="00F1527D"/>
    <w:rsid w:val="00F5046E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C50D"/>
  <w15:docId w15:val="{5CDB2BBA-97B7-4591-AF73-A6626858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BS,Akapit z listą5,Dot pt,F5 List Paragraph,K-P_odwolanie,Kolorowa lista — akcent 11,L1,List Paragraph11,List Paragraph_0,Nagłowek 3,Numerowanie,Preambuła,Recommendation,T_SZ_List Paragraph,lp1,maz_wyliczenie,opis dzialania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Akapit z listą5 Znak,Dot pt Znak,F5 List Paragraph Znak,K-P_odwolanie Znak,Kolorowa lista — akcent 11 Znak,L1 Znak,List Paragraph11 Znak,List Paragraph_0 Znak,Nagłowek 3 Znak,Numerowanie Znak,Preambuła Znak"/>
    <w:link w:val="Akapitzlist"/>
    <w:uiPriority w:val="34"/>
    <w:qFormat/>
    <w:locked/>
    <w:rsid w:val="00E259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monika.staniec@pfron.org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platformazakupowa.pl/transakcja/662601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iod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kancelaria@pfron.or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10</Pages>
  <Words>2786</Words>
  <Characters>16718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Krysik Katarzyna</cp:lastModifiedBy>
  <cp:revision>3</cp:revision>
  <cp:lastPrinted>2018-05-09T10:06:00Z</cp:lastPrinted>
  <dcterms:created xsi:type="dcterms:W3CDTF">2026-02-20T13:15:00Z</dcterms:created>
  <dcterms:modified xsi:type="dcterms:W3CDTF">2026-02-20T13:15:00Z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