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D9C8" w14:textId="77777777" w:rsidR="00E228CF" w:rsidRPr="00F42DE5" w:rsidRDefault="00E228CF" w:rsidP="00E228CF">
      <w:pPr>
        <w:tabs>
          <w:tab w:val="left" w:leader="dot" w:pos="10206"/>
        </w:tabs>
        <w:autoSpaceDE w:val="0"/>
        <w:autoSpaceDN w:val="0"/>
        <w:adjustRightInd w:val="0"/>
        <w:ind w:left="5529"/>
        <w:rPr>
          <w:rFonts w:asciiTheme="minorHAnsi" w:eastAsiaTheme="minorHAnsi" w:hAnsiTheme="minorHAnsi" w:cstheme="minorHAnsi"/>
        </w:rPr>
      </w:pPr>
      <w:bookmarkStart w:id="0" w:name="_Hlk183499967"/>
      <w:r w:rsidRPr="00F42DE5">
        <w:rPr>
          <w:rFonts w:asciiTheme="minorHAnsi" w:eastAsiaTheme="minorHAnsi" w:hAnsiTheme="minorHAnsi" w:cstheme="minorHAnsi"/>
        </w:rPr>
        <w:t xml:space="preserve">Warszawa, dnia </w:t>
      </w:r>
      <w:r>
        <w:rPr>
          <w:rFonts w:asciiTheme="minorHAnsi" w:eastAsiaTheme="minorHAnsi" w:hAnsiTheme="minorHAnsi" w:cstheme="minorHAnsi"/>
        </w:rPr>
        <w:t>2</w:t>
      </w:r>
      <w:r w:rsidRPr="00F42DE5">
        <w:rPr>
          <w:rFonts w:asciiTheme="minorHAnsi" w:eastAsiaTheme="minorHAnsi" w:hAnsiTheme="minorHAnsi" w:cstheme="minorHAnsi"/>
        </w:rPr>
        <w:t xml:space="preserve"> czerwca 2026 r.</w:t>
      </w:r>
    </w:p>
    <w:p w14:paraId="0980B463" w14:textId="77777777" w:rsidR="00E228CF" w:rsidRPr="00AA2A4A" w:rsidRDefault="00E228CF" w:rsidP="00E228CF">
      <w:pPr>
        <w:autoSpaceDE w:val="0"/>
        <w:autoSpaceDN w:val="0"/>
        <w:adjustRightInd w:val="0"/>
        <w:spacing w:before="240" w:after="240"/>
        <w:jc w:val="center"/>
        <w:outlineLvl w:val="0"/>
        <w:rPr>
          <w:rFonts w:asciiTheme="minorHAnsi" w:eastAsiaTheme="minorHAnsi" w:hAnsiTheme="minorHAnsi" w:cstheme="minorHAnsi"/>
          <w:sz w:val="28"/>
          <w:szCs w:val="28"/>
        </w:rPr>
      </w:pPr>
      <w:r w:rsidRPr="00AA2A4A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Zapytanie ofertowe na najem powierzchni biurowej na potrzeby </w:t>
      </w:r>
      <w:r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                    </w:t>
      </w:r>
      <w:r w:rsidRPr="00AA2A4A">
        <w:rPr>
          <w:rFonts w:asciiTheme="minorHAnsi" w:eastAsiaTheme="minorHAnsi" w:hAnsiTheme="minorHAnsi" w:cstheme="minorHAnsi"/>
          <w:b/>
          <w:bCs/>
          <w:sz w:val="28"/>
          <w:szCs w:val="28"/>
        </w:rPr>
        <w:t>PFRON Oddział Opolski</w:t>
      </w:r>
    </w:p>
    <w:p w14:paraId="2994EE91" w14:textId="77777777" w:rsidR="00E228CF" w:rsidRPr="00F42DE5" w:rsidRDefault="00E228CF" w:rsidP="00E228CF">
      <w:pPr>
        <w:autoSpaceDE w:val="0"/>
        <w:autoSpaceDN w:val="0"/>
        <w:adjustRightInd w:val="0"/>
        <w:spacing w:before="120"/>
        <w:ind w:left="714" w:hanging="357"/>
        <w:outlineLvl w:val="1"/>
        <w:rPr>
          <w:rFonts w:asciiTheme="minorHAnsi" w:eastAsiaTheme="minorHAnsi" w:hAnsiTheme="minorHAnsi" w:cstheme="minorHAnsi"/>
          <w:b/>
          <w:bCs/>
        </w:rPr>
      </w:pPr>
      <w:r w:rsidRPr="00F42DE5">
        <w:rPr>
          <w:rFonts w:asciiTheme="minorHAnsi" w:eastAsiaTheme="minorHAnsi" w:hAnsiTheme="minorHAnsi" w:cstheme="minorHAnsi"/>
          <w:b/>
          <w:bCs/>
        </w:rPr>
        <w:t>Nazwa i adres Zamawiającego.</w:t>
      </w:r>
    </w:p>
    <w:p w14:paraId="5190F7C8" w14:textId="77777777" w:rsidR="00E228CF" w:rsidRPr="00F42DE5" w:rsidRDefault="00E228CF" w:rsidP="00E228CF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Państwowy Fundusz Rehabilitacji Osób Niepełnosprawnych (PFRON) al. Jana Pawła II nr 13, 00-828 Warszawa.</w:t>
      </w:r>
    </w:p>
    <w:p w14:paraId="417E9BF5" w14:textId="77777777" w:rsidR="00E228CF" w:rsidRPr="00F42DE5" w:rsidRDefault="00E228CF" w:rsidP="00E228CF">
      <w:pPr>
        <w:autoSpaceDE w:val="0"/>
        <w:autoSpaceDN w:val="0"/>
        <w:adjustRightInd w:val="0"/>
        <w:spacing w:before="120"/>
        <w:ind w:left="714" w:hanging="357"/>
        <w:outlineLvl w:val="1"/>
        <w:rPr>
          <w:rFonts w:asciiTheme="minorHAnsi" w:eastAsiaTheme="minorHAnsi" w:hAnsiTheme="minorHAnsi" w:cstheme="minorHAnsi"/>
          <w:b/>
          <w:bCs/>
        </w:rPr>
      </w:pPr>
      <w:r w:rsidRPr="00F42DE5">
        <w:rPr>
          <w:rFonts w:asciiTheme="minorHAnsi" w:eastAsiaTheme="minorHAnsi" w:hAnsiTheme="minorHAnsi" w:cstheme="minorHAnsi"/>
          <w:b/>
          <w:bCs/>
        </w:rPr>
        <w:t>Opis przedmiotu zamówienia:</w:t>
      </w:r>
    </w:p>
    <w:p w14:paraId="3131D9DA" w14:textId="5AEF0C2F" w:rsidR="00E228CF" w:rsidRPr="00F42DE5" w:rsidRDefault="00E228CF" w:rsidP="00E228CF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Państwowy Fundusz Rehabilitacji Osób Niepełnosprawnych (PFRON) poszukuje powierzchni biurowej pod wynajem na terenie Opola z przeznaczeniem na działalność statutową – zabezpieczenie powierzchni biurowej na potrzeby Oddziału Opolskiego PFRON.</w:t>
      </w:r>
    </w:p>
    <w:p w14:paraId="607F3D7C" w14:textId="77777777" w:rsidR="00E228CF" w:rsidRPr="00F42DE5" w:rsidRDefault="00E228CF" w:rsidP="00E228CF">
      <w:pPr>
        <w:autoSpaceDE w:val="0"/>
        <w:autoSpaceDN w:val="0"/>
        <w:adjustRightInd w:val="0"/>
        <w:spacing w:before="120"/>
        <w:ind w:left="714" w:hanging="357"/>
        <w:outlineLvl w:val="1"/>
        <w:rPr>
          <w:rFonts w:asciiTheme="minorHAnsi" w:eastAsiaTheme="minorHAnsi" w:hAnsiTheme="minorHAnsi" w:cstheme="minorHAnsi"/>
          <w:b/>
          <w:bCs/>
        </w:rPr>
      </w:pPr>
      <w:r w:rsidRPr="00F42DE5">
        <w:rPr>
          <w:rFonts w:asciiTheme="minorHAnsi" w:eastAsiaTheme="minorHAnsi" w:hAnsiTheme="minorHAnsi" w:cstheme="minorHAnsi"/>
          <w:b/>
        </w:rPr>
        <w:t>Opis</w:t>
      </w:r>
      <w:r w:rsidRPr="00F42DE5">
        <w:rPr>
          <w:rFonts w:asciiTheme="minorHAnsi" w:eastAsiaTheme="minorHAnsi" w:hAnsiTheme="minorHAnsi" w:cstheme="minorHAnsi"/>
        </w:rPr>
        <w:t xml:space="preserve"> </w:t>
      </w:r>
      <w:r w:rsidRPr="00F42DE5">
        <w:rPr>
          <w:rFonts w:asciiTheme="minorHAnsi" w:eastAsiaTheme="minorHAnsi" w:hAnsiTheme="minorHAnsi" w:cstheme="minorHAnsi"/>
          <w:b/>
        </w:rPr>
        <w:t>kryteriów</w:t>
      </w:r>
      <w:r w:rsidRPr="00F42DE5">
        <w:rPr>
          <w:rFonts w:asciiTheme="minorHAnsi" w:eastAsiaTheme="minorHAnsi" w:hAnsiTheme="minorHAnsi" w:cstheme="minorHAnsi"/>
        </w:rPr>
        <w:t>:</w:t>
      </w:r>
    </w:p>
    <w:p w14:paraId="0C66AE38" w14:textId="77777777" w:rsidR="00E228CF" w:rsidRDefault="00E228CF" w:rsidP="00E228CF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851" w:hanging="567"/>
        <w:rPr>
          <w:rFonts w:asciiTheme="minorHAnsi" w:eastAsiaTheme="minorHAnsi" w:hAnsiTheme="minorHAnsi" w:cstheme="minorHAnsi"/>
        </w:rPr>
      </w:pPr>
      <w:r w:rsidRPr="00AD2810">
        <w:rPr>
          <w:rFonts w:asciiTheme="minorHAnsi" w:eastAsiaTheme="minorHAnsi" w:hAnsiTheme="minorHAnsi" w:cstheme="minorHAnsi"/>
          <w:b/>
          <w:bCs/>
        </w:rPr>
        <w:t xml:space="preserve">Lokalizacja w Opolu – </w:t>
      </w:r>
      <w:r w:rsidRPr="00AD2810">
        <w:rPr>
          <w:rFonts w:asciiTheme="minorHAnsi" w:eastAsiaTheme="minorHAnsi" w:hAnsiTheme="minorHAnsi" w:cstheme="minorHAnsi"/>
        </w:rPr>
        <w:t>(w promieniu do 4 km od opolskiego rynku) lokal powinien</w:t>
      </w:r>
      <w:r>
        <w:rPr>
          <w:rFonts w:asciiTheme="minorHAnsi" w:eastAsiaTheme="minorHAnsi" w:hAnsiTheme="minorHAnsi" w:cstheme="minorHAnsi"/>
        </w:rPr>
        <w:t xml:space="preserve"> </w:t>
      </w:r>
    </w:p>
    <w:p w14:paraId="5A364A99" w14:textId="77777777" w:rsidR="00E228CF" w:rsidRPr="00671817" w:rsidRDefault="00E228CF" w:rsidP="00E228CF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 w:rsidRPr="00671817">
        <w:rPr>
          <w:rFonts w:asciiTheme="minorHAnsi" w:eastAsiaTheme="minorHAnsi" w:hAnsiTheme="minorHAnsi" w:cstheme="minorHAnsi"/>
        </w:rPr>
        <w:t>znajdować się w pobliżu komunikacji miejskiej autobusowej (do 500 m), z możliwością bezpośredniego dojazdu do dworca głównego PKP/PKS wykorzystując transport publiczny.</w:t>
      </w:r>
    </w:p>
    <w:p w14:paraId="6FD8A885" w14:textId="77777777" w:rsidR="00E228CF" w:rsidRPr="00F42DE5" w:rsidRDefault="00E228CF" w:rsidP="00E228CF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Od drogi publicznej do wejścia do budynku należy zapewnić dojście i dojazd uwzględniające potrzeby osób z niepełnosprawnościami.</w:t>
      </w:r>
    </w:p>
    <w:p w14:paraId="65C5E775" w14:textId="77777777" w:rsidR="00E228CF" w:rsidRPr="00F42DE5" w:rsidRDefault="00E228CF" w:rsidP="00E228CF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Preferowana powierzchnia do wynajmu powinna być dostępna dla osób ze szczególnymi potrzebami (z uwzględnieniem osób poruszających się na wózkach).</w:t>
      </w:r>
    </w:p>
    <w:p w14:paraId="744D5821" w14:textId="77777777" w:rsidR="00E228CF" w:rsidRPr="00F42DE5" w:rsidRDefault="00E228CF" w:rsidP="00E228CF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Lokal powinien być usytuowany tak, aby zapewnić samodzielne wejście do Oddziału osobom ze szczególnymi potrzebami. Najemca dopuszcza położenie pomieszczeń na wyższej kondygnacji niż parter pod warunkiem bezpośredniego, dostępnego dla osób z niepełnosprawnościami, dojścia do nich z poziomu parteru.</w:t>
      </w:r>
    </w:p>
    <w:p w14:paraId="563AE804" w14:textId="77777777" w:rsidR="00E228CF" w:rsidRPr="00F42DE5" w:rsidRDefault="00E228CF" w:rsidP="00E228CF">
      <w:pPr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 xml:space="preserve">Wynajmowana powierzchnia w całości, wraz z częściami wspólnymi do niej prowadzącymi lub wykorzystywanymi przez Najemcę (w tym pomieszczenie socjalne, sanitariaty, z wyłączeniem pomieszczeń technicznych), jak również budynek, w którym zlokalizowana jest oferowana powierzchnia do wynajmu powinna spełniać wybrane wymagania określone w </w:t>
      </w:r>
      <w:r>
        <w:rPr>
          <w:rFonts w:asciiTheme="minorHAnsi" w:eastAsiaTheme="minorHAnsi" w:hAnsiTheme="minorHAnsi" w:cstheme="minorHAnsi"/>
        </w:rPr>
        <w:t>u</w:t>
      </w:r>
      <w:r w:rsidRPr="00F42DE5">
        <w:rPr>
          <w:rFonts w:asciiTheme="minorHAnsi" w:eastAsiaTheme="minorHAnsi" w:hAnsiTheme="minorHAnsi" w:cstheme="minorHAnsi"/>
        </w:rPr>
        <w:t>stawie z dnia 19 lipca 2019 o zapewnianiu dostępności osobom ze szczególnymi potrzebami (art. 6) dotyczące minimalnych wymagań w zakresie dostępności architektonicznej czyli:</w:t>
      </w:r>
    </w:p>
    <w:p w14:paraId="2CE3CF60" w14:textId="77777777" w:rsidR="00E228CF" w:rsidRPr="00F42DE5" w:rsidRDefault="00E228CF" w:rsidP="00E228CF">
      <w:pPr>
        <w:numPr>
          <w:ilvl w:val="1"/>
          <w:numId w:val="27"/>
        </w:numPr>
        <w:spacing w:after="160" w:line="259" w:lineRule="auto"/>
        <w:ind w:left="851" w:hanging="425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przestrzenie komunikacyjne budynku powinny być pozbawione barier poziomych i pionowych,</w:t>
      </w:r>
    </w:p>
    <w:p w14:paraId="3A975B42" w14:textId="77777777" w:rsidR="00E228CF" w:rsidRPr="00F42DE5" w:rsidRDefault="00E228CF" w:rsidP="00E228CF">
      <w:pPr>
        <w:numPr>
          <w:ilvl w:val="1"/>
          <w:numId w:val="27"/>
        </w:numPr>
        <w:spacing w:after="160" w:line="259" w:lineRule="auto"/>
        <w:ind w:left="851" w:hanging="425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należy zapewnić dostęp do wszystkich pomieszczeń, które będą przedmiotem umowy najmu (z wyłączeniem pomieszczeń technicznych) osobom ze szczególnymi potrzebami,</w:t>
      </w:r>
    </w:p>
    <w:p w14:paraId="5B94D475" w14:textId="77777777" w:rsidR="00E228CF" w:rsidRPr="00F42DE5" w:rsidRDefault="00E228CF" w:rsidP="00E228CF">
      <w:pPr>
        <w:numPr>
          <w:ilvl w:val="1"/>
          <w:numId w:val="27"/>
        </w:numPr>
        <w:spacing w:after="160" w:line="259" w:lineRule="auto"/>
        <w:ind w:left="851" w:hanging="425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lastRenderedPageBreak/>
        <w:t xml:space="preserve">należy zapewnić wstęp do budynku osobie korzystającej z psa asystującego, o którym mowa w art. 2 pkt 11 ustawy z dnia 27 sierpnia 1997 r. o rehabilitacji zawodowej i społecznej oraz zatrudnianiu osób niepełnosprawnych (Dz. U. z 2024 r. poz. 44, 858, 1089 i 1165), </w:t>
      </w:r>
    </w:p>
    <w:p w14:paraId="77A77267" w14:textId="77777777" w:rsidR="00E228CF" w:rsidRPr="00F42DE5" w:rsidRDefault="00E228CF" w:rsidP="00E228CF">
      <w:pPr>
        <w:numPr>
          <w:ilvl w:val="1"/>
          <w:numId w:val="27"/>
        </w:numPr>
        <w:spacing w:after="160" w:line="259" w:lineRule="auto"/>
        <w:ind w:left="851" w:hanging="425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osoby ze szczególnymi potrzebami będą miały możliwość ewakuacji lub ich uratowania w inny sposób.</w:t>
      </w:r>
    </w:p>
    <w:p w14:paraId="6DDCDAD1" w14:textId="77777777" w:rsidR="00E228CF" w:rsidRPr="00AD2810" w:rsidRDefault="00E228CF" w:rsidP="00E228CF">
      <w:pPr>
        <w:numPr>
          <w:ilvl w:val="2"/>
          <w:numId w:val="27"/>
        </w:numPr>
        <w:autoSpaceDE w:val="0"/>
        <w:autoSpaceDN w:val="0"/>
        <w:adjustRightInd w:val="0"/>
        <w:spacing w:after="160" w:line="259" w:lineRule="auto"/>
        <w:ind w:left="851" w:hanging="567"/>
        <w:contextualSpacing/>
        <w:rPr>
          <w:rFonts w:asciiTheme="minorHAnsi" w:eastAsiaTheme="minorHAnsi" w:hAnsiTheme="minorHAnsi" w:cstheme="minorHAnsi"/>
          <w:b/>
          <w:bCs/>
        </w:rPr>
      </w:pPr>
      <w:r w:rsidRPr="00AD2810">
        <w:rPr>
          <w:rFonts w:asciiTheme="minorHAnsi" w:eastAsiaTheme="minorHAnsi" w:hAnsiTheme="minorHAnsi" w:cstheme="minorHAnsi"/>
          <w:b/>
          <w:bCs/>
        </w:rPr>
        <w:t>Powierzchnia najmu o metrażu ok. 420 m</w:t>
      </w:r>
      <w:r w:rsidRPr="00AD2810">
        <w:rPr>
          <w:rFonts w:asciiTheme="minorHAnsi" w:eastAsiaTheme="minorHAnsi" w:hAnsiTheme="minorHAnsi" w:cstheme="minorHAnsi"/>
          <w:b/>
          <w:bCs/>
          <w:vertAlign w:val="superscript"/>
        </w:rPr>
        <w:t>2</w:t>
      </w:r>
      <w:r w:rsidRPr="00AD2810">
        <w:rPr>
          <w:rFonts w:asciiTheme="minorHAnsi" w:eastAsiaTheme="minorHAnsi" w:hAnsiTheme="minorHAnsi" w:cstheme="minorHAnsi"/>
          <w:b/>
          <w:bCs/>
        </w:rPr>
        <w:t xml:space="preserve"> powierzchni użytkowej, podzielona na pomieszczenia, w tym:</w:t>
      </w:r>
    </w:p>
    <w:p w14:paraId="4CC37870" w14:textId="77777777" w:rsidR="00E228CF" w:rsidRPr="00F42DE5" w:rsidRDefault="00E228CF" w:rsidP="00E228CF">
      <w:pPr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pomieszczenie na sekretariat (ok. 25 m</w:t>
      </w:r>
      <w:r w:rsidRPr="00F42DE5">
        <w:rPr>
          <w:rFonts w:asciiTheme="minorHAnsi" w:eastAsiaTheme="minorHAnsi" w:hAnsiTheme="minorHAnsi" w:cstheme="minorHAnsi"/>
          <w:vertAlign w:val="superscript"/>
        </w:rPr>
        <w:t>2</w:t>
      </w:r>
      <w:r w:rsidRPr="00F42DE5">
        <w:rPr>
          <w:rFonts w:asciiTheme="minorHAnsi" w:eastAsiaTheme="minorHAnsi" w:hAnsiTheme="minorHAnsi" w:cstheme="minorHAnsi"/>
        </w:rPr>
        <w:t xml:space="preserve"> z aneksem kuchennym),</w:t>
      </w:r>
    </w:p>
    <w:p w14:paraId="01F04BEA" w14:textId="77777777" w:rsidR="00E228CF" w:rsidRPr="00F42DE5" w:rsidRDefault="00E228CF" w:rsidP="00E228CF">
      <w:pPr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gabinet dyrektora oddziału (ok. 25 m</w:t>
      </w:r>
      <w:r w:rsidRPr="00F42DE5">
        <w:rPr>
          <w:rFonts w:asciiTheme="minorHAnsi" w:eastAsiaTheme="minorHAnsi" w:hAnsiTheme="minorHAnsi" w:cstheme="minorHAnsi"/>
          <w:vertAlign w:val="superscript"/>
        </w:rPr>
        <w:t>2</w:t>
      </w:r>
      <w:r w:rsidRPr="00F42DE5">
        <w:rPr>
          <w:rFonts w:asciiTheme="minorHAnsi" w:eastAsiaTheme="minorHAnsi" w:hAnsiTheme="minorHAnsi" w:cstheme="minorHAnsi"/>
        </w:rPr>
        <w:t xml:space="preserve"> - wyciszony - izolowany akustycznie),</w:t>
      </w:r>
    </w:p>
    <w:p w14:paraId="7A9D00B5" w14:textId="77777777" w:rsidR="00E228CF" w:rsidRPr="00F42DE5" w:rsidRDefault="00E228CF" w:rsidP="00E228CF">
      <w:pPr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sala konferencyjna na min. 30 osób – ok. 50 m</w:t>
      </w:r>
      <w:r w:rsidRPr="00F42DE5">
        <w:rPr>
          <w:rFonts w:asciiTheme="minorHAnsi" w:eastAsiaTheme="minorHAnsi" w:hAnsiTheme="minorHAnsi" w:cstheme="minorHAnsi"/>
          <w:vertAlign w:val="superscript"/>
        </w:rPr>
        <w:t>2</w:t>
      </w:r>
      <w:r w:rsidRPr="00F42DE5">
        <w:rPr>
          <w:rFonts w:asciiTheme="minorHAnsi" w:eastAsiaTheme="minorHAnsi" w:hAnsiTheme="minorHAnsi" w:cstheme="minorHAnsi"/>
        </w:rPr>
        <w:t>,</w:t>
      </w:r>
    </w:p>
    <w:p w14:paraId="74312281" w14:textId="77777777" w:rsidR="00E228CF" w:rsidRPr="00F42DE5" w:rsidRDefault="00E228CF" w:rsidP="00E228CF">
      <w:pPr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pokój bezpośredniej obsługi klientów na min. 2 stanowiska, zaprojektowany zgodnie z zasadami dostępności dla osób z niepełnosprawnościami i z zapewnieniem przestrzeni manewrowych o wymiarach 150x150 cm, oraz zgodnie z normą, która zapewnia od 7-10</w:t>
      </w:r>
      <w:r>
        <w:rPr>
          <w:rFonts w:asciiTheme="minorHAnsi" w:eastAsiaTheme="minorHAnsi" w:hAnsiTheme="minorHAnsi" w:cstheme="minorHAnsi"/>
        </w:rPr>
        <w:t xml:space="preserve"> </w:t>
      </w:r>
      <w:r w:rsidRPr="00F42DE5">
        <w:rPr>
          <w:rFonts w:asciiTheme="minorHAnsi" w:eastAsiaTheme="minorHAnsi" w:hAnsiTheme="minorHAnsi" w:cstheme="minorHAnsi"/>
        </w:rPr>
        <w:t>m</w:t>
      </w:r>
      <w:r w:rsidRPr="00F42DE5">
        <w:rPr>
          <w:rFonts w:asciiTheme="minorHAnsi" w:eastAsiaTheme="minorHAnsi" w:hAnsiTheme="minorHAnsi" w:cstheme="minorHAnsi"/>
          <w:vertAlign w:val="superscript"/>
        </w:rPr>
        <w:t>2</w:t>
      </w:r>
      <w:r w:rsidRPr="00F42DE5">
        <w:rPr>
          <w:rFonts w:asciiTheme="minorHAnsi" w:eastAsiaTheme="minorHAnsi" w:hAnsiTheme="minorHAnsi" w:cstheme="minorHAnsi"/>
        </w:rPr>
        <w:t xml:space="preserve"> na osobę, pomieszczenie musi znajdować się najbliżej sekretariatu</w:t>
      </w:r>
      <w:r>
        <w:rPr>
          <w:rFonts w:asciiTheme="minorHAnsi" w:eastAsiaTheme="minorHAnsi" w:hAnsiTheme="minorHAnsi" w:cstheme="minorHAnsi"/>
        </w:rPr>
        <w:t>,</w:t>
      </w:r>
    </w:p>
    <w:p w14:paraId="1C059E49" w14:textId="77777777" w:rsidR="00E228CF" w:rsidRPr="00F42DE5" w:rsidRDefault="00E228CF" w:rsidP="00E228CF">
      <w:pPr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pozostałe pomieszczenia biurowe dla zespołu do 17 osób (tj. min.</w:t>
      </w:r>
      <w:r>
        <w:rPr>
          <w:rFonts w:asciiTheme="minorHAnsi" w:eastAsiaTheme="minorHAnsi" w:hAnsiTheme="minorHAnsi" w:cstheme="minorHAnsi"/>
        </w:rPr>
        <w:t>:</w:t>
      </w:r>
    </w:p>
    <w:p w14:paraId="1E960DE5" w14:textId="77777777" w:rsidR="00E228CF" w:rsidRDefault="00E228CF" w:rsidP="00E228CF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993"/>
        <w:rPr>
          <w:rFonts w:asciiTheme="minorHAnsi" w:eastAsiaTheme="minorHAnsi" w:hAnsiTheme="minorHAnsi" w:cstheme="minorHAnsi"/>
        </w:rPr>
      </w:pPr>
      <w:r w:rsidRPr="00D21F9E">
        <w:rPr>
          <w:rFonts w:asciiTheme="minorHAnsi" w:eastAsiaTheme="minorHAnsi" w:hAnsiTheme="minorHAnsi" w:cstheme="minorHAnsi"/>
        </w:rPr>
        <w:t>1 pokój 2-osobowy dla potrzeb CIDON znajdujący się w bezpośrednim sąsiedztwie sekretariatu</w:t>
      </w:r>
      <w:r>
        <w:rPr>
          <w:rFonts w:asciiTheme="minorHAnsi" w:eastAsiaTheme="minorHAnsi" w:hAnsiTheme="minorHAnsi" w:cstheme="minorHAnsi"/>
        </w:rPr>
        <w:t>,</w:t>
      </w:r>
    </w:p>
    <w:p w14:paraId="7D9FC695" w14:textId="77777777" w:rsidR="00E228CF" w:rsidRDefault="00E228CF" w:rsidP="00E228CF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993"/>
        <w:rPr>
          <w:rFonts w:asciiTheme="minorHAnsi" w:eastAsiaTheme="minorHAnsi" w:hAnsiTheme="minorHAnsi" w:cstheme="minorHAnsi"/>
        </w:rPr>
      </w:pPr>
      <w:r w:rsidRPr="00D21F9E">
        <w:rPr>
          <w:rFonts w:asciiTheme="minorHAnsi" w:eastAsiaTheme="minorHAnsi" w:hAnsiTheme="minorHAnsi" w:cstheme="minorHAnsi"/>
        </w:rPr>
        <w:t>5 pokoi 2-osobowych</w:t>
      </w:r>
      <w:r>
        <w:rPr>
          <w:rFonts w:asciiTheme="minorHAnsi" w:eastAsiaTheme="minorHAnsi" w:hAnsiTheme="minorHAnsi" w:cstheme="minorHAnsi"/>
        </w:rPr>
        <w:t>,</w:t>
      </w:r>
    </w:p>
    <w:p w14:paraId="75922B66" w14:textId="77777777" w:rsidR="00E228CF" w:rsidRPr="00D21F9E" w:rsidRDefault="00E228CF" w:rsidP="00E228CF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993"/>
        <w:rPr>
          <w:rFonts w:asciiTheme="minorHAnsi" w:eastAsiaTheme="minorHAnsi" w:hAnsiTheme="minorHAnsi" w:cstheme="minorHAnsi"/>
        </w:rPr>
      </w:pPr>
      <w:r w:rsidRPr="00D21F9E">
        <w:rPr>
          <w:rFonts w:asciiTheme="minorHAnsi" w:eastAsiaTheme="minorHAnsi" w:hAnsiTheme="minorHAnsi" w:cstheme="minorHAnsi"/>
        </w:rPr>
        <w:t>3 pokoje – 1 osobowe</w:t>
      </w:r>
    </w:p>
    <w:p w14:paraId="0397F034" w14:textId="77777777" w:rsidR="00E228CF" w:rsidRPr="00F42DE5" w:rsidRDefault="00E228CF" w:rsidP="00E228CF">
      <w:pPr>
        <w:autoSpaceDE w:val="0"/>
        <w:autoSpaceDN w:val="0"/>
        <w:adjustRightInd w:val="0"/>
        <w:ind w:left="720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i zawierające zgodnie z normą obowiązującą od 7-10</w:t>
      </w:r>
      <w:r>
        <w:rPr>
          <w:rFonts w:asciiTheme="minorHAnsi" w:eastAsiaTheme="minorHAnsi" w:hAnsiTheme="minorHAnsi" w:cstheme="minorHAnsi"/>
        </w:rPr>
        <w:t xml:space="preserve"> </w:t>
      </w:r>
      <w:r w:rsidRPr="00F42DE5">
        <w:rPr>
          <w:rFonts w:asciiTheme="minorHAnsi" w:eastAsiaTheme="minorHAnsi" w:hAnsiTheme="minorHAnsi" w:cstheme="minorHAnsi"/>
        </w:rPr>
        <w:t>m</w:t>
      </w:r>
      <w:r w:rsidRPr="00F42DE5">
        <w:rPr>
          <w:rFonts w:asciiTheme="minorHAnsi" w:eastAsiaTheme="minorHAnsi" w:hAnsiTheme="minorHAnsi" w:cstheme="minorHAnsi"/>
          <w:vertAlign w:val="superscript"/>
        </w:rPr>
        <w:t>2</w:t>
      </w:r>
      <w:r w:rsidRPr="00F42DE5">
        <w:rPr>
          <w:rFonts w:asciiTheme="minorHAnsi" w:eastAsiaTheme="minorHAnsi" w:hAnsiTheme="minorHAnsi" w:cstheme="minorHAnsi"/>
        </w:rPr>
        <w:t xml:space="preserve"> na osobę i uwzględniające zasady dostępności dla osób z niepełnosprawnościami),</w:t>
      </w:r>
    </w:p>
    <w:p w14:paraId="76E6B003" w14:textId="794CC1B0" w:rsidR="00E228CF" w:rsidRPr="00143F03" w:rsidRDefault="0086336D" w:rsidP="00E228CF">
      <w:pPr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contextualSpacing/>
        <w:rPr>
          <w:rFonts w:asciiTheme="minorHAnsi" w:eastAsiaTheme="minorHAnsi" w:hAnsiTheme="minorHAnsi" w:cstheme="minorHAnsi"/>
        </w:rPr>
      </w:pPr>
      <w:r w:rsidRPr="00143F03">
        <w:rPr>
          <w:rFonts w:asciiTheme="minorHAnsi" w:eastAsiaTheme="minorHAnsi" w:hAnsiTheme="minorHAnsi" w:cstheme="minorHAnsi"/>
        </w:rPr>
        <w:t>4 pomieszczenia techniczno-magazynowe o łącznej powierzchni nie mniejszej niż              80 m², w tym: 48 m² na archiwum (z przeznaczeniem na dokumentację), 12 m² na pomieszczenie IT (informatyczny punkt dostępowy), 10 m² na pomieszczenie na serwis sprzątający oraz 10 m² na pomieszczenie na drukarkę ogólnodostępną wraz             z miejscem na materiały biurowe. Pomieszczenie IT musi być zamykane i zabezpieczone kontrolą dostępu, klimatyzowane, objęte monitoringiem wizyjnym               w zakresie wejścia do niego oraz posiadać możliwość instalacji szafy teleinformatycznej typu RACK</w:t>
      </w:r>
      <w:r w:rsidR="00E228CF" w:rsidRPr="00143F03">
        <w:rPr>
          <w:rFonts w:asciiTheme="minorHAnsi" w:eastAsiaTheme="minorHAnsi" w:hAnsiTheme="minorHAnsi" w:cstheme="minorHAnsi"/>
        </w:rPr>
        <w:t xml:space="preserve">), </w:t>
      </w:r>
    </w:p>
    <w:p w14:paraId="0AFB5AFB" w14:textId="77777777" w:rsidR="00E228CF" w:rsidRPr="00F42DE5" w:rsidRDefault="00E228CF" w:rsidP="00E228CF">
      <w:pPr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każde pomieszczenie biurowe, magazynowe, IT ma być zamykane,</w:t>
      </w:r>
    </w:p>
    <w:p w14:paraId="67DDF445" w14:textId="77777777" w:rsidR="00E228CF" w:rsidRPr="00F42DE5" w:rsidRDefault="00E228CF" w:rsidP="00E228CF">
      <w:pPr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pomieszczenia w których przebywają pracownicy powinno mieć na stałe dostęp do światła dziennego (nie dotyczy to pomieszczeń technicznych, zaplecza socjalnego, sanitariatów)</w:t>
      </w:r>
      <w:r>
        <w:rPr>
          <w:rFonts w:asciiTheme="minorHAnsi" w:eastAsiaTheme="minorHAnsi" w:hAnsiTheme="minorHAnsi" w:cstheme="minorHAnsi"/>
        </w:rPr>
        <w:t>,</w:t>
      </w:r>
    </w:p>
    <w:p w14:paraId="48F0F7E6" w14:textId="77777777" w:rsidR="00E228CF" w:rsidRPr="00F42DE5" w:rsidRDefault="00E228CF" w:rsidP="006D15ED">
      <w:pPr>
        <w:numPr>
          <w:ilvl w:val="0"/>
          <w:numId w:val="2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zaplecze socjalne na tym samym poziomie, połączone z powierzchnią biurową,</w:t>
      </w:r>
    </w:p>
    <w:p w14:paraId="5F62FD8E" w14:textId="77777777" w:rsidR="00E228CF" w:rsidRPr="00F42DE5" w:rsidRDefault="00E228CF" w:rsidP="006D15ED">
      <w:pPr>
        <w:numPr>
          <w:ilvl w:val="0"/>
          <w:numId w:val="23"/>
        </w:numPr>
        <w:autoSpaceDE w:val="0"/>
        <w:autoSpaceDN w:val="0"/>
        <w:adjustRightInd w:val="0"/>
        <w:spacing w:after="0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sanitariaty, w tym co najmniej jedna toaleta dostosowana dla osób z niepełnosprawnością, wyposażona lub dająca możliwość wyposażenia w przewijak/leżankę dla osoby dorosłej (komfortka), na tej samej kondygnacji co pomieszczenia biurowe o powierzchni użytkowej co najmniej 12 m</w:t>
      </w:r>
      <w:r w:rsidRPr="00F42DE5">
        <w:rPr>
          <w:rFonts w:asciiTheme="minorHAnsi" w:eastAsiaTheme="minorHAnsi" w:hAnsiTheme="minorHAnsi" w:cstheme="minorHAnsi"/>
          <w:vertAlign w:val="superscript"/>
        </w:rPr>
        <w:t>2</w:t>
      </w:r>
      <w:r w:rsidRPr="00F42DE5">
        <w:rPr>
          <w:rFonts w:asciiTheme="minorHAnsi" w:eastAsiaTheme="minorHAnsi" w:hAnsiTheme="minorHAnsi" w:cstheme="minorHAnsi"/>
        </w:rPr>
        <w:t>, najlepiej w okolicy pokoju (przestrzeni) bezpośredniej obsługi klientów,</w:t>
      </w:r>
    </w:p>
    <w:p w14:paraId="0824B81D" w14:textId="1CBDC792" w:rsidR="0014709F" w:rsidRPr="006D15ED" w:rsidRDefault="0014709F" w:rsidP="006D15ED">
      <w:pPr>
        <w:pStyle w:val="Akapitzlist"/>
        <w:numPr>
          <w:ilvl w:val="0"/>
          <w:numId w:val="23"/>
        </w:numPr>
        <w:spacing w:after="0"/>
        <w:rPr>
          <w:rFonts w:asciiTheme="minorHAnsi" w:eastAsiaTheme="minorHAnsi" w:hAnsiTheme="minorHAnsi" w:cstheme="minorHAnsi"/>
        </w:rPr>
      </w:pPr>
      <w:r w:rsidRPr="006D15ED">
        <w:rPr>
          <w:rFonts w:asciiTheme="minorHAnsi" w:eastAsiaTheme="minorHAnsi" w:hAnsiTheme="minorHAnsi" w:cstheme="minorHAnsi"/>
        </w:rPr>
        <w:lastRenderedPageBreak/>
        <w:t>min. 6 dedykowanych, bezpłatnych miejsc parkingowych (w ramach czynszu najmu) preferowane na parkingu podziemnym lub naziemnym z zadaszeniem,</w:t>
      </w:r>
    </w:p>
    <w:p w14:paraId="48A4F2D3" w14:textId="3FCB0EA8" w:rsidR="00E228CF" w:rsidRPr="00F42DE5" w:rsidRDefault="00E228CF" w:rsidP="006D15ED">
      <w:pPr>
        <w:numPr>
          <w:ilvl w:val="0"/>
          <w:numId w:val="23"/>
        </w:numPr>
        <w:autoSpaceDE w:val="0"/>
        <w:autoSpaceDN w:val="0"/>
        <w:adjustRightInd w:val="0"/>
        <w:spacing w:after="0"/>
        <w:ind w:hanging="357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dostęp do co najmniej dwóch wydzielonych i odpowiednio oznakowanych poziomo i pionowo miejsc parkingowych dla osób z niepełnosprawnościami w bezpośrednim otoczeniu wejścia do budynku, w którym będą znajdować się najmowane powierzchnie (nie dalej niż 100 m od wejścia głównego).</w:t>
      </w:r>
      <w:r w:rsidR="0014709F">
        <w:rPr>
          <w:rFonts w:asciiTheme="minorHAnsi" w:eastAsiaTheme="minorHAnsi" w:hAnsiTheme="minorHAnsi" w:cstheme="minorHAnsi"/>
        </w:rPr>
        <w:t xml:space="preserve"> </w:t>
      </w:r>
      <w:r w:rsidRPr="00F42DE5">
        <w:rPr>
          <w:rFonts w:asciiTheme="minorHAnsi" w:eastAsiaTheme="minorHAnsi" w:hAnsiTheme="minorHAnsi" w:cstheme="minorHAnsi"/>
        </w:rPr>
        <w:t>Od wyznaczonych miejsc do wejścia do budynku należy zapewnić bezkolizyjne i dostępne dojście uwzględniające potrzeby osób z niepełnosprawnościami.</w:t>
      </w:r>
    </w:p>
    <w:p w14:paraId="7B04597F" w14:textId="77777777" w:rsidR="00E228CF" w:rsidRPr="00F42DE5" w:rsidRDefault="00E228CF" w:rsidP="00E228CF">
      <w:pPr>
        <w:numPr>
          <w:ilvl w:val="2"/>
          <w:numId w:val="27"/>
        </w:numPr>
        <w:autoSpaceDE w:val="0"/>
        <w:autoSpaceDN w:val="0"/>
        <w:adjustRightInd w:val="0"/>
        <w:spacing w:after="160" w:line="259" w:lineRule="auto"/>
        <w:ind w:left="851" w:hanging="567"/>
        <w:contextualSpacing/>
        <w:rPr>
          <w:rFonts w:asciiTheme="minorHAnsi" w:eastAsiaTheme="minorHAnsi" w:hAnsiTheme="minorHAnsi" w:cstheme="minorHAnsi"/>
          <w:b/>
          <w:bCs/>
        </w:rPr>
      </w:pPr>
      <w:r w:rsidRPr="00F42DE5">
        <w:rPr>
          <w:rFonts w:asciiTheme="minorHAnsi" w:eastAsiaTheme="minorHAnsi" w:hAnsiTheme="minorHAnsi" w:cstheme="minorHAnsi"/>
          <w:b/>
          <w:bCs/>
        </w:rPr>
        <w:t>Możliwość korzystania z technicznego wyposażenia przedmiotu umowy najmu:</w:t>
      </w:r>
    </w:p>
    <w:p w14:paraId="70EA5CF6" w14:textId="77777777" w:rsidR="00E228CF" w:rsidRPr="00F42DE5" w:rsidRDefault="00E228CF" w:rsidP="00E228CF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instalacja wodno-kanalizacyjna,</w:t>
      </w:r>
    </w:p>
    <w:p w14:paraId="69FD4512" w14:textId="77777777" w:rsidR="00E228CF" w:rsidRPr="00F42DE5" w:rsidRDefault="00E228CF" w:rsidP="00E228CF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instalacja elektryczna,</w:t>
      </w:r>
    </w:p>
    <w:p w14:paraId="344FBF8C" w14:textId="77777777" w:rsidR="00E228CF" w:rsidRPr="00F42DE5" w:rsidRDefault="00E228CF" w:rsidP="00E228CF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ilość gniazd sieci logicznej LAN nie mniejsza niż 160% więcej niż zaplanowanych stanowisk pracy tj. np. dla 10 stanowisk pracy zapewnione będzie 26 gniazd RJ45,</w:t>
      </w:r>
    </w:p>
    <w:p w14:paraId="727428EF" w14:textId="77777777" w:rsidR="00E228CF" w:rsidRPr="00F42DE5" w:rsidRDefault="00E228CF" w:rsidP="00E228CF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sieć logiczna LAN w architekturze gwiazdy zakończonej w pomieszczeniu IT na panelach RACK, okablowanie kategorii min. 6, niepalne albo trudnopalne,</w:t>
      </w:r>
    </w:p>
    <w:p w14:paraId="6D53592D" w14:textId="77777777" w:rsidR="00E228CF" w:rsidRPr="00F42DE5" w:rsidRDefault="00E228CF" w:rsidP="00E228CF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instalacja wentylacji i klimatyzacji (klimatyzacja sterowana indywidualnie dla każdego z pomieszczeń), centralnego ogrzewania,</w:t>
      </w:r>
    </w:p>
    <w:p w14:paraId="3190F308" w14:textId="77777777" w:rsidR="00E228CF" w:rsidRPr="00F42DE5" w:rsidRDefault="00E228CF" w:rsidP="00E228CF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instalacja systemu sygnalizacji przeciwpożarowej,</w:t>
      </w:r>
    </w:p>
    <w:p w14:paraId="20C85219" w14:textId="77777777" w:rsidR="00E228CF" w:rsidRPr="00F42DE5" w:rsidRDefault="00E228CF" w:rsidP="00E228CF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dźwiękowy system ostrzegawczy,</w:t>
      </w:r>
    </w:p>
    <w:p w14:paraId="40025AE7" w14:textId="77777777" w:rsidR="00E228CF" w:rsidRPr="00F42DE5" w:rsidRDefault="00E228CF" w:rsidP="00E228CF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system kontroli dostępu obejmujący wejście do najmowanej powierzchni oraz wybranych pomieszczeń o podwyższonym poziomie bezpieczeństwa (w szczególności pomieszczenie IT),</w:t>
      </w:r>
    </w:p>
    <w:p w14:paraId="3566373F" w14:textId="77777777" w:rsidR="00E228CF" w:rsidRPr="00F42DE5" w:rsidRDefault="00E228CF" w:rsidP="00E228CF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system monitoringu wizyjnego,</w:t>
      </w:r>
    </w:p>
    <w:p w14:paraId="2D6231DF" w14:textId="77777777" w:rsidR="00E228CF" w:rsidRPr="00F42DE5" w:rsidRDefault="00E228CF" w:rsidP="00E228CF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instalacja systemu przywołania pomocy w toalecie dostępnej dla osób z niepełnosprawnościami.</w:t>
      </w:r>
    </w:p>
    <w:p w14:paraId="2B200484" w14:textId="77777777" w:rsidR="00E228CF" w:rsidRPr="00F42DE5" w:rsidRDefault="00E228CF" w:rsidP="00E228CF">
      <w:pPr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426" w:hanging="436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Konserwacja i naprawa wszelkich systemów, instalacji i urządzeń, w które wyposażony jest przez Wynajmującego przedmiot umowy najmu, będzie wykonywana przez Wynajmującego w ramach opłat eksploatacyjnych wnoszonych przez Najemcę.</w:t>
      </w:r>
    </w:p>
    <w:p w14:paraId="065A00E4" w14:textId="77777777" w:rsidR="00E228CF" w:rsidRPr="00F42DE5" w:rsidRDefault="00E228CF" w:rsidP="00E228CF">
      <w:pPr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426" w:hanging="436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Okres najmu: czas nieokreślony – z możliwością jej wypowiedzenia przez każdą ze stron umowy z zachowaniem sześciomiesięcznego okresu, ze skutkiem na koniec miesiąca kalendarzowego.</w:t>
      </w:r>
    </w:p>
    <w:p w14:paraId="45E0E280" w14:textId="77777777" w:rsidR="00E228CF" w:rsidRPr="00F42DE5" w:rsidRDefault="00E228CF" w:rsidP="00E228CF">
      <w:pPr>
        <w:autoSpaceDE w:val="0"/>
        <w:autoSpaceDN w:val="0"/>
        <w:adjustRightInd w:val="0"/>
        <w:ind w:left="426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W przypadku braku możliwości zawarcia umowy na czas nieokreślony, umowa</w:t>
      </w:r>
    </w:p>
    <w:p w14:paraId="5F5E20C4" w14:textId="77777777" w:rsidR="00E228CF" w:rsidRPr="00F42DE5" w:rsidRDefault="00E228CF" w:rsidP="00E228CF">
      <w:pPr>
        <w:autoSpaceDE w:val="0"/>
        <w:autoSpaceDN w:val="0"/>
        <w:adjustRightInd w:val="0"/>
        <w:ind w:left="426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będzie zawarta na czas określony, z zastrzeżeniem możliwości jej wypowiedzenia przez każdą ze stron z zachowaniem sześciomiesięcznego okresu, ze skutkiem na koniec miesiąca kalendarzowego, w przypadkach wskazanych w umowie.</w:t>
      </w:r>
    </w:p>
    <w:p w14:paraId="391BD7FE" w14:textId="77777777" w:rsidR="00E228CF" w:rsidRPr="00F42DE5" w:rsidRDefault="00E228CF" w:rsidP="00E228CF">
      <w:pPr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426" w:hanging="436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Wyłączenie z umowy najmu zapisów o zabezpieczeniach, kaucjach, zaliczkach, zastosowania art. 685</w:t>
      </w:r>
      <w:r w:rsidRPr="00F42DE5">
        <w:rPr>
          <w:rFonts w:asciiTheme="minorHAnsi" w:eastAsiaTheme="minorHAnsi" w:hAnsiTheme="minorHAnsi" w:cstheme="minorHAnsi"/>
          <w:vertAlign w:val="superscript"/>
        </w:rPr>
        <w:t>1</w:t>
      </w:r>
      <w:r w:rsidRPr="00F42DE5">
        <w:rPr>
          <w:rFonts w:asciiTheme="minorHAnsi" w:eastAsiaTheme="minorHAnsi" w:hAnsiTheme="minorHAnsi" w:cstheme="minorHAnsi"/>
        </w:rPr>
        <w:t xml:space="preserve"> k.c. oraz o zastosowaniu art.777 k.c., wszelkie płatności wynikające z umowy najmu realizowane będą z dołu.</w:t>
      </w:r>
    </w:p>
    <w:p w14:paraId="7C3A0E7A" w14:textId="77777777" w:rsidR="00E228CF" w:rsidRPr="00D21F9E" w:rsidRDefault="00E228CF" w:rsidP="00E228CF">
      <w:pPr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426" w:hanging="436"/>
        <w:contextualSpacing/>
        <w:jc w:val="both"/>
        <w:rPr>
          <w:rFonts w:asciiTheme="minorHAnsi" w:eastAsiaTheme="minorHAnsi" w:hAnsiTheme="minorHAnsi" w:cstheme="minorHAnsi"/>
          <w:u w:val="single"/>
        </w:rPr>
      </w:pPr>
      <w:r w:rsidRPr="00D21F9E">
        <w:rPr>
          <w:rFonts w:asciiTheme="minorHAnsi" w:eastAsiaTheme="minorHAnsi" w:hAnsiTheme="minorHAnsi" w:cstheme="minorHAnsi"/>
        </w:rPr>
        <w:t>Wykonanie w ramach umowy nieodpłatnej aranżacji dostosowania pomieszczeń przez Wynajmującego po uzgodnieniu zakresu z Najemcą w terminie do 30 września 2026</w:t>
      </w:r>
      <w:r>
        <w:rPr>
          <w:rFonts w:asciiTheme="minorHAnsi" w:eastAsiaTheme="minorHAnsi" w:hAnsiTheme="minorHAnsi" w:cstheme="minorHAnsi"/>
        </w:rPr>
        <w:t xml:space="preserve"> roku</w:t>
      </w:r>
      <w:r w:rsidRPr="00D21F9E">
        <w:rPr>
          <w:rFonts w:asciiTheme="minorHAnsi" w:eastAsiaTheme="minorHAnsi" w:hAnsiTheme="minorHAnsi" w:cstheme="minorHAnsi"/>
        </w:rPr>
        <w:t xml:space="preserve">. Dopuszcza się dla części pomieszczeń wymienionych w punkcie II.e. zapytania o ich aranżację w terminie do końca maja 2027 roku. </w:t>
      </w:r>
      <w:r w:rsidRPr="00D21F9E">
        <w:rPr>
          <w:rFonts w:asciiTheme="minorHAnsi" w:eastAsiaTheme="minorHAnsi" w:hAnsiTheme="minorHAnsi" w:cstheme="minorHAnsi"/>
          <w:b/>
          <w:bCs/>
          <w:u w:val="single"/>
        </w:rPr>
        <w:t xml:space="preserve">W przypadku prowadzenia prac </w:t>
      </w:r>
      <w:r w:rsidRPr="00D21F9E">
        <w:rPr>
          <w:rFonts w:asciiTheme="minorHAnsi" w:eastAsiaTheme="minorHAnsi" w:hAnsiTheme="minorHAnsi" w:cstheme="minorHAnsi"/>
          <w:b/>
          <w:bCs/>
          <w:u w:val="single"/>
        </w:rPr>
        <w:lastRenderedPageBreak/>
        <w:t>adaptacyjnych dla reszty pomieszczeń po 30.09.2026</w:t>
      </w:r>
      <w:r>
        <w:rPr>
          <w:rFonts w:asciiTheme="minorHAnsi" w:eastAsiaTheme="minorHAnsi" w:hAnsiTheme="minorHAnsi" w:cstheme="minorHAnsi"/>
          <w:b/>
          <w:bCs/>
          <w:u w:val="single"/>
        </w:rPr>
        <w:t xml:space="preserve"> roku</w:t>
      </w:r>
      <w:r w:rsidRPr="00D21F9E">
        <w:rPr>
          <w:rFonts w:asciiTheme="minorHAnsi" w:eastAsiaTheme="minorHAnsi" w:hAnsiTheme="minorHAnsi" w:cstheme="minorHAnsi"/>
          <w:b/>
          <w:bCs/>
          <w:u w:val="single"/>
        </w:rPr>
        <w:t xml:space="preserve"> zastrzega się płatność czynszu w kwocie obniżonej od stawki bazowej.</w:t>
      </w:r>
    </w:p>
    <w:p w14:paraId="5A4A4B0A" w14:textId="77777777" w:rsidR="00E228CF" w:rsidRPr="00F42DE5" w:rsidRDefault="00E228CF" w:rsidP="00E228CF">
      <w:pPr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426" w:hanging="436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Najmowane powierzchnie winny być klimatyzowane, odmalowane, wyposażone w nowe posadzki w pomieszczeniach biurowych, nową armaturę łazienkową. W częściach wspólnych podłogi i ściany również powinny być odnowione – w kolorystyce uzgodnionej z Zamawiającym.</w:t>
      </w:r>
    </w:p>
    <w:p w14:paraId="6F2DAE0C" w14:textId="77777777" w:rsidR="00E228CF" w:rsidRPr="00F42DE5" w:rsidRDefault="00E228CF" w:rsidP="00E228CF">
      <w:pPr>
        <w:autoSpaceDE w:val="0"/>
        <w:autoSpaceDN w:val="0"/>
        <w:adjustRightInd w:val="0"/>
        <w:ind w:left="426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W przypadku zawarcia umowy na czas nieokreślony lub na okres nie krótszy niż 5 lat,</w:t>
      </w:r>
    </w:p>
    <w:p w14:paraId="467B0662" w14:textId="77777777" w:rsidR="00E228CF" w:rsidRPr="00F42DE5" w:rsidRDefault="00E228CF" w:rsidP="00E228CF">
      <w:pPr>
        <w:autoSpaceDE w:val="0"/>
        <w:autoSpaceDN w:val="0"/>
        <w:adjustRightInd w:val="0"/>
        <w:ind w:left="426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Wynajmujący zobowiązuje się do „odświeżania” powierzchni najmu co 5 lat w zakresie przynajmniej malowania ścian i wymiany wykładziny.</w:t>
      </w:r>
    </w:p>
    <w:p w14:paraId="78B0B989" w14:textId="77777777" w:rsidR="00E228CF" w:rsidRPr="00F42DE5" w:rsidRDefault="00E228CF" w:rsidP="00E228CF">
      <w:pPr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426" w:hanging="436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Wynajmujący wskaże w ofercie:</w:t>
      </w:r>
    </w:p>
    <w:p w14:paraId="2ECAB81A" w14:textId="77777777" w:rsidR="00E228CF" w:rsidRPr="00F42DE5" w:rsidRDefault="00E228CF" w:rsidP="00E228CF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cenę czynszu najmu za 1 m</w:t>
      </w:r>
      <w:r w:rsidRPr="00F42DE5">
        <w:rPr>
          <w:rFonts w:asciiTheme="minorHAnsi" w:eastAsiaTheme="minorHAnsi" w:hAnsiTheme="minorHAnsi" w:cstheme="minorHAnsi"/>
          <w:vertAlign w:val="superscript"/>
        </w:rPr>
        <w:t>2</w:t>
      </w:r>
      <w:r w:rsidRPr="00F42DE5">
        <w:rPr>
          <w:rFonts w:asciiTheme="minorHAnsi" w:eastAsiaTheme="minorHAnsi" w:hAnsiTheme="minorHAnsi" w:cstheme="minorHAnsi"/>
        </w:rPr>
        <w:t xml:space="preserve"> powierzchni miesięcznie (netto)</w:t>
      </w:r>
      <w:r>
        <w:rPr>
          <w:rFonts w:asciiTheme="minorHAnsi" w:eastAsiaTheme="minorHAnsi" w:hAnsiTheme="minorHAnsi" w:cstheme="minorHAnsi"/>
        </w:rPr>
        <w:t>,</w:t>
      </w:r>
    </w:p>
    <w:p w14:paraId="320596B0" w14:textId="77777777" w:rsidR="00E228CF" w:rsidRPr="00F42DE5" w:rsidRDefault="00E228CF" w:rsidP="00E228CF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wysokość opłaty eksploatacyjnej w przeliczeniu na 1 m</w:t>
      </w:r>
      <w:r w:rsidRPr="00F42DE5">
        <w:rPr>
          <w:rFonts w:asciiTheme="minorHAnsi" w:eastAsiaTheme="minorHAnsi" w:hAnsiTheme="minorHAnsi" w:cstheme="minorHAnsi"/>
          <w:vertAlign w:val="superscript"/>
        </w:rPr>
        <w:t>2</w:t>
      </w:r>
      <w:r w:rsidRPr="00F42DE5">
        <w:rPr>
          <w:rFonts w:asciiTheme="minorHAnsi" w:eastAsiaTheme="minorHAnsi" w:hAnsiTheme="minorHAnsi" w:cstheme="minorHAnsi"/>
        </w:rPr>
        <w:t xml:space="preserve"> powierzchni miesięcznie (netto)</w:t>
      </w:r>
      <w:r>
        <w:rPr>
          <w:rFonts w:asciiTheme="minorHAnsi" w:eastAsiaTheme="minorHAnsi" w:hAnsiTheme="minorHAnsi" w:cstheme="minorHAnsi"/>
        </w:rPr>
        <w:t>,</w:t>
      </w:r>
    </w:p>
    <w:p w14:paraId="1B729E3B" w14:textId="77777777" w:rsidR="00E228CF" w:rsidRPr="00F42DE5" w:rsidRDefault="00E228CF" w:rsidP="00E228CF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współczynnik powierzchni wspólnej (wyrażony w % przedmiotu najmu)</w:t>
      </w:r>
      <w:r>
        <w:rPr>
          <w:rFonts w:asciiTheme="minorHAnsi" w:eastAsiaTheme="minorHAnsi" w:hAnsiTheme="minorHAnsi" w:cstheme="minorHAnsi"/>
        </w:rPr>
        <w:t>,</w:t>
      </w:r>
    </w:p>
    <w:p w14:paraId="172CEB11" w14:textId="1AFE7756" w:rsidR="00E228CF" w:rsidRPr="00F42DE5" w:rsidRDefault="00E228CF" w:rsidP="00E228CF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wielkość oferowanej powierzchni</w:t>
      </w:r>
      <w:r>
        <w:rPr>
          <w:rFonts w:asciiTheme="minorHAnsi" w:eastAsiaTheme="minorHAnsi" w:hAnsiTheme="minorHAnsi" w:cstheme="minorHAnsi"/>
        </w:rPr>
        <w:t>,</w:t>
      </w:r>
      <w:r w:rsidRPr="00F42DE5">
        <w:rPr>
          <w:rFonts w:asciiTheme="minorHAnsi" w:eastAsiaTheme="minorHAnsi" w:hAnsiTheme="minorHAnsi" w:cstheme="minorHAnsi"/>
        </w:rPr>
        <w:t xml:space="preserve"> </w:t>
      </w:r>
    </w:p>
    <w:p w14:paraId="3142B668" w14:textId="77777777" w:rsidR="00E228CF" w:rsidRPr="00F42DE5" w:rsidRDefault="00E228CF" w:rsidP="00E228CF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 xml:space="preserve">całkowitą wielkość miesięcznego zobowiązania </w:t>
      </w:r>
      <w:r>
        <w:rPr>
          <w:rFonts w:asciiTheme="minorHAnsi" w:eastAsiaTheme="minorHAnsi" w:hAnsiTheme="minorHAnsi" w:cstheme="minorHAnsi"/>
        </w:rPr>
        <w:t>N</w:t>
      </w:r>
      <w:r w:rsidRPr="00F42DE5">
        <w:rPr>
          <w:rFonts w:asciiTheme="minorHAnsi" w:eastAsiaTheme="minorHAnsi" w:hAnsiTheme="minorHAnsi" w:cstheme="minorHAnsi"/>
        </w:rPr>
        <w:t>ajemcy z tytułu najmu powierzchni wraz z miejscami parkingowymi</w:t>
      </w:r>
      <w:r>
        <w:rPr>
          <w:rFonts w:asciiTheme="minorHAnsi" w:eastAsiaTheme="minorHAnsi" w:hAnsiTheme="minorHAnsi" w:cstheme="minorHAnsi"/>
        </w:rPr>
        <w:t>,</w:t>
      </w:r>
    </w:p>
    <w:p w14:paraId="675C7557" w14:textId="77777777" w:rsidR="00E228CF" w:rsidRPr="00F42DE5" w:rsidRDefault="00E228CF" w:rsidP="00E228CF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do oferty Wynajmujący załączy katalog kosztów wchodzących w skład opłaty eksploatacyjnej, a także wskaże sposób rozliczania opłaty eksploatacyjnej (tj. zaliczkowy czy ryczałtowy)</w:t>
      </w:r>
      <w:r>
        <w:rPr>
          <w:rFonts w:asciiTheme="minorHAnsi" w:eastAsiaTheme="minorHAnsi" w:hAnsiTheme="minorHAnsi" w:cstheme="minorHAnsi"/>
        </w:rPr>
        <w:t>,</w:t>
      </w:r>
    </w:p>
    <w:p w14:paraId="610E8855" w14:textId="77777777" w:rsidR="00E228CF" w:rsidRPr="00F42DE5" w:rsidRDefault="00E228CF" w:rsidP="00E228CF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do ofert należy dołączyć m.in. następujące dokumenty:</w:t>
      </w:r>
    </w:p>
    <w:p w14:paraId="05911D25" w14:textId="77777777" w:rsidR="00E228CF" w:rsidRPr="00F42DE5" w:rsidRDefault="00E228CF" w:rsidP="00E228CF">
      <w:pPr>
        <w:numPr>
          <w:ilvl w:val="0"/>
          <w:numId w:val="28"/>
        </w:numPr>
        <w:autoSpaceDE w:val="0"/>
        <w:autoSpaceDN w:val="0"/>
        <w:adjustRightInd w:val="0"/>
        <w:spacing w:after="160" w:line="259" w:lineRule="auto"/>
        <w:ind w:left="1276" w:hanging="437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mapkę sytuacyjną,</w:t>
      </w:r>
    </w:p>
    <w:p w14:paraId="2B17B603" w14:textId="77777777" w:rsidR="00E228CF" w:rsidRPr="00F42DE5" w:rsidRDefault="00E228CF" w:rsidP="00E228CF">
      <w:pPr>
        <w:numPr>
          <w:ilvl w:val="0"/>
          <w:numId w:val="28"/>
        </w:numPr>
        <w:autoSpaceDE w:val="0"/>
        <w:autoSpaceDN w:val="0"/>
        <w:adjustRightInd w:val="0"/>
        <w:spacing w:after="160" w:line="259" w:lineRule="auto"/>
        <w:ind w:left="1276" w:hanging="437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rzuty budynku oraz rzuty wynajmowanej powierzchni z wymiarami,</w:t>
      </w:r>
    </w:p>
    <w:p w14:paraId="47AE52F4" w14:textId="77777777" w:rsidR="00E228CF" w:rsidRPr="00F42DE5" w:rsidRDefault="00E228CF" w:rsidP="00E228CF">
      <w:pPr>
        <w:numPr>
          <w:ilvl w:val="0"/>
          <w:numId w:val="28"/>
        </w:numPr>
        <w:autoSpaceDE w:val="0"/>
        <w:autoSpaceDN w:val="0"/>
        <w:adjustRightInd w:val="0"/>
        <w:spacing w:after="160" w:line="259" w:lineRule="auto"/>
        <w:ind w:left="1276" w:hanging="437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specyfikację dostępnych mediów i infrastruktury technicznej,</w:t>
      </w:r>
    </w:p>
    <w:p w14:paraId="05B12785" w14:textId="77777777" w:rsidR="00E228CF" w:rsidRPr="00F42DE5" w:rsidRDefault="00E228CF" w:rsidP="00E228CF">
      <w:pPr>
        <w:numPr>
          <w:ilvl w:val="0"/>
          <w:numId w:val="28"/>
        </w:numPr>
        <w:autoSpaceDE w:val="0"/>
        <w:autoSpaceDN w:val="0"/>
        <w:adjustRightInd w:val="0"/>
        <w:spacing w:after="160" w:line="259" w:lineRule="auto"/>
        <w:ind w:left="1276" w:hanging="437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 xml:space="preserve">wypełniony załącznik nr </w:t>
      </w:r>
      <w:r>
        <w:rPr>
          <w:rFonts w:asciiTheme="minorHAnsi" w:eastAsiaTheme="minorHAnsi" w:hAnsiTheme="minorHAnsi" w:cstheme="minorHAnsi"/>
        </w:rPr>
        <w:t>1</w:t>
      </w:r>
      <w:r w:rsidRPr="00F42DE5">
        <w:rPr>
          <w:rFonts w:asciiTheme="minorHAnsi" w:eastAsiaTheme="minorHAnsi" w:hAnsiTheme="minorHAnsi" w:cstheme="minorHAnsi"/>
        </w:rPr>
        <w:t xml:space="preserve"> do zapytania ofertowego „Podstawowa ocena dostępności architektonicznej”.</w:t>
      </w:r>
    </w:p>
    <w:p w14:paraId="7845DABA" w14:textId="77777777" w:rsidR="00E228CF" w:rsidRPr="00F42DE5" w:rsidRDefault="00E228CF" w:rsidP="00E228CF">
      <w:pPr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426" w:hanging="436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Najemca wymaga, aby w ramach opłaty eksploatacyjnej były rozliczane co najmniej koszty:</w:t>
      </w:r>
    </w:p>
    <w:p w14:paraId="2AE5015D" w14:textId="77777777" w:rsidR="00E228CF" w:rsidRPr="00F42DE5" w:rsidRDefault="00E228CF" w:rsidP="00E228CF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bieżącego utrzymania budynku</w:t>
      </w:r>
      <w:r>
        <w:rPr>
          <w:rFonts w:asciiTheme="minorHAnsi" w:eastAsiaTheme="minorHAnsi" w:hAnsiTheme="minorHAnsi" w:cstheme="minorHAnsi"/>
        </w:rPr>
        <w:t>,</w:t>
      </w:r>
    </w:p>
    <w:p w14:paraId="2E7226ED" w14:textId="77777777" w:rsidR="00E228CF" w:rsidRPr="00F42DE5" w:rsidRDefault="00E228CF" w:rsidP="00E228CF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ochrony budynku, w tym przedmiotu najmu</w:t>
      </w:r>
      <w:r>
        <w:rPr>
          <w:rFonts w:asciiTheme="minorHAnsi" w:eastAsiaTheme="minorHAnsi" w:hAnsiTheme="minorHAnsi" w:cstheme="minorHAnsi"/>
        </w:rPr>
        <w:t>,</w:t>
      </w:r>
    </w:p>
    <w:p w14:paraId="6C4C1947" w14:textId="77777777" w:rsidR="00E228CF" w:rsidRPr="00F42DE5" w:rsidRDefault="00E228CF" w:rsidP="00E228CF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ubezpieczenia budynku</w:t>
      </w:r>
      <w:r>
        <w:rPr>
          <w:rFonts w:asciiTheme="minorHAnsi" w:eastAsiaTheme="minorHAnsi" w:hAnsiTheme="minorHAnsi" w:cstheme="minorHAnsi"/>
        </w:rPr>
        <w:t>,</w:t>
      </w:r>
    </w:p>
    <w:p w14:paraId="3E72A810" w14:textId="77777777" w:rsidR="00E228CF" w:rsidRPr="00F42DE5" w:rsidRDefault="00E228CF" w:rsidP="00E228CF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podatków i wszelkich opłat wynikających z właściwych przepisów</w:t>
      </w:r>
      <w:r>
        <w:rPr>
          <w:rFonts w:asciiTheme="minorHAnsi" w:eastAsiaTheme="minorHAnsi" w:hAnsiTheme="minorHAnsi" w:cstheme="minorHAnsi"/>
        </w:rPr>
        <w:t>,</w:t>
      </w:r>
    </w:p>
    <w:p w14:paraId="4FA63D9C" w14:textId="77777777" w:rsidR="00E228CF" w:rsidRPr="00F42DE5" w:rsidRDefault="00E228CF" w:rsidP="00E228CF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przeglądów i konserwacji wszelkich instalacji, urządzeń, o ile obowiązek wykonania tych przeglądów lub konserwacji wynika z odrębnych przepisów lub instrukcji ich użytkowania</w:t>
      </w:r>
      <w:r>
        <w:rPr>
          <w:rFonts w:asciiTheme="minorHAnsi" w:eastAsiaTheme="minorHAnsi" w:hAnsiTheme="minorHAnsi" w:cstheme="minorHAnsi"/>
        </w:rPr>
        <w:t>,</w:t>
      </w:r>
    </w:p>
    <w:p w14:paraId="379674AC" w14:textId="77777777" w:rsidR="00E228CF" w:rsidRPr="00F42DE5" w:rsidRDefault="00E228CF" w:rsidP="00E228CF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utrzymania powierzchni wspólnych i terenów zewnętrznych wchodzących w skład nieruchomości, na której zlokalizowany jest budynek</w:t>
      </w:r>
      <w:r>
        <w:rPr>
          <w:rFonts w:asciiTheme="minorHAnsi" w:eastAsiaTheme="minorHAnsi" w:hAnsiTheme="minorHAnsi" w:cstheme="minorHAnsi"/>
        </w:rPr>
        <w:t>,</w:t>
      </w:r>
    </w:p>
    <w:p w14:paraId="2206ACA6" w14:textId="77777777" w:rsidR="00E228CF" w:rsidRPr="00F42DE5" w:rsidRDefault="00E228CF" w:rsidP="00E228CF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mediów związanych z utrzymaniem powierzchni wspólnej</w:t>
      </w:r>
      <w:r>
        <w:rPr>
          <w:rFonts w:asciiTheme="minorHAnsi" w:eastAsiaTheme="minorHAnsi" w:hAnsiTheme="minorHAnsi" w:cstheme="minorHAnsi"/>
        </w:rPr>
        <w:t>,</w:t>
      </w:r>
    </w:p>
    <w:p w14:paraId="751A1EB0" w14:textId="77777777" w:rsidR="00E228CF" w:rsidRPr="00F42DE5" w:rsidRDefault="00E228CF" w:rsidP="00E228CF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najmu miejsc parkingowych.</w:t>
      </w:r>
    </w:p>
    <w:p w14:paraId="06184399" w14:textId="77777777" w:rsidR="00E228CF" w:rsidRPr="00F42DE5" w:rsidRDefault="00E228CF" w:rsidP="00E228CF">
      <w:pPr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426" w:hanging="436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 xml:space="preserve">Wynajmujący dostosuje powierzchnię biurową do wymagań Najemcy w zakresie uzgodnionym w umowie najmu, a także wyrazi zgodę na dokonywanie w trakcie trwania stosunku najmu, adaptacji przedmiotu najmu, w niezbędnym zakresie, bez prawa ingerowania w konstrukcję i elewację budynku, w tym zezwoli na umieszczenie na elewacji znacznika Bluetooth do nawigacji osób z niepełnosprawnością wzroku, </w:t>
      </w:r>
      <w:r w:rsidRPr="00F42DE5">
        <w:rPr>
          <w:rFonts w:asciiTheme="minorHAnsi" w:eastAsiaTheme="minorHAnsi" w:hAnsiTheme="minorHAnsi" w:cstheme="minorHAnsi"/>
        </w:rPr>
        <w:lastRenderedPageBreak/>
        <w:t>o wymiarach ok. 65x65x145 mm – sposób montażu znacznika do uzgodnienia z Wynajmującym.</w:t>
      </w:r>
    </w:p>
    <w:p w14:paraId="6BE5E938" w14:textId="77777777" w:rsidR="00E228CF" w:rsidRPr="00F42DE5" w:rsidRDefault="00E228CF" w:rsidP="00E228CF">
      <w:pPr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426" w:hanging="436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Wynajmujący zapewni dla PFRON możliwość umieszczania tablic informacyjnych i kierunkowych, logo PFRON oraz systemu informacyjno-nawigacyjnego/odnajdywania drogi, bez konieczności ponoszenia dodatkowych kosztów.</w:t>
      </w:r>
    </w:p>
    <w:p w14:paraId="6E3102BA" w14:textId="77777777" w:rsidR="00E228CF" w:rsidRPr="00F42DE5" w:rsidRDefault="00E228CF" w:rsidP="00E228CF">
      <w:pPr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426" w:hanging="436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Zasady dotyczące ustalania wysokości i zapłaty należności wynikających z umowy:</w:t>
      </w:r>
    </w:p>
    <w:p w14:paraId="69427D4C" w14:textId="77777777" w:rsidR="00E228CF" w:rsidRPr="00F42DE5" w:rsidRDefault="00E228CF" w:rsidP="00E228CF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ind w:left="851" w:hanging="425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czynsz najmu, opłata eksploatacyjna i inne ewentualne opłaty nieuwzględnione w czynszu są określane w umowie w złotych polskich (PLN),</w:t>
      </w:r>
    </w:p>
    <w:p w14:paraId="36CDC3D2" w14:textId="77777777" w:rsidR="00E228CF" w:rsidRPr="00F42DE5" w:rsidRDefault="00E228CF" w:rsidP="00E228CF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ind w:left="851" w:hanging="425"/>
        <w:contextualSpacing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Najemca dopuszcza możliwość waloryzacji, przy czym waloryzacja opłat winna być określona w umowie i dopuszczalna jest jedynie w oparciu o średnioroczny wskaźnik cen towarów i usług konsumpcyjnych za dany rok ogłaszany w Komunikacie Prezesa GUS (inflacja oraz deflacja), a liczona winna być od miesiąca następnego po ogłoszeniu Komunikatu - nie częściej jednak niż raz do roku,</w:t>
      </w:r>
    </w:p>
    <w:p w14:paraId="0EDE28C2" w14:textId="77777777" w:rsidR="00E228CF" w:rsidRPr="00F42DE5" w:rsidRDefault="00E228CF" w:rsidP="00E228CF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ind w:left="851" w:hanging="425"/>
        <w:rPr>
          <w:rFonts w:ascii="Times New Roman" w:eastAsiaTheme="minorHAnsi" w:hAnsi="Times New Roman" w:cstheme="minorHAnsi"/>
          <w:color w:val="000000"/>
        </w:rPr>
      </w:pPr>
      <w:r w:rsidRPr="00F42DE5">
        <w:rPr>
          <w:rFonts w:asciiTheme="minorHAnsi" w:eastAsiaTheme="minorHAnsi" w:hAnsiTheme="minorHAnsi" w:cstheme="minorHAnsi"/>
        </w:rPr>
        <w:t>termin zapłaty będzie liczony od daty skutecznego doręczenia faktury VAT lub rachunku dla PFRON na wskazany w umowie adres @,</w:t>
      </w:r>
      <w:r>
        <w:rPr>
          <w:rFonts w:asciiTheme="minorHAnsi" w:eastAsiaTheme="minorHAnsi" w:hAnsiTheme="minorHAnsi" w:cstheme="minorHAnsi"/>
        </w:rPr>
        <w:t xml:space="preserve"> bądź za pośrednictwem Krajowego Systemu e-Faktur, </w:t>
      </w:r>
    </w:p>
    <w:p w14:paraId="7BCE494E" w14:textId="77777777" w:rsidR="00E228CF" w:rsidRPr="00F42DE5" w:rsidRDefault="00E228CF" w:rsidP="00E228CF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ind w:left="851" w:hanging="425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termin zapłaty dla należności czynszowych będzie nie krótszy niż 21 dni od daty skutecznego doręczenia FVAT lub rachunku dla PFRON; odnośnie do pozostałych należności będzie nie krótszy niż 14 dni od daty doręczenia refaktury VAT lub rachunku dla PFRON, chyba że inny termin wynika z umów zawartych bezpośrednio przez PFRON,</w:t>
      </w:r>
    </w:p>
    <w:p w14:paraId="33DF2355" w14:textId="77777777" w:rsidR="00E228CF" w:rsidRPr="00F42DE5" w:rsidRDefault="00E228CF" w:rsidP="00E228CF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ind w:left="851" w:hanging="425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datą zapłaty będzie data obciążenia rachunku bankowego PFRON,</w:t>
      </w:r>
    </w:p>
    <w:p w14:paraId="125B403C" w14:textId="77777777" w:rsidR="00E228CF" w:rsidRPr="00F42DE5" w:rsidRDefault="00E228CF" w:rsidP="00E228CF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ind w:left="851" w:hanging="425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numer rachunku bankowego Wynajmującego winien być zapisany w umowie, znajdować się na białej liście podatników, a każda jego zmiana wymaga zmiany zapisów umowy.</w:t>
      </w:r>
    </w:p>
    <w:p w14:paraId="51BBF4CB" w14:textId="77777777" w:rsidR="00E228CF" w:rsidRPr="00F42DE5" w:rsidRDefault="00E228CF" w:rsidP="00E228CF">
      <w:pPr>
        <w:autoSpaceDE w:val="0"/>
        <w:autoSpaceDN w:val="0"/>
        <w:adjustRightInd w:val="0"/>
        <w:spacing w:before="120"/>
        <w:ind w:left="714" w:hanging="357"/>
        <w:outlineLvl w:val="1"/>
        <w:rPr>
          <w:rFonts w:asciiTheme="minorHAnsi" w:eastAsiaTheme="minorHAnsi" w:hAnsiTheme="minorHAnsi" w:cstheme="minorHAnsi"/>
          <w:b/>
          <w:bCs/>
        </w:rPr>
      </w:pPr>
      <w:r w:rsidRPr="00F42DE5">
        <w:rPr>
          <w:rFonts w:asciiTheme="minorHAnsi" w:eastAsiaTheme="minorHAnsi" w:hAnsiTheme="minorHAnsi" w:cstheme="minorHAnsi"/>
          <w:b/>
          <w:bCs/>
        </w:rPr>
        <w:t>Określenie miejsca, sposobu i terminu składania ofert:</w:t>
      </w:r>
    </w:p>
    <w:p w14:paraId="32AAF606" w14:textId="3AEF0053" w:rsidR="00E228CF" w:rsidRPr="00F42DE5" w:rsidRDefault="00E228CF" w:rsidP="00E228CF">
      <w:pPr>
        <w:tabs>
          <w:tab w:val="left" w:leader="dot" w:pos="7371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</w:rPr>
      </w:pPr>
      <w:r w:rsidRPr="00F42DE5">
        <w:rPr>
          <w:rFonts w:asciiTheme="minorHAnsi" w:eastAsiaTheme="minorHAnsi" w:hAnsiTheme="minorHAnsi" w:cstheme="minorHAnsi"/>
        </w:rPr>
        <w:t xml:space="preserve">Oferty należy składać w formie elektronicznej na formularzu (Załącznik nr </w:t>
      </w:r>
      <w:r>
        <w:rPr>
          <w:rFonts w:asciiTheme="minorHAnsi" w:eastAsiaTheme="minorHAnsi" w:hAnsiTheme="minorHAnsi" w:cstheme="minorHAnsi"/>
        </w:rPr>
        <w:t>2</w:t>
      </w:r>
      <w:r w:rsidRPr="00F42DE5">
        <w:rPr>
          <w:rFonts w:asciiTheme="minorHAnsi" w:eastAsiaTheme="minorHAnsi" w:hAnsiTheme="minorHAnsi" w:cstheme="minorHAnsi"/>
        </w:rPr>
        <w:t xml:space="preserve"> do zapytania) </w:t>
      </w:r>
      <w:r>
        <w:rPr>
          <w:rFonts w:asciiTheme="minorHAnsi" w:eastAsiaTheme="minorHAnsi" w:hAnsiTheme="minorHAnsi" w:cstheme="minorHAnsi"/>
        </w:rPr>
        <w:t xml:space="preserve">            </w:t>
      </w:r>
      <w:r w:rsidRPr="00F42DE5">
        <w:rPr>
          <w:rFonts w:asciiTheme="minorHAnsi" w:eastAsiaTheme="minorHAnsi" w:hAnsiTheme="minorHAnsi" w:cstheme="minorHAnsi"/>
        </w:rPr>
        <w:t xml:space="preserve">z podpisem kwalifikowanym osoby uprawnionej do składania ofert </w:t>
      </w:r>
      <w:r w:rsidRPr="00F42DE5">
        <w:rPr>
          <w:rFonts w:asciiTheme="minorHAnsi" w:eastAsiaTheme="minorHAnsi" w:hAnsiTheme="minorHAnsi" w:cstheme="minorHAnsi"/>
          <w:b/>
          <w:bCs/>
        </w:rPr>
        <w:t xml:space="preserve">na adres poczty elektronicznej: </w:t>
      </w:r>
      <w:hyperlink r:id="rId8" w:history="1">
        <w:r w:rsidRPr="00F42DE5">
          <w:rPr>
            <w:rFonts w:asciiTheme="minorHAnsi" w:eastAsiaTheme="minorHAnsi" w:hAnsiTheme="minorHAnsi" w:cstheme="minorHAnsi"/>
            <w:b/>
            <w:bCs/>
            <w:color w:val="0563C1" w:themeColor="hyperlink"/>
            <w:u w:val="single"/>
          </w:rPr>
          <w:t>opole@pfron.org.pl</w:t>
        </w:r>
      </w:hyperlink>
      <w:r w:rsidRPr="00F42DE5">
        <w:rPr>
          <w:rFonts w:asciiTheme="minorHAnsi" w:eastAsiaTheme="minorHAnsi" w:hAnsiTheme="minorHAnsi" w:cstheme="minorHAnsi"/>
          <w:b/>
          <w:bCs/>
        </w:rPr>
        <w:t xml:space="preserve"> w terminie do dnia 1</w:t>
      </w:r>
      <w:r w:rsidR="00D358C7">
        <w:rPr>
          <w:rFonts w:asciiTheme="minorHAnsi" w:eastAsiaTheme="minorHAnsi" w:hAnsiTheme="minorHAnsi" w:cstheme="minorHAnsi"/>
          <w:b/>
          <w:bCs/>
        </w:rPr>
        <w:t>9</w:t>
      </w:r>
      <w:r w:rsidRPr="00F42DE5">
        <w:rPr>
          <w:rFonts w:asciiTheme="minorHAnsi" w:eastAsiaTheme="minorHAnsi" w:hAnsiTheme="minorHAnsi" w:cstheme="minorHAnsi"/>
          <w:b/>
          <w:bCs/>
        </w:rPr>
        <w:t xml:space="preserve"> czerwca 2026 r.</w:t>
      </w:r>
    </w:p>
    <w:p w14:paraId="63AD1BB2" w14:textId="77777777" w:rsidR="00E228CF" w:rsidRPr="00F42DE5" w:rsidRDefault="00E228CF" w:rsidP="00E228CF">
      <w:pPr>
        <w:autoSpaceDE w:val="0"/>
        <w:autoSpaceDN w:val="0"/>
        <w:adjustRightInd w:val="0"/>
        <w:spacing w:before="120"/>
        <w:ind w:left="714" w:hanging="357"/>
        <w:outlineLvl w:val="1"/>
        <w:rPr>
          <w:rFonts w:asciiTheme="minorHAnsi" w:eastAsiaTheme="minorHAnsi" w:hAnsiTheme="minorHAnsi" w:cstheme="minorHAnsi"/>
          <w:b/>
          <w:bCs/>
        </w:rPr>
      </w:pPr>
      <w:r w:rsidRPr="00F42DE5">
        <w:rPr>
          <w:rFonts w:asciiTheme="minorHAnsi" w:eastAsiaTheme="minorHAnsi" w:hAnsiTheme="minorHAnsi" w:cstheme="minorHAnsi"/>
          <w:b/>
          <w:bCs/>
        </w:rPr>
        <w:t>Termin związania ofertą:</w:t>
      </w:r>
    </w:p>
    <w:p w14:paraId="030C5B80" w14:textId="77777777" w:rsidR="00E228CF" w:rsidRPr="00F42DE5" w:rsidRDefault="00E228CF" w:rsidP="00E228CF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  <w:b/>
          <w:bCs/>
        </w:rPr>
        <w:t>60 dni</w:t>
      </w:r>
      <w:r w:rsidRPr="00F42DE5">
        <w:rPr>
          <w:rFonts w:asciiTheme="minorHAnsi" w:eastAsiaTheme="minorHAnsi" w:hAnsiTheme="minorHAnsi" w:cstheme="minorHAnsi"/>
        </w:rPr>
        <w:t xml:space="preserve"> od upływu terminu składania ofert.</w:t>
      </w:r>
    </w:p>
    <w:p w14:paraId="0C1EFD31" w14:textId="77777777" w:rsidR="00E228CF" w:rsidRPr="00F42DE5" w:rsidRDefault="00E228CF" w:rsidP="00E228CF">
      <w:pPr>
        <w:autoSpaceDE w:val="0"/>
        <w:autoSpaceDN w:val="0"/>
        <w:adjustRightInd w:val="0"/>
        <w:spacing w:before="120"/>
        <w:outlineLvl w:val="1"/>
        <w:rPr>
          <w:rFonts w:asciiTheme="minorHAnsi" w:eastAsiaTheme="minorHAnsi" w:hAnsiTheme="minorHAnsi" w:cstheme="minorHAnsi"/>
          <w:b/>
          <w:bCs/>
        </w:rPr>
      </w:pPr>
      <w:r w:rsidRPr="00F42DE5">
        <w:rPr>
          <w:rFonts w:asciiTheme="minorHAnsi" w:eastAsiaTheme="minorHAnsi" w:hAnsiTheme="minorHAnsi" w:cstheme="minorHAnsi"/>
          <w:b/>
          <w:bCs/>
        </w:rPr>
        <w:t>Osoby uprawnione do kontaktów z Oferentami w godzinach pracy PFRON, w tym do udzielania informacji na temat przedmiotu zamówienia:</w:t>
      </w:r>
    </w:p>
    <w:p w14:paraId="1BE4036B" w14:textId="77777777" w:rsidR="00E228CF" w:rsidRPr="00F42DE5" w:rsidRDefault="00E228CF" w:rsidP="00E228C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563C1" w:themeColor="hyperlink"/>
          <w:u w:val="single"/>
          <w:lang w:val="fr-FR"/>
        </w:rPr>
      </w:pPr>
      <w:r w:rsidRPr="00F42DE5">
        <w:rPr>
          <w:rFonts w:asciiTheme="minorHAnsi" w:eastAsiaTheme="minorHAnsi" w:hAnsiTheme="minorHAnsi" w:cstheme="minorHAnsi"/>
          <w:lang w:val="fr-FR"/>
        </w:rPr>
        <w:t xml:space="preserve">Joanna Solecka-Voigt, tel. 77 887 20 00, email: </w:t>
      </w:r>
      <w:hyperlink r:id="rId9" w:history="1">
        <w:r w:rsidRPr="00F42DE5">
          <w:rPr>
            <w:rFonts w:asciiTheme="minorHAnsi" w:eastAsiaTheme="minorHAnsi" w:hAnsiTheme="minorHAnsi" w:cstheme="minorHAnsi"/>
            <w:color w:val="0563C1" w:themeColor="hyperlink"/>
            <w:u w:val="single"/>
            <w:lang w:val="fr-FR"/>
          </w:rPr>
          <w:t>opole@pfron.org.pl</w:t>
        </w:r>
      </w:hyperlink>
      <w:r w:rsidRPr="00F42DE5">
        <w:rPr>
          <w:rFonts w:asciiTheme="minorHAnsi" w:eastAsiaTheme="minorHAnsi" w:hAnsiTheme="minorHAnsi" w:cstheme="minorHAnsi"/>
          <w:color w:val="0563C1" w:themeColor="hyperlink"/>
          <w:u w:val="single"/>
          <w:lang w:val="fr-FR"/>
        </w:rPr>
        <w:t>,</w:t>
      </w:r>
    </w:p>
    <w:p w14:paraId="1563D656" w14:textId="77777777" w:rsidR="00E228CF" w:rsidRDefault="00E228CF" w:rsidP="00E228CF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  <w:color w:val="000000"/>
        </w:rPr>
        <w:t xml:space="preserve">Planowany termin początku najmu: </w:t>
      </w:r>
      <w:r w:rsidRPr="00F42DE5">
        <w:rPr>
          <w:rFonts w:asciiTheme="minorHAnsi" w:eastAsiaTheme="minorHAnsi" w:hAnsiTheme="minorHAnsi" w:cstheme="minorHAnsi"/>
        </w:rPr>
        <w:t>16 października 2026 r.</w:t>
      </w:r>
    </w:p>
    <w:p w14:paraId="053725F2" w14:textId="77777777" w:rsidR="006D15ED" w:rsidRDefault="006D15ED" w:rsidP="00E228CF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</w:p>
    <w:p w14:paraId="5DE96342" w14:textId="77777777" w:rsidR="006D15ED" w:rsidRPr="00F42DE5" w:rsidRDefault="006D15ED" w:rsidP="00E228CF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</w:p>
    <w:p w14:paraId="32226DDC" w14:textId="77777777" w:rsidR="00E228CF" w:rsidRPr="00F42DE5" w:rsidRDefault="00E228CF" w:rsidP="00E228CF">
      <w:pPr>
        <w:autoSpaceDE w:val="0"/>
        <w:autoSpaceDN w:val="0"/>
        <w:adjustRightInd w:val="0"/>
        <w:spacing w:before="120"/>
        <w:ind w:left="714" w:hanging="357"/>
        <w:outlineLvl w:val="1"/>
        <w:rPr>
          <w:rFonts w:asciiTheme="minorHAnsi" w:eastAsiaTheme="minorHAnsi" w:hAnsiTheme="minorHAnsi" w:cstheme="minorHAnsi"/>
          <w:b/>
          <w:bCs/>
        </w:rPr>
      </w:pPr>
      <w:r w:rsidRPr="00F42DE5">
        <w:rPr>
          <w:rFonts w:asciiTheme="minorHAnsi" w:eastAsiaTheme="minorHAnsi" w:hAnsiTheme="minorHAnsi" w:cstheme="minorHAnsi"/>
          <w:b/>
          <w:bCs/>
        </w:rPr>
        <w:lastRenderedPageBreak/>
        <w:t>Sposób oceny ofert:</w:t>
      </w:r>
    </w:p>
    <w:p w14:paraId="6DDD4D20" w14:textId="77777777" w:rsidR="00E228CF" w:rsidRPr="00F42DE5" w:rsidRDefault="00E228CF" w:rsidP="00E228CF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Oferta spełniająca wszystkie wymagania Zamawiającego zostanie oceniona na podstawie złożonej przez Wykonawcę oferty, w szczególności pod kątem zaoferowanej ceny, lokalizacji oraz warunków związanych z dostępnością przedmiotu najmu dla osób z niepełnosprawnościami.</w:t>
      </w:r>
    </w:p>
    <w:p w14:paraId="5DE4AFA9" w14:textId="77777777" w:rsidR="00E228CF" w:rsidRPr="00F42DE5" w:rsidRDefault="00E228CF" w:rsidP="00E228CF">
      <w:pPr>
        <w:autoSpaceDE w:val="0"/>
        <w:autoSpaceDN w:val="0"/>
        <w:adjustRightInd w:val="0"/>
        <w:spacing w:before="120"/>
        <w:ind w:left="714" w:hanging="357"/>
        <w:outlineLvl w:val="1"/>
        <w:rPr>
          <w:rFonts w:asciiTheme="minorHAnsi" w:eastAsiaTheme="minorHAnsi" w:hAnsiTheme="minorHAnsi" w:cstheme="minorHAnsi"/>
          <w:b/>
          <w:bCs/>
        </w:rPr>
      </w:pPr>
      <w:r w:rsidRPr="00F42DE5">
        <w:rPr>
          <w:rFonts w:asciiTheme="minorHAnsi" w:eastAsiaTheme="minorHAnsi" w:hAnsiTheme="minorHAnsi" w:cstheme="minorHAnsi"/>
          <w:b/>
          <w:bCs/>
        </w:rPr>
        <w:t>Informacje dodatkowe:</w:t>
      </w:r>
    </w:p>
    <w:p w14:paraId="2933BF56" w14:textId="77777777" w:rsidR="00E228CF" w:rsidRPr="00F42DE5" w:rsidRDefault="00E228CF" w:rsidP="00E228CF">
      <w:pPr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W toku analizy ofert Zamawiający może żądać od Oferentów wyjaśnień dotyczących treści złożonych ofert.</w:t>
      </w:r>
    </w:p>
    <w:p w14:paraId="41401105" w14:textId="77777777" w:rsidR="00E228CF" w:rsidRPr="00F42DE5" w:rsidRDefault="00E228CF" w:rsidP="00E228CF">
      <w:pPr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 xml:space="preserve">Wynajmujący zgadza się na przeprowadzenie wizji lokalnej powierzchni i części wspólnych oferowanych do wykorzystania przez </w:t>
      </w:r>
      <w:r>
        <w:rPr>
          <w:rFonts w:asciiTheme="minorHAnsi" w:eastAsiaTheme="minorHAnsi" w:hAnsiTheme="minorHAnsi" w:cstheme="minorHAnsi"/>
        </w:rPr>
        <w:t>N</w:t>
      </w:r>
      <w:r w:rsidRPr="00F42DE5">
        <w:rPr>
          <w:rFonts w:asciiTheme="minorHAnsi" w:eastAsiaTheme="minorHAnsi" w:hAnsiTheme="minorHAnsi" w:cstheme="minorHAnsi"/>
        </w:rPr>
        <w:t>ajemcę. Występujące w ofertach oczywiste omyłki pisarskie zostaną poprawione przez Zamawiającego.</w:t>
      </w:r>
    </w:p>
    <w:p w14:paraId="51D9D14B" w14:textId="77777777" w:rsidR="00E228CF" w:rsidRPr="00F42DE5" w:rsidRDefault="00E228CF" w:rsidP="00E228CF">
      <w:pPr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Oferty nieczytelne nie będą rozpatrywane.</w:t>
      </w:r>
    </w:p>
    <w:p w14:paraId="2C3F1A57" w14:textId="77777777" w:rsidR="00E228CF" w:rsidRPr="00F42DE5" w:rsidRDefault="00E228CF" w:rsidP="00E228CF">
      <w:pPr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 xml:space="preserve">Oferta winna zawierać: nazwę, adres, numer telefonu do kontaktu z </w:t>
      </w:r>
      <w:r>
        <w:rPr>
          <w:rFonts w:asciiTheme="minorHAnsi" w:eastAsiaTheme="minorHAnsi" w:hAnsiTheme="minorHAnsi" w:cstheme="minorHAnsi"/>
        </w:rPr>
        <w:t>O</w:t>
      </w:r>
      <w:r w:rsidRPr="00F42DE5">
        <w:rPr>
          <w:rFonts w:asciiTheme="minorHAnsi" w:eastAsiaTheme="minorHAnsi" w:hAnsiTheme="minorHAnsi" w:cstheme="minorHAnsi"/>
        </w:rPr>
        <w:t>ferentem oraz datę sporządzenia oferty i podpis Oferenta.</w:t>
      </w:r>
    </w:p>
    <w:p w14:paraId="0BE24B42" w14:textId="77777777" w:rsidR="00E228CF" w:rsidRPr="00F42DE5" w:rsidRDefault="00E228CF" w:rsidP="00E228CF">
      <w:pPr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Oferta powinna zawierać warianty wynajmu powierzchni na 5 lat/ 7 lat/ czas nieokreślony.</w:t>
      </w:r>
    </w:p>
    <w:p w14:paraId="036DD9AE" w14:textId="77777777" w:rsidR="00E228CF" w:rsidRPr="00F42DE5" w:rsidRDefault="00E228CF" w:rsidP="00E228CF">
      <w:pPr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Na stronie internetowej Zamawiający dopuszcza możliwość umieszczenia zestawieni</w:t>
      </w:r>
      <w:r>
        <w:rPr>
          <w:rFonts w:asciiTheme="minorHAnsi" w:eastAsiaTheme="minorHAnsi" w:hAnsiTheme="minorHAnsi" w:cstheme="minorHAnsi"/>
        </w:rPr>
        <w:t>a</w:t>
      </w:r>
      <w:r w:rsidRPr="00F42DE5">
        <w:rPr>
          <w:rFonts w:asciiTheme="minorHAnsi" w:eastAsiaTheme="minorHAnsi" w:hAnsiTheme="minorHAnsi" w:cstheme="minorHAnsi"/>
        </w:rPr>
        <w:t xml:space="preserve"> ofert z podaniem oferowanych cen i danych Wykonawców.</w:t>
      </w:r>
    </w:p>
    <w:p w14:paraId="28448C41" w14:textId="77777777" w:rsidR="00E228CF" w:rsidRPr="00F42DE5" w:rsidRDefault="00E228CF" w:rsidP="00E228CF">
      <w:pPr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Wszystkie koszty związane ze sporządzeniem i złożeniem oferty ponosi Wykonawca; PFRON nie przewiduje zwrotu kosztów udziału w postępowaniu.</w:t>
      </w:r>
    </w:p>
    <w:p w14:paraId="68C55B40" w14:textId="77777777" w:rsidR="00E228CF" w:rsidRPr="00F42DE5" w:rsidRDefault="00E228CF" w:rsidP="00E228CF">
      <w:pPr>
        <w:autoSpaceDE w:val="0"/>
        <w:autoSpaceDN w:val="0"/>
        <w:adjustRightInd w:val="0"/>
        <w:spacing w:before="120"/>
        <w:ind w:left="714" w:hanging="357"/>
        <w:outlineLvl w:val="1"/>
        <w:rPr>
          <w:rFonts w:asciiTheme="minorHAnsi" w:eastAsiaTheme="minorHAnsi" w:hAnsiTheme="minorHAnsi" w:cstheme="minorHAnsi"/>
          <w:b/>
          <w:bCs/>
        </w:rPr>
      </w:pPr>
      <w:r w:rsidRPr="00F42DE5">
        <w:rPr>
          <w:rFonts w:asciiTheme="minorHAnsi" w:eastAsiaTheme="minorHAnsi" w:hAnsiTheme="minorHAnsi" w:cstheme="minorHAnsi"/>
          <w:b/>
          <w:bCs/>
        </w:rPr>
        <w:t>Postanowienia końcowe:</w:t>
      </w:r>
    </w:p>
    <w:p w14:paraId="764A8495" w14:textId="77777777" w:rsidR="00E228CF" w:rsidRPr="00F42DE5" w:rsidRDefault="00E228CF" w:rsidP="00E228CF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Zapytanie Ofertowe nie stanowi oferty w rozumieniu art. 66 Kodeksu cywilnego.</w:t>
      </w:r>
    </w:p>
    <w:p w14:paraId="23CD3C45" w14:textId="77777777" w:rsidR="00E228CF" w:rsidRPr="00F42DE5" w:rsidRDefault="00E228CF" w:rsidP="00E228CF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Zamawiający zastrzega sobie prawo negocjacji ceny ofert z Wykonawcami, którzy złożyli w terminie prawidłowe oferty.</w:t>
      </w:r>
    </w:p>
    <w:p w14:paraId="138DEB86" w14:textId="77777777" w:rsidR="00E228CF" w:rsidRPr="00F42DE5" w:rsidRDefault="00E228CF" w:rsidP="00E228CF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Zamawiający zastrzega sobie prawo unieważnienia przedmiotowego postępowania na każdym etapie bez podania przyczyny unieważnienia.</w:t>
      </w:r>
    </w:p>
    <w:p w14:paraId="46913FF5" w14:textId="77777777" w:rsidR="00E228CF" w:rsidRPr="00F42DE5" w:rsidRDefault="00E228CF" w:rsidP="00E228CF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rPr>
          <w:rFonts w:asciiTheme="minorHAnsi" w:eastAsiaTheme="minorHAnsi" w:hAnsiTheme="minorHAnsi" w:cstheme="minorHAnsi"/>
        </w:rPr>
      </w:pPr>
      <w:r w:rsidRPr="00F42DE5">
        <w:rPr>
          <w:rFonts w:asciiTheme="minorHAnsi" w:eastAsiaTheme="minorHAnsi" w:hAnsiTheme="minorHAnsi" w:cstheme="minorHAnsi"/>
        </w:rPr>
        <w:t>W przypadku unieważnienia postępowania Zamawiający nie ponosi kosztów przygotowania i złożenia oferty.</w:t>
      </w:r>
    </w:p>
    <w:p w14:paraId="4D4F7065" w14:textId="77777777" w:rsidR="00E228CF" w:rsidRPr="00F42DE5" w:rsidRDefault="00E228CF" w:rsidP="00E228CF">
      <w:pPr>
        <w:autoSpaceDE w:val="0"/>
        <w:autoSpaceDN w:val="0"/>
        <w:adjustRightInd w:val="0"/>
        <w:spacing w:before="120"/>
        <w:ind w:left="714" w:hanging="357"/>
        <w:outlineLvl w:val="1"/>
        <w:rPr>
          <w:rFonts w:asciiTheme="minorHAnsi" w:eastAsiaTheme="minorHAnsi" w:hAnsiTheme="minorHAnsi" w:cstheme="minorHAnsi"/>
          <w:b/>
          <w:bCs/>
        </w:rPr>
      </w:pPr>
      <w:r w:rsidRPr="00F42DE5">
        <w:rPr>
          <w:rFonts w:asciiTheme="minorHAnsi" w:eastAsiaTheme="minorHAnsi" w:hAnsiTheme="minorHAnsi" w:cstheme="minorHAnsi"/>
          <w:b/>
          <w:bCs/>
        </w:rPr>
        <w:t>Informacje dot. przetwarzania danych osobowych ( w załączniku)</w:t>
      </w:r>
    </w:p>
    <w:p w14:paraId="7B97BD16" w14:textId="77777777" w:rsidR="00E228CF" w:rsidRPr="00F42DE5" w:rsidRDefault="00E228CF" w:rsidP="00E228CF">
      <w:pPr>
        <w:spacing w:before="100" w:beforeAutospacing="1" w:after="100" w:afterAutospacing="1" w:line="240" w:lineRule="auto"/>
        <w:rPr>
          <w:rFonts w:asciiTheme="minorHAnsi" w:hAnsiTheme="minorHAnsi" w:cstheme="minorHAnsi"/>
          <w:lang w:eastAsia="pl-PL"/>
        </w:rPr>
      </w:pPr>
      <w:r w:rsidRPr="00F42DE5">
        <w:rPr>
          <w:rFonts w:asciiTheme="minorHAnsi" w:hAnsiTheme="minorHAnsi" w:cstheme="minorHAnsi"/>
          <w:lang w:eastAsia="pl-PL"/>
        </w:rPr>
        <w:t>Załączniki:</w:t>
      </w:r>
    </w:p>
    <w:p w14:paraId="073DF280" w14:textId="77777777" w:rsidR="00E228CF" w:rsidRPr="00F42DE5" w:rsidRDefault="00E228CF" w:rsidP="00E228CF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F42DE5">
        <w:rPr>
          <w:rFonts w:asciiTheme="minorHAnsi" w:hAnsiTheme="minorHAnsi" w:cstheme="minorHAnsi"/>
          <w:lang w:eastAsia="pl-PL"/>
        </w:rPr>
        <w:t>1. Załącznik nr 1 - Podstawowa ocena dostępności architektonicznej</w:t>
      </w:r>
      <w:r>
        <w:rPr>
          <w:rFonts w:asciiTheme="minorHAnsi" w:hAnsiTheme="minorHAnsi" w:cstheme="minorHAnsi"/>
          <w:lang w:eastAsia="pl-PL"/>
        </w:rPr>
        <w:t>,</w:t>
      </w:r>
    </w:p>
    <w:p w14:paraId="6E8CD590" w14:textId="77777777" w:rsidR="00E228CF" w:rsidRPr="00F42DE5" w:rsidRDefault="00E228CF" w:rsidP="00E228CF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F42DE5">
        <w:rPr>
          <w:rFonts w:asciiTheme="minorHAnsi" w:hAnsiTheme="minorHAnsi" w:cstheme="minorHAnsi"/>
          <w:lang w:eastAsia="pl-PL"/>
        </w:rPr>
        <w:t xml:space="preserve">2. Załącznik 2 - </w:t>
      </w:r>
      <w:r>
        <w:rPr>
          <w:rFonts w:asciiTheme="minorHAnsi" w:hAnsiTheme="minorHAnsi" w:cstheme="minorHAnsi"/>
          <w:lang w:eastAsia="pl-PL"/>
        </w:rPr>
        <w:t>F</w:t>
      </w:r>
      <w:r w:rsidRPr="00F42DE5">
        <w:rPr>
          <w:rFonts w:asciiTheme="minorHAnsi" w:hAnsiTheme="minorHAnsi" w:cstheme="minorHAnsi"/>
          <w:lang w:eastAsia="pl-PL"/>
        </w:rPr>
        <w:t>ormularz ofertowy do zapytania</w:t>
      </w:r>
      <w:r>
        <w:rPr>
          <w:rFonts w:asciiTheme="minorHAnsi" w:hAnsiTheme="minorHAnsi" w:cstheme="minorHAnsi"/>
          <w:lang w:eastAsia="pl-PL"/>
        </w:rPr>
        <w:t xml:space="preserve"> ofertowego</w:t>
      </w:r>
      <w:r w:rsidRPr="00F42DE5">
        <w:rPr>
          <w:rFonts w:asciiTheme="minorHAnsi" w:hAnsiTheme="minorHAnsi" w:cstheme="minorHAnsi"/>
          <w:lang w:eastAsia="pl-PL"/>
        </w:rPr>
        <w:t>,</w:t>
      </w:r>
    </w:p>
    <w:bookmarkEnd w:id="0"/>
    <w:p w14:paraId="2BE9F6F1" w14:textId="77777777" w:rsidR="00E228CF" w:rsidRDefault="00E228CF" w:rsidP="00E228CF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F42DE5">
        <w:rPr>
          <w:rFonts w:asciiTheme="minorHAnsi" w:hAnsiTheme="minorHAnsi" w:cstheme="minorHAnsi"/>
          <w:lang w:eastAsia="pl-PL"/>
        </w:rPr>
        <w:t>3. Załącznik nr 3 – Informacje dot. przetwarzania danych osobowych</w:t>
      </w:r>
      <w:r>
        <w:rPr>
          <w:rFonts w:asciiTheme="minorHAnsi" w:hAnsiTheme="minorHAnsi" w:cstheme="minorHAnsi"/>
          <w:lang w:eastAsia="pl-PL"/>
        </w:rPr>
        <w:t xml:space="preserve">. </w:t>
      </w:r>
    </w:p>
    <w:p w14:paraId="3BA40EE9" w14:textId="77777777" w:rsidR="00E228CF" w:rsidRPr="00E228CF" w:rsidRDefault="00E228CF" w:rsidP="00E228CF"/>
    <w:sectPr w:rsidR="00E228CF" w:rsidRPr="00E228CF" w:rsidSect="00E228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8245" w14:textId="77777777" w:rsidR="006003CA" w:rsidRDefault="006003CA" w:rsidP="008D2F1F">
      <w:r>
        <w:separator/>
      </w:r>
    </w:p>
  </w:endnote>
  <w:endnote w:type="continuationSeparator" w:id="0">
    <w:p w14:paraId="7B985B41" w14:textId="77777777" w:rsidR="006003CA" w:rsidRDefault="006003CA" w:rsidP="008D2F1F">
      <w:r>
        <w:continuationSeparator/>
      </w:r>
    </w:p>
  </w:endnote>
  <w:endnote w:type="continuationNotice" w:id="1">
    <w:p w14:paraId="3F1A0AC7" w14:textId="77777777" w:rsidR="006003CA" w:rsidRDefault="006003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8CD0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4CC6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770E6368" wp14:editId="7E087B4C">
          <wp:extent cx="7557685" cy="630644"/>
          <wp:effectExtent l="0" t="0" r="0" b="0"/>
          <wp:docPr id="487038542" name="Obraz 48703854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EC22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6220366E" wp14:editId="08D4FB72">
          <wp:extent cx="7557685" cy="630644"/>
          <wp:effectExtent l="0" t="0" r="0" b="0"/>
          <wp:docPr id="258634109" name="Obraz 25863410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3984" w14:textId="77777777" w:rsidR="006003CA" w:rsidRDefault="006003CA" w:rsidP="008D2F1F">
      <w:r>
        <w:separator/>
      </w:r>
    </w:p>
  </w:footnote>
  <w:footnote w:type="continuationSeparator" w:id="0">
    <w:p w14:paraId="001370E8" w14:textId="77777777" w:rsidR="006003CA" w:rsidRDefault="006003CA" w:rsidP="008D2F1F">
      <w:r>
        <w:continuationSeparator/>
      </w:r>
    </w:p>
  </w:footnote>
  <w:footnote w:type="continuationNotice" w:id="1">
    <w:p w14:paraId="7FFC6F89" w14:textId="77777777" w:rsidR="006003CA" w:rsidRDefault="006003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ECA4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634A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0169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66F0FD1" wp14:editId="0DBE8C7C">
          <wp:extent cx="7563600" cy="1044000"/>
          <wp:effectExtent l="0" t="0" r="0" b="3810"/>
          <wp:docPr id="764825256" name="Obraz 764825256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3403B"/>
    <w:multiLevelType w:val="hybridMultilevel"/>
    <w:tmpl w:val="9ECEB9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07379"/>
    <w:multiLevelType w:val="hybridMultilevel"/>
    <w:tmpl w:val="679EB1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8139A"/>
    <w:multiLevelType w:val="hybridMultilevel"/>
    <w:tmpl w:val="3CA2A7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D1D72"/>
    <w:multiLevelType w:val="hybridMultilevel"/>
    <w:tmpl w:val="9ECEB9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B50D1C"/>
    <w:multiLevelType w:val="hybridMultilevel"/>
    <w:tmpl w:val="262E12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5666B"/>
    <w:multiLevelType w:val="hybridMultilevel"/>
    <w:tmpl w:val="7B4ECA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5D68DF"/>
    <w:multiLevelType w:val="hybridMultilevel"/>
    <w:tmpl w:val="04AEED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20492"/>
    <w:multiLevelType w:val="hybridMultilevel"/>
    <w:tmpl w:val="9ECEB9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D74E05"/>
    <w:multiLevelType w:val="hybridMultilevel"/>
    <w:tmpl w:val="92A8C15E"/>
    <w:lvl w:ilvl="0" w:tplc="6444E8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022F8B"/>
    <w:multiLevelType w:val="hybridMultilevel"/>
    <w:tmpl w:val="034A7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EA2674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1343E"/>
    <w:multiLevelType w:val="hybridMultilevel"/>
    <w:tmpl w:val="3C364ED4"/>
    <w:lvl w:ilvl="0" w:tplc="9EA48A0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10839"/>
    <w:multiLevelType w:val="hybridMultilevel"/>
    <w:tmpl w:val="3A043A3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 w16cid:durableId="501547591">
    <w:abstractNumId w:val="6"/>
  </w:num>
  <w:num w:numId="2" w16cid:durableId="413279930">
    <w:abstractNumId w:val="3"/>
  </w:num>
  <w:num w:numId="3" w16cid:durableId="767042470">
    <w:abstractNumId w:val="20"/>
  </w:num>
  <w:num w:numId="4" w16cid:durableId="1257329717">
    <w:abstractNumId w:val="16"/>
  </w:num>
  <w:num w:numId="5" w16cid:durableId="1786269051">
    <w:abstractNumId w:val="1"/>
  </w:num>
  <w:num w:numId="6" w16cid:durableId="507988097">
    <w:abstractNumId w:val="21"/>
  </w:num>
  <w:num w:numId="7" w16cid:durableId="1091512453">
    <w:abstractNumId w:val="9"/>
  </w:num>
  <w:num w:numId="8" w16cid:durableId="1405684767">
    <w:abstractNumId w:val="0"/>
  </w:num>
  <w:num w:numId="9" w16cid:durableId="2030452274">
    <w:abstractNumId w:val="8"/>
  </w:num>
  <w:num w:numId="10" w16cid:durableId="342558730">
    <w:abstractNumId w:val="11"/>
  </w:num>
  <w:num w:numId="11" w16cid:durableId="1491217738">
    <w:abstractNumId w:val="27"/>
  </w:num>
  <w:num w:numId="12" w16cid:durableId="1708918456">
    <w:abstractNumId w:val="25"/>
  </w:num>
  <w:num w:numId="13" w16cid:durableId="1123882351">
    <w:abstractNumId w:val="17"/>
  </w:num>
  <w:num w:numId="14" w16cid:durableId="423500874">
    <w:abstractNumId w:val="12"/>
  </w:num>
  <w:num w:numId="15" w16cid:durableId="268583385">
    <w:abstractNumId w:val="15"/>
  </w:num>
  <w:num w:numId="16" w16cid:durableId="423576566">
    <w:abstractNumId w:val="24"/>
  </w:num>
  <w:num w:numId="17" w16cid:durableId="427966436">
    <w:abstractNumId w:val="28"/>
  </w:num>
  <w:num w:numId="18" w16cid:durableId="1336496106">
    <w:abstractNumId w:val="14"/>
  </w:num>
  <w:num w:numId="19" w16cid:durableId="568925434">
    <w:abstractNumId w:val="2"/>
  </w:num>
  <w:num w:numId="20" w16cid:durableId="255476947">
    <w:abstractNumId w:val="7"/>
  </w:num>
  <w:num w:numId="21" w16cid:durableId="1031959933">
    <w:abstractNumId w:val="10"/>
  </w:num>
  <w:num w:numId="22" w16cid:durableId="1283919922">
    <w:abstractNumId w:val="13"/>
  </w:num>
  <w:num w:numId="23" w16cid:durableId="1692606261">
    <w:abstractNumId w:val="18"/>
  </w:num>
  <w:num w:numId="24" w16cid:durableId="1930656434">
    <w:abstractNumId w:val="23"/>
  </w:num>
  <w:num w:numId="25" w16cid:durableId="1935279072">
    <w:abstractNumId w:val="4"/>
  </w:num>
  <w:num w:numId="26" w16cid:durableId="2130199816">
    <w:abstractNumId w:val="22"/>
  </w:num>
  <w:num w:numId="27" w16cid:durableId="387413107">
    <w:abstractNumId w:val="29"/>
  </w:num>
  <w:num w:numId="28" w16cid:durableId="591085794">
    <w:abstractNumId w:val="31"/>
  </w:num>
  <w:num w:numId="29" w16cid:durableId="739326536">
    <w:abstractNumId w:val="5"/>
  </w:num>
  <w:num w:numId="30" w16cid:durableId="1854419840">
    <w:abstractNumId w:val="26"/>
  </w:num>
  <w:num w:numId="31" w16cid:durableId="615791182">
    <w:abstractNumId w:val="30"/>
  </w:num>
  <w:num w:numId="32" w16cid:durableId="600999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CF"/>
    <w:rsid w:val="000435F4"/>
    <w:rsid w:val="000477B4"/>
    <w:rsid w:val="00050604"/>
    <w:rsid w:val="00053CA8"/>
    <w:rsid w:val="00065135"/>
    <w:rsid w:val="00077316"/>
    <w:rsid w:val="00091E7E"/>
    <w:rsid w:val="00092842"/>
    <w:rsid w:val="000A34FB"/>
    <w:rsid w:val="000B09F4"/>
    <w:rsid w:val="000F6692"/>
    <w:rsid w:val="00122643"/>
    <w:rsid w:val="00132623"/>
    <w:rsid w:val="0014029D"/>
    <w:rsid w:val="00143F03"/>
    <w:rsid w:val="0014709F"/>
    <w:rsid w:val="001601B0"/>
    <w:rsid w:val="00161E95"/>
    <w:rsid w:val="00163201"/>
    <w:rsid w:val="0018202C"/>
    <w:rsid w:val="00185D06"/>
    <w:rsid w:val="0019354E"/>
    <w:rsid w:val="00195FBF"/>
    <w:rsid w:val="001A7E1B"/>
    <w:rsid w:val="001C3794"/>
    <w:rsid w:val="001E4A8E"/>
    <w:rsid w:val="001F70C8"/>
    <w:rsid w:val="002461E7"/>
    <w:rsid w:val="00250CF3"/>
    <w:rsid w:val="00265742"/>
    <w:rsid w:val="002755AE"/>
    <w:rsid w:val="002A0122"/>
    <w:rsid w:val="002A3319"/>
    <w:rsid w:val="002D2710"/>
    <w:rsid w:val="0032268E"/>
    <w:rsid w:val="00323140"/>
    <w:rsid w:val="00324541"/>
    <w:rsid w:val="00342BCC"/>
    <w:rsid w:val="0034321A"/>
    <w:rsid w:val="003436A6"/>
    <w:rsid w:val="0035572B"/>
    <w:rsid w:val="00357D2D"/>
    <w:rsid w:val="00387E8F"/>
    <w:rsid w:val="003A1C0A"/>
    <w:rsid w:val="003B48DF"/>
    <w:rsid w:val="003B68DC"/>
    <w:rsid w:val="003D102C"/>
    <w:rsid w:val="003E5F06"/>
    <w:rsid w:val="0041072C"/>
    <w:rsid w:val="004124EF"/>
    <w:rsid w:val="0043376A"/>
    <w:rsid w:val="004473AA"/>
    <w:rsid w:val="00454EFE"/>
    <w:rsid w:val="004A230F"/>
    <w:rsid w:val="004A6627"/>
    <w:rsid w:val="004D7961"/>
    <w:rsid w:val="00502415"/>
    <w:rsid w:val="005070F0"/>
    <w:rsid w:val="00521308"/>
    <w:rsid w:val="00536C0D"/>
    <w:rsid w:val="00542D99"/>
    <w:rsid w:val="00546DEE"/>
    <w:rsid w:val="00567338"/>
    <w:rsid w:val="00567974"/>
    <w:rsid w:val="005B018F"/>
    <w:rsid w:val="005B1247"/>
    <w:rsid w:val="005B2EF5"/>
    <w:rsid w:val="005B4445"/>
    <w:rsid w:val="005B5832"/>
    <w:rsid w:val="005E09D8"/>
    <w:rsid w:val="006003CA"/>
    <w:rsid w:val="00602F97"/>
    <w:rsid w:val="00612289"/>
    <w:rsid w:val="0062731B"/>
    <w:rsid w:val="00633FB3"/>
    <w:rsid w:val="00644574"/>
    <w:rsid w:val="00645141"/>
    <w:rsid w:val="00645BEE"/>
    <w:rsid w:val="00647615"/>
    <w:rsid w:val="006525CE"/>
    <w:rsid w:val="006573BE"/>
    <w:rsid w:val="00671961"/>
    <w:rsid w:val="006771E9"/>
    <w:rsid w:val="006A310D"/>
    <w:rsid w:val="006A620B"/>
    <w:rsid w:val="006B3880"/>
    <w:rsid w:val="006D15ED"/>
    <w:rsid w:val="006E60D7"/>
    <w:rsid w:val="006E6136"/>
    <w:rsid w:val="006F3289"/>
    <w:rsid w:val="006F4199"/>
    <w:rsid w:val="0070142F"/>
    <w:rsid w:val="00733073"/>
    <w:rsid w:val="00751CE8"/>
    <w:rsid w:val="00760BE9"/>
    <w:rsid w:val="0079581E"/>
    <w:rsid w:val="007C0BE1"/>
    <w:rsid w:val="007C7ECE"/>
    <w:rsid w:val="007D1C8E"/>
    <w:rsid w:val="007E008B"/>
    <w:rsid w:val="007E2C1D"/>
    <w:rsid w:val="007E3988"/>
    <w:rsid w:val="007F35DF"/>
    <w:rsid w:val="0080060F"/>
    <w:rsid w:val="00810D95"/>
    <w:rsid w:val="008202B0"/>
    <w:rsid w:val="008228BF"/>
    <w:rsid w:val="00825AE5"/>
    <w:rsid w:val="00843694"/>
    <w:rsid w:val="00850167"/>
    <w:rsid w:val="008570FF"/>
    <w:rsid w:val="0086336D"/>
    <w:rsid w:val="00866193"/>
    <w:rsid w:val="00874FD7"/>
    <w:rsid w:val="00894D9E"/>
    <w:rsid w:val="008A3AE2"/>
    <w:rsid w:val="008C0DD2"/>
    <w:rsid w:val="008C39CF"/>
    <w:rsid w:val="008C5F9A"/>
    <w:rsid w:val="008C6298"/>
    <w:rsid w:val="008D2F1F"/>
    <w:rsid w:val="008F09E6"/>
    <w:rsid w:val="00902F8C"/>
    <w:rsid w:val="0092417A"/>
    <w:rsid w:val="0092508D"/>
    <w:rsid w:val="0092652F"/>
    <w:rsid w:val="009269D2"/>
    <w:rsid w:val="00935369"/>
    <w:rsid w:val="00944C77"/>
    <w:rsid w:val="00945190"/>
    <w:rsid w:val="0094526F"/>
    <w:rsid w:val="00946765"/>
    <w:rsid w:val="00987DA4"/>
    <w:rsid w:val="009A2FE8"/>
    <w:rsid w:val="009B60BC"/>
    <w:rsid w:val="009C638C"/>
    <w:rsid w:val="009D0ED7"/>
    <w:rsid w:val="009E3A01"/>
    <w:rsid w:val="00A23326"/>
    <w:rsid w:val="00A24328"/>
    <w:rsid w:val="00A45B62"/>
    <w:rsid w:val="00A94D81"/>
    <w:rsid w:val="00AA1C80"/>
    <w:rsid w:val="00AB4ACB"/>
    <w:rsid w:val="00AC1539"/>
    <w:rsid w:val="00AC41A8"/>
    <w:rsid w:val="00AC545F"/>
    <w:rsid w:val="00AD4482"/>
    <w:rsid w:val="00AE259D"/>
    <w:rsid w:val="00AE5EC3"/>
    <w:rsid w:val="00B04DF2"/>
    <w:rsid w:val="00B10048"/>
    <w:rsid w:val="00B25E2A"/>
    <w:rsid w:val="00B26F75"/>
    <w:rsid w:val="00B66B2F"/>
    <w:rsid w:val="00B71470"/>
    <w:rsid w:val="00B90A5A"/>
    <w:rsid w:val="00BD2BDD"/>
    <w:rsid w:val="00BF332A"/>
    <w:rsid w:val="00C24796"/>
    <w:rsid w:val="00C2636C"/>
    <w:rsid w:val="00C72B8F"/>
    <w:rsid w:val="00C778D0"/>
    <w:rsid w:val="00CE4458"/>
    <w:rsid w:val="00CF31A1"/>
    <w:rsid w:val="00D11AFD"/>
    <w:rsid w:val="00D358C7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228CF"/>
    <w:rsid w:val="00E302A6"/>
    <w:rsid w:val="00E441DC"/>
    <w:rsid w:val="00E62AD2"/>
    <w:rsid w:val="00E70F1A"/>
    <w:rsid w:val="00E710E8"/>
    <w:rsid w:val="00EA5BC9"/>
    <w:rsid w:val="00EA6905"/>
    <w:rsid w:val="00EC5246"/>
    <w:rsid w:val="00EE2184"/>
    <w:rsid w:val="00F015F4"/>
    <w:rsid w:val="00F21BFA"/>
    <w:rsid w:val="00F223FC"/>
    <w:rsid w:val="00F252CA"/>
    <w:rsid w:val="00F43CA8"/>
    <w:rsid w:val="00F52AA3"/>
    <w:rsid w:val="00F60BE6"/>
    <w:rsid w:val="00F7027A"/>
    <w:rsid w:val="00F87789"/>
    <w:rsid w:val="00FA1C80"/>
    <w:rsid w:val="00FA6CB1"/>
    <w:rsid w:val="00FB04E6"/>
    <w:rsid w:val="00FB6107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03459"/>
  <w15:docId w15:val="{96A36A04-97DE-4989-AF5B-862E2BEE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8C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C5F9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E228CF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E228C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ole@pfron.or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ole@pfron.org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63</TotalTime>
  <Pages>6</Pages>
  <Words>2019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Nowak Jolanta</dc:creator>
  <cp:lastModifiedBy>Nowak Jolanta</cp:lastModifiedBy>
  <cp:revision>4</cp:revision>
  <cp:lastPrinted>2026-06-03T11:13:00Z</cp:lastPrinted>
  <dcterms:created xsi:type="dcterms:W3CDTF">2026-06-03T09:57:00Z</dcterms:created>
  <dcterms:modified xsi:type="dcterms:W3CDTF">2026-06-03T13:14:00Z</dcterms:modified>
</cp:coreProperties>
</file>