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CA" w:rsidRPr="00855F77" w:rsidRDefault="00217F8C" w:rsidP="00855F77">
      <w:pPr>
        <w:spacing w:after="0" w:line="360" w:lineRule="auto"/>
        <w:jc w:val="both"/>
        <w:rPr>
          <w:rFonts w:ascii="Arial" w:hAnsi="Arial" w:cs="Arial"/>
        </w:rPr>
      </w:pPr>
      <w:r>
        <w:rPr>
          <w:rFonts w:ascii="Arial" w:hAnsi="Arial" w:cs="Arial"/>
        </w:rPr>
        <w:t>Wydział Wpłat Obowiązkowych</w:t>
      </w:r>
      <w:r w:rsidR="00225B21" w:rsidRPr="00855F77">
        <w:rPr>
          <w:rFonts w:ascii="Arial" w:hAnsi="Arial" w:cs="Arial"/>
        </w:rPr>
        <w:tab/>
      </w:r>
      <w:r w:rsidR="00225B21" w:rsidRPr="00855F77">
        <w:rPr>
          <w:rFonts w:ascii="Arial" w:hAnsi="Arial" w:cs="Arial"/>
        </w:rPr>
        <w:tab/>
      </w:r>
      <w:r w:rsidR="00225B21" w:rsidRPr="00855F77">
        <w:rPr>
          <w:rFonts w:ascii="Arial" w:hAnsi="Arial" w:cs="Arial"/>
        </w:rPr>
        <w:tab/>
        <w:t>Warszawa,</w:t>
      </w:r>
      <w:r w:rsidR="00FD29E4">
        <w:rPr>
          <w:rFonts w:ascii="Arial" w:hAnsi="Arial" w:cs="Arial"/>
        </w:rPr>
        <w:t xml:space="preserve"> dnia 23</w:t>
      </w:r>
      <w:r w:rsidR="00225B21" w:rsidRPr="00855F77">
        <w:rPr>
          <w:rFonts w:ascii="Arial" w:hAnsi="Arial" w:cs="Arial"/>
        </w:rPr>
        <w:t xml:space="preserve"> stycznia 2015 roku</w:t>
      </w:r>
    </w:p>
    <w:p w:rsidR="00225B21" w:rsidRPr="00855F77" w:rsidRDefault="00225B21" w:rsidP="00855F77">
      <w:pPr>
        <w:spacing w:after="0" w:line="360" w:lineRule="auto"/>
        <w:jc w:val="both"/>
        <w:rPr>
          <w:rFonts w:ascii="Arial" w:hAnsi="Arial" w:cs="Arial"/>
        </w:rPr>
      </w:pPr>
    </w:p>
    <w:p w:rsidR="00225B21" w:rsidRDefault="00225B21" w:rsidP="00855F77">
      <w:pPr>
        <w:spacing w:after="0" w:line="360" w:lineRule="auto"/>
        <w:jc w:val="both"/>
        <w:rPr>
          <w:rFonts w:ascii="Arial" w:hAnsi="Arial" w:cs="Arial"/>
        </w:rPr>
      </w:pPr>
    </w:p>
    <w:p w:rsidR="00855F77" w:rsidRDefault="00855F77" w:rsidP="00855F77">
      <w:pPr>
        <w:spacing w:after="0" w:line="360" w:lineRule="auto"/>
        <w:jc w:val="both"/>
        <w:rPr>
          <w:rFonts w:ascii="Arial" w:hAnsi="Arial" w:cs="Arial"/>
        </w:rPr>
      </w:pPr>
    </w:p>
    <w:p w:rsidR="00855F77" w:rsidRPr="00855F77" w:rsidRDefault="00855F77" w:rsidP="00855F77">
      <w:pPr>
        <w:spacing w:after="0" w:line="360" w:lineRule="auto"/>
        <w:jc w:val="both"/>
        <w:rPr>
          <w:rFonts w:ascii="Arial" w:hAnsi="Arial" w:cs="Arial"/>
        </w:rPr>
      </w:pPr>
    </w:p>
    <w:p w:rsidR="00225B21" w:rsidRPr="00855F77" w:rsidRDefault="00225B21" w:rsidP="00855F77">
      <w:pPr>
        <w:spacing w:after="0" w:line="360" w:lineRule="auto"/>
        <w:jc w:val="both"/>
        <w:rPr>
          <w:rFonts w:ascii="Arial" w:hAnsi="Arial" w:cs="Arial"/>
        </w:rPr>
      </w:pPr>
    </w:p>
    <w:p w:rsidR="00225B21" w:rsidRPr="00855F77" w:rsidRDefault="00225B21" w:rsidP="00855F77">
      <w:pPr>
        <w:spacing w:after="0" w:line="360" w:lineRule="auto"/>
        <w:jc w:val="both"/>
        <w:rPr>
          <w:rFonts w:ascii="Arial" w:hAnsi="Arial" w:cs="Arial"/>
        </w:rPr>
      </w:pPr>
      <w:r w:rsidRPr="00855F77">
        <w:rPr>
          <w:rFonts w:ascii="Arial" w:hAnsi="Arial" w:cs="Arial"/>
        </w:rPr>
        <w:tab/>
      </w:r>
      <w:r w:rsidRPr="00855F77">
        <w:rPr>
          <w:rFonts w:ascii="Arial" w:hAnsi="Arial" w:cs="Arial"/>
        </w:rPr>
        <w:tab/>
      </w:r>
      <w:r w:rsidRPr="00855F77">
        <w:rPr>
          <w:rFonts w:ascii="Arial" w:hAnsi="Arial" w:cs="Arial"/>
        </w:rPr>
        <w:tab/>
      </w:r>
      <w:r w:rsidRPr="00855F77">
        <w:rPr>
          <w:rFonts w:ascii="Arial" w:hAnsi="Arial" w:cs="Arial"/>
        </w:rPr>
        <w:tab/>
      </w:r>
      <w:r w:rsidRPr="00855F77">
        <w:rPr>
          <w:rFonts w:ascii="Arial" w:hAnsi="Arial" w:cs="Arial"/>
        </w:rPr>
        <w:tab/>
      </w:r>
      <w:r w:rsidRPr="00855F77">
        <w:rPr>
          <w:rFonts w:ascii="Arial" w:hAnsi="Arial" w:cs="Arial"/>
        </w:rPr>
        <w:tab/>
      </w:r>
      <w:r w:rsidRPr="00855F77">
        <w:rPr>
          <w:rFonts w:ascii="Arial" w:hAnsi="Arial" w:cs="Arial"/>
        </w:rPr>
        <w:tab/>
        <w:t>Pani Alicja Zając</w:t>
      </w:r>
    </w:p>
    <w:p w:rsidR="00225B21" w:rsidRPr="00855F77" w:rsidRDefault="00225B21" w:rsidP="00855F77">
      <w:pPr>
        <w:spacing w:after="0" w:line="360" w:lineRule="auto"/>
        <w:jc w:val="both"/>
        <w:rPr>
          <w:rFonts w:ascii="Arial" w:hAnsi="Arial" w:cs="Arial"/>
        </w:rPr>
      </w:pPr>
      <w:r w:rsidRPr="00855F77">
        <w:rPr>
          <w:rFonts w:ascii="Arial" w:hAnsi="Arial" w:cs="Arial"/>
        </w:rPr>
        <w:tab/>
      </w:r>
      <w:r w:rsidRPr="00855F77">
        <w:rPr>
          <w:rFonts w:ascii="Arial" w:hAnsi="Arial" w:cs="Arial"/>
        </w:rPr>
        <w:tab/>
      </w:r>
      <w:r w:rsidRPr="00855F77">
        <w:rPr>
          <w:rFonts w:ascii="Arial" w:hAnsi="Arial" w:cs="Arial"/>
        </w:rPr>
        <w:tab/>
      </w:r>
      <w:r w:rsidRPr="00855F77">
        <w:rPr>
          <w:rFonts w:ascii="Arial" w:hAnsi="Arial" w:cs="Arial"/>
        </w:rPr>
        <w:tab/>
      </w:r>
      <w:r w:rsidRPr="00855F77">
        <w:rPr>
          <w:rFonts w:ascii="Arial" w:hAnsi="Arial" w:cs="Arial"/>
        </w:rPr>
        <w:tab/>
      </w:r>
      <w:r w:rsidRPr="00855F77">
        <w:rPr>
          <w:rFonts w:ascii="Arial" w:hAnsi="Arial" w:cs="Arial"/>
        </w:rPr>
        <w:tab/>
      </w:r>
      <w:r w:rsidRPr="00855F77">
        <w:rPr>
          <w:rFonts w:ascii="Arial" w:hAnsi="Arial" w:cs="Arial"/>
        </w:rPr>
        <w:tab/>
        <w:t>Senator Rzeczypospolitej Polskiej</w:t>
      </w:r>
    </w:p>
    <w:p w:rsidR="00225B21" w:rsidRDefault="00225B21" w:rsidP="00855F77">
      <w:pPr>
        <w:spacing w:after="0" w:line="360" w:lineRule="auto"/>
        <w:jc w:val="both"/>
        <w:rPr>
          <w:rFonts w:ascii="Arial" w:hAnsi="Arial" w:cs="Arial"/>
        </w:rPr>
      </w:pPr>
    </w:p>
    <w:p w:rsidR="00855F77" w:rsidRDefault="00855F77" w:rsidP="00855F77">
      <w:pPr>
        <w:spacing w:after="0" w:line="360" w:lineRule="auto"/>
        <w:jc w:val="both"/>
        <w:rPr>
          <w:rFonts w:ascii="Arial" w:hAnsi="Arial" w:cs="Arial"/>
        </w:rPr>
      </w:pPr>
    </w:p>
    <w:p w:rsidR="00855F77" w:rsidRPr="00855F77" w:rsidRDefault="00855F77" w:rsidP="00855F77">
      <w:pPr>
        <w:spacing w:after="0" w:line="360" w:lineRule="auto"/>
        <w:jc w:val="both"/>
        <w:rPr>
          <w:rFonts w:ascii="Arial" w:hAnsi="Arial" w:cs="Arial"/>
        </w:rPr>
      </w:pPr>
    </w:p>
    <w:p w:rsidR="00225B21" w:rsidRPr="00855F77" w:rsidRDefault="00225B21" w:rsidP="00855F77">
      <w:pPr>
        <w:spacing w:after="0" w:line="360" w:lineRule="auto"/>
        <w:jc w:val="both"/>
        <w:rPr>
          <w:rFonts w:ascii="Arial" w:hAnsi="Arial" w:cs="Arial"/>
        </w:rPr>
      </w:pPr>
      <w:r w:rsidRPr="00855F77">
        <w:rPr>
          <w:rFonts w:ascii="Arial" w:hAnsi="Arial" w:cs="Arial"/>
        </w:rPr>
        <w:tab/>
      </w:r>
    </w:p>
    <w:p w:rsidR="00AD790A" w:rsidRPr="00855F77" w:rsidRDefault="00225B21" w:rsidP="00855F77">
      <w:pPr>
        <w:spacing w:after="0" w:line="360" w:lineRule="auto"/>
        <w:ind w:firstLine="708"/>
        <w:jc w:val="both"/>
        <w:rPr>
          <w:rFonts w:ascii="Arial" w:hAnsi="Arial" w:cs="Arial"/>
        </w:rPr>
      </w:pPr>
      <w:r w:rsidRPr="00855F77">
        <w:rPr>
          <w:rFonts w:ascii="Arial" w:hAnsi="Arial" w:cs="Arial"/>
        </w:rPr>
        <w:t xml:space="preserve">W odpowiedzi na Pani pismo z dnia 8 stycznia 2015 roku (data wpływu do Funduszu: 12 styczeń 2015 roku) w sprawie udostępnienia informacji publicznej dotyczącej podania wykazu pracodawców uprawnionych do udzielania ulg we płatach na PFRON na podstawie art. 22 ustawy o rehabilitacji zawodowej i społecznej oraz zatrudnianiu osób niepełnosprawnych (Dz. U. z 2011 roku Nr 127, poz. 721 z </w:t>
      </w:r>
      <w:proofErr w:type="spellStart"/>
      <w:r w:rsidRPr="00855F77">
        <w:rPr>
          <w:rFonts w:ascii="Arial" w:hAnsi="Arial" w:cs="Arial"/>
        </w:rPr>
        <w:t>późn</w:t>
      </w:r>
      <w:proofErr w:type="spellEnd"/>
      <w:r w:rsidRPr="00855F77">
        <w:rPr>
          <w:rFonts w:ascii="Arial" w:hAnsi="Arial" w:cs="Arial"/>
        </w:rPr>
        <w:t xml:space="preserve">. zm.), </w:t>
      </w:r>
      <w:r w:rsidR="00AD790A" w:rsidRPr="00855F77">
        <w:rPr>
          <w:rFonts w:ascii="Arial" w:hAnsi="Arial" w:cs="Arial"/>
        </w:rPr>
        <w:t xml:space="preserve">Państwowy Fundusz Rehabilitacji Osób Niepełnosprawnych </w:t>
      </w:r>
      <w:r w:rsidRPr="00855F77">
        <w:rPr>
          <w:rFonts w:ascii="Arial" w:hAnsi="Arial" w:cs="Arial"/>
        </w:rPr>
        <w:t xml:space="preserve">uprzejmie informuje, że </w:t>
      </w:r>
      <w:r w:rsidR="00AD790A" w:rsidRPr="00855F77">
        <w:rPr>
          <w:rFonts w:ascii="Arial" w:hAnsi="Arial" w:cs="Arial"/>
        </w:rPr>
        <w:t xml:space="preserve">nie może udostępnić </w:t>
      </w:r>
      <w:r w:rsidR="00AD790A" w:rsidRPr="00855F77">
        <w:rPr>
          <w:rFonts w:ascii="Arial" w:hAnsi="Arial" w:cs="Arial"/>
          <w:u w:val="single"/>
        </w:rPr>
        <w:t>części</w:t>
      </w:r>
      <w:r w:rsidR="00AD790A" w:rsidRPr="00855F77">
        <w:rPr>
          <w:rFonts w:ascii="Arial" w:hAnsi="Arial" w:cs="Arial"/>
        </w:rPr>
        <w:t xml:space="preserve"> (w zakresie podania wykazu firm – sprzedawców usług i produkcji) wnioskowanych danych, ponieważ nie stanowią one informacji publicznej w rozumieniu ustawy z dnia 6 września 2001 r. o dostępie do informacji publicznej (</w:t>
      </w:r>
      <w:proofErr w:type="spellStart"/>
      <w:r w:rsidR="00AD790A" w:rsidRPr="00855F77">
        <w:rPr>
          <w:rFonts w:ascii="Arial" w:hAnsi="Arial" w:cs="Arial"/>
        </w:rPr>
        <w:t>Dz.U</w:t>
      </w:r>
      <w:proofErr w:type="spellEnd"/>
      <w:r w:rsidR="00AD790A" w:rsidRPr="00855F77">
        <w:rPr>
          <w:rFonts w:ascii="Arial" w:hAnsi="Arial" w:cs="Arial"/>
        </w:rPr>
        <w:t xml:space="preserve">. Nr 112, poz. 1198 z </w:t>
      </w:r>
      <w:proofErr w:type="spellStart"/>
      <w:r w:rsidR="00AD790A" w:rsidRPr="00855F77">
        <w:rPr>
          <w:rFonts w:ascii="Arial" w:hAnsi="Arial" w:cs="Arial"/>
        </w:rPr>
        <w:t>późn</w:t>
      </w:r>
      <w:proofErr w:type="spellEnd"/>
      <w:r w:rsidR="00AD790A" w:rsidRPr="00855F77">
        <w:rPr>
          <w:rFonts w:ascii="Arial" w:hAnsi="Arial" w:cs="Arial"/>
        </w:rPr>
        <w:t>. zm.) zwanej dalej ustawą.</w:t>
      </w:r>
    </w:p>
    <w:p w:rsidR="00855F77" w:rsidRPr="00855F77" w:rsidRDefault="00855F77" w:rsidP="00AD4A6F">
      <w:pPr>
        <w:spacing w:after="0" w:line="360" w:lineRule="auto"/>
        <w:ind w:firstLine="426"/>
        <w:jc w:val="both"/>
        <w:rPr>
          <w:rFonts w:ascii="Arial" w:hAnsi="Arial" w:cs="Arial"/>
        </w:rPr>
      </w:pPr>
      <w:r w:rsidRPr="00855F77">
        <w:rPr>
          <w:rFonts w:ascii="Arial" w:hAnsi="Arial" w:cs="Arial"/>
        </w:rPr>
        <w:t>Przedsiębiorcy, o których dane Pani występuje, nie zaliczają się do władz publicznych ani podmiotów wykonujących funkcje publiczne. W tej sytuacji ustawa o dostępie do informacji publicznej nie ma zastosowania w tej sprawie. Brak jest zatem w aktualnym stanie prawnym podstaw rangi ustawowej do przekazania informacji. Jeżeli jest Pan</w:t>
      </w:r>
      <w:r w:rsidR="00374ED8">
        <w:rPr>
          <w:rFonts w:ascii="Arial" w:hAnsi="Arial" w:cs="Arial"/>
        </w:rPr>
        <w:t>i zainteresowana</w:t>
      </w:r>
      <w:r w:rsidRPr="00855F77">
        <w:rPr>
          <w:rFonts w:ascii="Arial" w:hAnsi="Arial" w:cs="Arial"/>
        </w:rPr>
        <w:t xml:space="preserve"> uzyskaniem informacji o pracodawcach publicznych, uprawnionych do wystawia</w:t>
      </w:r>
      <w:r w:rsidR="00374ED8">
        <w:rPr>
          <w:rFonts w:ascii="Arial" w:hAnsi="Arial" w:cs="Arial"/>
        </w:rPr>
        <w:t>nia</w:t>
      </w:r>
      <w:r w:rsidRPr="00855F77">
        <w:rPr>
          <w:rFonts w:ascii="Arial" w:hAnsi="Arial" w:cs="Arial"/>
        </w:rPr>
        <w:t xml:space="preserve"> informacji o kwocie obniżenia wpłat na PFRON, proszę o sprecyzowanie wniosku oraz określenie jakiego okresu wniosek dotyczy. </w:t>
      </w:r>
    </w:p>
    <w:p w:rsidR="00855F77" w:rsidRPr="00855F77" w:rsidRDefault="00855F77" w:rsidP="00AD4A6F">
      <w:pPr>
        <w:spacing w:after="0" w:line="360" w:lineRule="auto"/>
        <w:ind w:firstLine="426"/>
        <w:jc w:val="both"/>
        <w:rPr>
          <w:rFonts w:ascii="Arial" w:hAnsi="Arial" w:cs="Arial"/>
        </w:rPr>
      </w:pPr>
      <w:r w:rsidRPr="00855F77">
        <w:rPr>
          <w:rFonts w:ascii="Arial" w:hAnsi="Arial" w:cs="Arial"/>
        </w:rPr>
        <w:t xml:space="preserve">W postępowaniu z wniosku o udostępnienie informacji publicznej, rolą właściwego organu jest zatem w pierwszej kolejności ustalenie, czy wnioskowana informacja nosi walor informacji publicznej, w rozumieniu przepisów ustawy (por. wyrok NSA z dnia 19 grudnia 2002 r. sygn. akt II SA 3301/02, </w:t>
      </w:r>
      <w:proofErr w:type="spellStart"/>
      <w:r w:rsidRPr="00855F77">
        <w:rPr>
          <w:rFonts w:ascii="Arial" w:hAnsi="Arial" w:cs="Arial"/>
        </w:rPr>
        <w:t>Lex</w:t>
      </w:r>
      <w:proofErr w:type="spellEnd"/>
      <w:r w:rsidRPr="00855F77">
        <w:rPr>
          <w:rFonts w:ascii="Arial" w:hAnsi="Arial" w:cs="Arial"/>
        </w:rPr>
        <w:t xml:space="preserve"> nr 78064, wyrok NSA z dnia 11 grudnia 2002 r. sygn. akt II SA 2867/02, </w:t>
      </w:r>
      <w:proofErr w:type="spellStart"/>
      <w:r w:rsidRPr="00855F77">
        <w:rPr>
          <w:rFonts w:ascii="Arial" w:hAnsi="Arial" w:cs="Arial"/>
        </w:rPr>
        <w:t>Lex</w:t>
      </w:r>
      <w:proofErr w:type="spellEnd"/>
      <w:r w:rsidRPr="00855F77">
        <w:rPr>
          <w:rFonts w:ascii="Arial" w:hAnsi="Arial" w:cs="Arial"/>
        </w:rPr>
        <w:t xml:space="preserve"> nr 78203). W wypadku ustalenia, że informacja, o której udzielenie strona zwróciła się nie jest informacją publiczną, stanowisko organu odmawiające jej udzielenia powinno być wyrażone w formie pisemnej odpowiedzi, zawierającej argumentację </w:t>
      </w:r>
      <w:r w:rsidRPr="00855F77">
        <w:rPr>
          <w:rFonts w:ascii="Arial" w:hAnsi="Arial" w:cs="Arial"/>
        </w:rPr>
        <w:lastRenderedPageBreak/>
        <w:t xml:space="preserve">w przedmiotowym zakresie (wyrok WSA w Gorzowie Wielkopolskim z dnia 12 grudnia 2012 r., sygn. akt II SA/Go 846/12, </w:t>
      </w:r>
      <w:r w:rsidRPr="00855F77">
        <w:rPr>
          <w:rFonts w:ascii="Arial" w:hAnsi="Arial" w:cs="Arial"/>
          <w:i/>
          <w:iCs/>
        </w:rPr>
        <w:t>LEX nr 1232721)</w:t>
      </w:r>
    </w:p>
    <w:p w:rsidR="00855F77" w:rsidRPr="00855F77" w:rsidRDefault="00855F77" w:rsidP="00855F77">
      <w:pPr>
        <w:spacing w:after="0" w:line="360" w:lineRule="auto"/>
        <w:ind w:firstLine="425"/>
        <w:jc w:val="both"/>
        <w:rPr>
          <w:rFonts w:ascii="Arial" w:hAnsi="Arial" w:cs="Arial"/>
        </w:rPr>
      </w:pPr>
      <w:r w:rsidRPr="00855F77">
        <w:rPr>
          <w:rFonts w:ascii="Arial" w:hAnsi="Arial" w:cs="Arial"/>
        </w:rPr>
        <w:t>Informacją publiczną jest każda wiadomość wytworzona lub odnoszona do szeroko rozumianych władz publicznych oraz wytworzona lub odnoszona do innych podmiotów wykonujących funkcje publiczne w zakresie wykonywania przez nie zadań władzy publicznej i gospodarowania mieniem komunalnym lub majątkiem Skarbu Państwa. (tak: wyrok WSA w Rzeszowie II  z dnia  2013.01.17 SAB/</w:t>
      </w:r>
      <w:proofErr w:type="spellStart"/>
      <w:r w:rsidRPr="00855F77">
        <w:rPr>
          <w:rFonts w:ascii="Arial" w:hAnsi="Arial" w:cs="Arial"/>
        </w:rPr>
        <w:t>Rz</w:t>
      </w:r>
      <w:proofErr w:type="spellEnd"/>
      <w:r w:rsidRPr="00855F77">
        <w:rPr>
          <w:rFonts w:ascii="Arial" w:hAnsi="Arial" w:cs="Arial"/>
        </w:rPr>
        <w:t xml:space="preserve"> 48/12 </w:t>
      </w:r>
      <w:r w:rsidRPr="00855F77">
        <w:rPr>
          <w:rFonts w:ascii="Arial" w:hAnsi="Arial" w:cs="Arial"/>
        </w:rPr>
        <w:tab/>
        <w:t xml:space="preserve">LEX nr 1285163) W art. 6 ustawy prawodawca wskazuje jakie informacje stanowią informacje publiczne, w myśl przepisów ustawy, przy czym wyliczenie to  nie jest katalogiem zamkniętym. W art. 6 ust. 1 </w:t>
      </w:r>
      <w:proofErr w:type="spellStart"/>
      <w:r w:rsidRPr="00855F77">
        <w:rPr>
          <w:rFonts w:ascii="Arial" w:hAnsi="Arial" w:cs="Arial"/>
        </w:rPr>
        <w:t>pkt</w:t>
      </w:r>
      <w:proofErr w:type="spellEnd"/>
      <w:r w:rsidRPr="00855F77">
        <w:rPr>
          <w:rFonts w:ascii="Arial" w:hAnsi="Arial" w:cs="Arial"/>
        </w:rPr>
        <w:t xml:space="preserve"> 2 - 5 mowa jest o tym, że udostępnieniu podlegają informacje o danych publicznych, w tym o:</w:t>
      </w:r>
    </w:p>
    <w:p w:rsidR="00855F77" w:rsidRPr="00855F77" w:rsidRDefault="00855F77" w:rsidP="00855F77">
      <w:pPr>
        <w:spacing w:after="0" w:line="360" w:lineRule="auto"/>
        <w:rPr>
          <w:rFonts w:ascii="Arial" w:hAnsi="Arial" w:cs="Arial"/>
          <w:i/>
        </w:rPr>
      </w:pPr>
      <w:r w:rsidRPr="00855F77">
        <w:rPr>
          <w:rFonts w:ascii="Arial" w:hAnsi="Arial" w:cs="Arial"/>
          <w:i/>
        </w:rPr>
        <w:t>2)   podmiotach, o których mowa w art. 4 ust. 1, w tym o:</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a)  statusie prawnym lub formie prawnej,</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b)  organizacji,</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c)  przedmiocie działalności i kompetencjach,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d)  organach i osobach sprawujących w nich funkcje i ich kompetencjach,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 xml:space="preserve">e)  strukturze własnościowej podmiotów, o których mowa w art. 4 ust. 1 </w:t>
      </w:r>
      <w:proofErr w:type="spellStart"/>
      <w:r w:rsidRPr="00855F77">
        <w:rPr>
          <w:rFonts w:ascii="Arial" w:hAnsi="Arial" w:cs="Arial"/>
          <w:i/>
        </w:rPr>
        <w:t>pkt</w:t>
      </w:r>
      <w:proofErr w:type="spellEnd"/>
      <w:r w:rsidRPr="00855F77">
        <w:rPr>
          <w:rFonts w:ascii="Arial" w:hAnsi="Arial" w:cs="Arial"/>
          <w:i/>
        </w:rPr>
        <w:t xml:space="preserve"> 3-5,</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f)  majątku, którym dysponują,</w:t>
      </w:r>
    </w:p>
    <w:p w:rsidR="00855F77" w:rsidRPr="00855F77" w:rsidRDefault="00855F77" w:rsidP="00855F77">
      <w:pPr>
        <w:spacing w:after="0" w:line="360" w:lineRule="auto"/>
        <w:rPr>
          <w:rFonts w:ascii="Arial" w:hAnsi="Arial" w:cs="Arial"/>
          <w:i/>
        </w:rPr>
      </w:pPr>
      <w:r w:rsidRPr="00855F77">
        <w:rPr>
          <w:rFonts w:ascii="Arial" w:hAnsi="Arial" w:cs="Arial"/>
          <w:i/>
        </w:rPr>
        <w:t>3)   zasadach funkcjonowania podmiotów, o których mowa w art. 4 ust. 1, w tym o:</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a)  trybie działania władz publicznych i ich jednostek organizacyjnych,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b)  trybie działania państwowych osób prawnych i osób prawnych samorządu terytorialnego w zakresie wykonywania zadań publicznych i ich działalności w ramach gospodarki budżetowej i pozabudżetowej,</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c)  sposobach stanowienia aktów publicznoprawnych,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d)  sposobach przyjmowania i załatwiania spraw,</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e)  stanie przyjmowanych spraw, kolejności ich załatwiania lub rozstrzygania,</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f)  prowadzonych rejestrach, ewidencjach i archiwach oraz o sposobach i zasadach udostępniania danych w nich zawartych,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g)   naborze kandydatów do zatrudnienia na wolne stanowiska, w zakresie określonym w przepisach odrębnych,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h)   konkursie na wyższe stanowisko w służbie cywilnej, w zakresie określonym w przepisach odrębnych,</w:t>
      </w:r>
    </w:p>
    <w:p w:rsidR="00855F77" w:rsidRPr="00855F77" w:rsidRDefault="00855F77" w:rsidP="00855F77">
      <w:pPr>
        <w:spacing w:after="0" w:line="360" w:lineRule="auto"/>
        <w:rPr>
          <w:rFonts w:ascii="Arial" w:hAnsi="Arial" w:cs="Arial"/>
          <w:i/>
        </w:rPr>
      </w:pPr>
      <w:r w:rsidRPr="00855F77">
        <w:rPr>
          <w:rFonts w:ascii="Arial" w:hAnsi="Arial" w:cs="Arial"/>
          <w:i/>
        </w:rPr>
        <w:t>4)   danych publicznych, w tym:</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a)  treść i postać dokumentów urzędowych, w szczególności:</w:t>
      </w:r>
    </w:p>
    <w:p w:rsidR="00855F77" w:rsidRPr="00855F77" w:rsidRDefault="00855F77" w:rsidP="00855F77">
      <w:pPr>
        <w:spacing w:after="0" w:line="360" w:lineRule="auto"/>
        <w:ind w:left="851" w:hanging="240"/>
        <w:rPr>
          <w:rFonts w:ascii="Arial" w:hAnsi="Arial" w:cs="Arial"/>
          <w:i/>
        </w:rPr>
      </w:pPr>
      <w:r w:rsidRPr="00855F77">
        <w:rPr>
          <w:rFonts w:ascii="Arial" w:hAnsi="Arial" w:cs="Arial"/>
          <w:i/>
        </w:rPr>
        <w:t>–  treść aktów administracyjnych i innych rozstrzygnięć,</w:t>
      </w:r>
    </w:p>
    <w:p w:rsidR="00855F77" w:rsidRPr="00855F77" w:rsidRDefault="00855F77" w:rsidP="00855F77">
      <w:pPr>
        <w:spacing w:after="0" w:line="360" w:lineRule="auto"/>
        <w:ind w:left="851" w:hanging="240"/>
        <w:rPr>
          <w:rFonts w:ascii="Arial" w:hAnsi="Arial" w:cs="Arial"/>
          <w:i/>
        </w:rPr>
      </w:pPr>
      <w:r w:rsidRPr="00855F77">
        <w:rPr>
          <w:rFonts w:ascii="Arial" w:hAnsi="Arial" w:cs="Arial"/>
          <w:i/>
        </w:rPr>
        <w:t>–  dokumentacja przebiegu i efektów kontroli oraz wystąpienia, stanowiska, wnioski i opinie podmiotów ją przeprowadzających,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lastRenderedPageBreak/>
        <w:t xml:space="preserve">b)  stanowiska w sprawach publicznych zajęte przez organy władzy publicznej </w:t>
      </w:r>
      <w:r w:rsidRPr="00855F77">
        <w:rPr>
          <w:rFonts w:ascii="Arial" w:hAnsi="Arial" w:cs="Arial"/>
          <w:i/>
        </w:rPr>
        <w:br/>
        <w:t xml:space="preserve">i przez funkcjonariuszy publicznych w rozumieniu przepisów </w:t>
      </w:r>
      <w:hyperlink r:id="rId4" w:anchor="hiperlinkText.rpc?hiperlink=type=tresc:nro=Powszechny.21467&amp;full=1" w:tgtFrame="_parent" w:history="1">
        <w:r w:rsidRPr="00855F77">
          <w:rPr>
            <w:rFonts w:ascii="Arial" w:hAnsi="Arial" w:cs="Arial"/>
            <w:i/>
          </w:rPr>
          <w:t>Kodeksu karnego</w:t>
        </w:r>
      </w:hyperlink>
      <w:r w:rsidRPr="00855F77">
        <w:rPr>
          <w:rFonts w:ascii="Arial" w:hAnsi="Arial" w:cs="Arial"/>
          <w:i/>
        </w:rPr>
        <w:t>,</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c)  treść innych wystąpień i ocen dokonywanych przez organy władzy publicznej,</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d)  informacja o stanie państwa, samorządów i ich jednostek organizacyjnych,</w:t>
      </w:r>
    </w:p>
    <w:p w:rsidR="00855F77" w:rsidRPr="00855F77" w:rsidRDefault="00855F77" w:rsidP="00855F77">
      <w:pPr>
        <w:spacing w:after="0" w:line="360" w:lineRule="auto"/>
        <w:rPr>
          <w:rFonts w:ascii="Arial" w:hAnsi="Arial" w:cs="Arial"/>
          <w:i/>
        </w:rPr>
      </w:pPr>
      <w:r w:rsidRPr="00855F77">
        <w:rPr>
          <w:rFonts w:ascii="Arial" w:hAnsi="Arial" w:cs="Arial"/>
          <w:i/>
        </w:rPr>
        <w:t>5)   majątku publicznym, w tym o:</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a)  majątku Skarbu Państwa i państwowych osób prawnych,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b)  innych prawach majątkowych przysługujących państwu i jego długach,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 xml:space="preserve">c)  majątku jednostek samorządu terytorialnego oraz samorządów zawodowych </w:t>
      </w:r>
      <w:r w:rsidRPr="00855F77">
        <w:rPr>
          <w:rFonts w:ascii="Arial" w:hAnsi="Arial" w:cs="Arial"/>
          <w:i/>
        </w:rPr>
        <w:br/>
        <w:t xml:space="preserve">i gospodarczych oraz majątku osób prawnych samorządu terytorialnego, </w:t>
      </w:r>
      <w:r w:rsidRPr="00855F77">
        <w:rPr>
          <w:rFonts w:ascii="Arial" w:hAnsi="Arial" w:cs="Arial"/>
          <w:i/>
        </w:rPr>
        <w:br/>
        <w:t>a także kas chorych,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 xml:space="preserve">d)  majątku podmiotów, o których mowa w art. 4 ust. 1 </w:t>
      </w:r>
      <w:proofErr w:type="spellStart"/>
      <w:r w:rsidRPr="00855F77">
        <w:rPr>
          <w:rFonts w:ascii="Arial" w:hAnsi="Arial" w:cs="Arial"/>
          <w:i/>
        </w:rPr>
        <w:t>pkt</w:t>
      </w:r>
      <w:proofErr w:type="spellEnd"/>
      <w:r w:rsidRPr="00855F77">
        <w:rPr>
          <w:rFonts w:ascii="Arial" w:hAnsi="Arial" w:cs="Arial"/>
          <w:i/>
        </w:rPr>
        <w:t xml:space="preserve"> 5, pochodzącym </w:t>
      </w:r>
      <w:r w:rsidRPr="00855F77">
        <w:rPr>
          <w:rFonts w:ascii="Arial" w:hAnsi="Arial" w:cs="Arial"/>
          <w:i/>
        </w:rPr>
        <w:br/>
        <w:t xml:space="preserve">z zadysponowania majątkiem, o którym mowa w lit. a)-c), oraz pożytkach </w:t>
      </w:r>
      <w:r w:rsidRPr="00855F77">
        <w:rPr>
          <w:rFonts w:ascii="Arial" w:hAnsi="Arial" w:cs="Arial"/>
          <w:i/>
        </w:rPr>
        <w:br/>
        <w:t>z tego majątku i jego obciążeniach,</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 xml:space="preserve">e)  dochodach i stratach spółek handlowych, w których podmioty, o których mowa w lit. a)-c), mają pozycję dominującą w rozumieniu przepisów </w:t>
      </w:r>
      <w:hyperlink r:id="rId5" w:anchor="hiperlinkText.rpc?hiperlink=type=tresc:nro=Powszechny.109300&amp;full=1" w:tgtFrame="_parent" w:history="1">
        <w:r w:rsidRPr="00855F77">
          <w:rPr>
            <w:rFonts w:ascii="Arial" w:hAnsi="Arial" w:cs="Arial"/>
            <w:i/>
          </w:rPr>
          <w:t>Kodeksu spółek handlowych</w:t>
        </w:r>
      </w:hyperlink>
      <w:r w:rsidRPr="00855F77">
        <w:rPr>
          <w:rFonts w:ascii="Arial" w:hAnsi="Arial" w:cs="Arial"/>
          <w:i/>
        </w:rPr>
        <w:t>, oraz dysponowaniu tymi dochodami i sposobie pokrywania strat,</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f)  długu publicznym,</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 xml:space="preserve">g)  pomocy publicznej, </w:t>
      </w:r>
    </w:p>
    <w:p w:rsidR="00855F77" w:rsidRPr="00855F77" w:rsidRDefault="00855F77" w:rsidP="00855F77">
      <w:pPr>
        <w:spacing w:after="0" w:line="360" w:lineRule="auto"/>
        <w:ind w:left="851" w:hanging="360"/>
        <w:rPr>
          <w:rFonts w:ascii="Arial" w:hAnsi="Arial" w:cs="Arial"/>
          <w:i/>
        </w:rPr>
      </w:pPr>
      <w:r w:rsidRPr="00855F77">
        <w:rPr>
          <w:rFonts w:ascii="Arial" w:hAnsi="Arial" w:cs="Arial"/>
          <w:i/>
        </w:rPr>
        <w:t>h)  ciężarach publicznych.</w:t>
      </w:r>
    </w:p>
    <w:p w:rsidR="00855F77" w:rsidRPr="00855F77" w:rsidRDefault="00855F77" w:rsidP="00AD4A6F">
      <w:pPr>
        <w:spacing w:after="0" w:line="360" w:lineRule="auto"/>
        <w:ind w:firstLine="426"/>
        <w:jc w:val="both"/>
        <w:rPr>
          <w:rFonts w:ascii="Arial" w:hAnsi="Arial" w:cs="Arial"/>
        </w:rPr>
      </w:pPr>
      <w:r w:rsidRPr="00855F77">
        <w:rPr>
          <w:rFonts w:ascii="Arial" w:hAnsi="Arial" w:cs="Arial"/>
        </w:rPr>
        <w:t>Art. 4 ust. 1 ustawy wskazuje podmioty zobowiązane do udostępnienia informacji publicznej. Są to: organy władzy publicznej, organy samorządów gospodarczych i zawodowych,  podmioty reprezentujące zgodnie z odrębnymi przepisami Skarb Państwa,  podmioty reprezentujące państwowe osoby prawne albo osoby prawne samorządu terytorialnego oraz podmioty reprezentujące inne państwowe jednostki organizacyjne albo jednostki organizacyjne samorządu terytorialnego, podmioty reprezentujące inne osoby lub jednostki organizacyjne, które wykonują zadania publiczne lub dysponują majątkiem publicznym, oraz osoby prawne, w których Skarb Państwa, jednostki samorządu terytorialnego lub samorządu gospodarczego albo zawodowego mają pozycję dominującą w rozumieniu przepisów o ochronie konkurencji i konsumentów.</w:t>
      </w:r>
    </w:p>
    <w:p w:rsidR="00855F77" w:rsidRPr="00855F77" w:rsidRDefault="00855F77" w:rsidP="00855F77">
      <w:pPr>
        <w:spacing w:after="0" w:line="360" w:lineRule="auto"/>
        <w:ind w:firstLine="426"/>
        <w:jc w:val="both"/>
        <w:rPr>
          <w:rFonts w:ascii="Arial" w:hAnsi="Arial" w:cs="Arial"/>
        </w:rPr>
      </w:pPr>
      <w:r w:rsidRPr="00855F77">
        <w:rPr>
          <w:rFonts w:ascii="Arial" w:hAnsi="Arial" w:cs="Arial"/>
        </w:rPr>
        <w:t xml:space="preserve">Informacje o udostępnienie których zwraca się wnioskodawca nie dotyczą podmiotu publicznego, ani spraw publicznych, nie stanowią zatem informacji publicznej. Przedsiębiorcy to głównie podmioty prywatne, zatem informacje o nich nie stanowią informacji publicznej i nie mogą być udostępniane. W tej sytuacji ustawa o dostępie do informacji publicznej nie ma zastosowania. Brak jest zatem w aktualnym stanie prawnym podstaw rangi ustawowej do przekazania informacji. </w:t>
      </w:r>
    </w:p>
    <w:p w:rsidR="00855F77" w:rsidRDefault="00855F77" w:rsidP="00855F77">
      <w:pPr>
        <w:spacing w:after="0" w:line="360" w:lineRule="auto"/>
        <w:ind w:firstLine="426"/>
        <w:jc w:val="both"/>
        <w:rPr>
          <w:rFonts w:ascii="Arial" w:hAnsi="Arial" w:cs="Arial"/>
          <w:color w:val="000000"/>
        </w:rPr>
      </w:pPr>
      <w:r w:rsidRPr="00855F77">
        <w:rPr>
          <w:rFonts w:ascii="Arial" w:hAnsi="Arial" w:cs="Arial"/>
          <w:color w:val="000000"/>
        </w:rPr>
        <w:lastRenderedPageBreak/>
        <w:t xml:space="preserve">Z przyczyn wskazanych powyżej udostępnienie żądanych przez wnioskodawcę informacji, w części dotyczącej podania </w:t>
      </w:r>
      <w:r w:rsidRPr="00855F77">
        <w:rPr>
          <w:rFonts w:ascii="Arial" w:hAnsi="Arial" w:cs="Arial"/>
        </w:rPr>
        <w:t>wykazu firm – sprzedawców usług i produkcji</w:t>
      </w:r>
      <w:r w:rsidRPr="00855F77">
        <w:rPr>
          <w:rFonts w:ascii="Arial" w:hAnsi="Arial" w:cs="Arial"/>
          <w:color w:val="000000"/>
        </w:rPr>
        <w:t xml:space="preserve"> nie jest możliwe.</w:t>
      </w:r>
    </w:p>
    <w:p w:rsidR="00AD4A6F" w:rsidRDefault="00AD4A6F" w:rsidP="00855F77">
      <w:pPr>
        <w:spacing w:after="0" w:line="360" w:lineRule="auto"/>
        <w:ind w:firstLine="426"/>
        <w:jc w:val="both"/>
        <w:rPr>
          <w:rFonts w:ascii="Arial" w:hAnsi="Arial" w:cs="Arial"/>
          <w:color w:val="000000"/>
        </w:rPr>
      </w:pPr>
      <w:r>
        <w:rPr>
          <w:rFonts w:ascii="Arial" w:hAnsi="Arial" w:cs="Arial"/>
          <w:color w:val="000000"/>
        </w:rPr>
        <w:t xml:space="preserve">W zakresie udostępnienia informacji publicznej dotyczącej podania sumarycznych (miesięcznych i rocznych) wysokości wystawionych ulg w latach 2012-2014 </w:t>
      </w:r>
      <w:r w:rsidRPr="00855F77">
        <w:rPr>
          <w:rFonts w:ascii="Arial" w:hAnsi="Arial" w:cs="Arial"/>
        </w:rPr>
        <w:t>Państwowy Fundusz Rehabilitacji Osób Niepełnosprawnych</w:t>
      </w:r>
      <w:r>
        <w:rPr>
          <w:rFonts w:ascii="Arial" w:hAnsi="Arial" w:cs="Arial"/>
        </w:rPr>
        <w:t xml:space="preserve"> informuje, że udostępnione dane pochodzą z deklaracji </w:t>
      </w:r>
      <w:proofErr w:type="spellStart"/>
      <w:r>
        <w:rPr>
          <w:rFonts w:ascii="Arial" w:hAnsi="Arial" w:cs="Arial"/>
        </w:rPr>
        <w:t>DEK-I-u</w:t>
      </w:r>
      <w:proofErr w:type="spellEnd"/>
      <w:r>
        <w:rPr>
          <w:rFonts w:ascii="Arial" w:hAnsi="Arial" w:cs="Arial"/>
        </w:rPr>
        <w:t xml:space="preserve"> i zawierają wyłącznie dane wskazane przez pracodawców korzystających z ulg. Fundusz przedstawia więc w tym zakresie tylko dane zadeklarowane przez pracodawców korzystających z tych ulg z rozbiciem na zakłady pracy chronionej, spółdzielnie posiadające status zakładów pracy chronionej oraz zakłady z otwartego rynk</w:t>
      </w:r>
      <w:r w:rsidR="00374ED8">
        <w:rPr>
          <w:rFonts w:ascii="Arial" w:hAnsi="Arial" w:cs="Arial"/>
        </w:rPr>
        <w:t>u pracy w latach 2012-2014 wraz</w:t>
      </w:r>
      <w:r>
        <w:rPr>
          <w:rFonts w:ascii="Arial" w:hAnsi="Arial" w:cs="Arial"/>
        </w:rPr>
        <w:t xml:space="preserve"> z danymi za poszczególne miesiące</w:t>
      </w:r>
      <w:r w:rsidR="001E2F5F">
        <w:rPr>
          <w:rFonts w:ascii="Arial" w:hAnsi="Arial" w:cs="Arial"/>
        </w:rPr>
        <w:t>.</w:t>
      </w:r>
    </w:p>
    <w:p w:rsidR="00AD4A6F" w:rsidRPr="00855F77" w:rsidRDefault="00AD4A6F" w:rsidP="00855F77">
      <w:pPr>
        <w:spacing w:after="0" w:line="360" w:lineRule="auto"/>
        <w:ind w:firstLine="426"/>
        <w:jc w:val="both"/>
        <w:rPr>
          <w:rFonts w:ascii="Arial" w:hAnsi="Arial" w:cs="Arial"/>
        </w:rPr>
      </w:pPr>
      <w:r>
        <w:rPr>
          <w:rFonts w:ascii="Arial" w:hAnsi="Arial" w:cs="Arial"/>
          <w:color w:val="000000"/>
        </w:rPr>
        <w:tab/>
      </w:r>
    </w:p>
    <w:p w:rsidR="00AD790A" w:rsidRPr="00855F77" w:rsidRDefault="00AD790A" w:rsidP="00855F77">
      <w:pPr>
        <w:spacing w:after="0" w:line="360" w:lineRule="auto"/>
        <w:ind w:firstLine="708"/>
        <w:jc w:val="both"/>
        <w:rPr>
          <w:rFonts w:ascii="Arial" w:hAnsi="Arial" w:cs="Arial"/>
        </w:rPr>
      </w:pPr>
    </w:p>
    <w:p w:rsidR="00225B21" w:rsidRPr="00855F77" w:rsidRDefault="00225B21" w:rsidP="00855F77">
      <w:pPr>
        <w:spacing w:after="0" w:line="360" w:lineRule="auto"/>
        <w:ind w:firstLine="708"/>
        <w:jc w:val="both"/>
        <w:rPr>
          <w:rFonts w:ascii="Arial" w:hAnsi="Arial" w:cs="Arial"/>
        </w:rPr>
      </w:pPr>
    </w:p>
    <w:sectPr w:rsidR="00225B21" w:rsidRPr="00855F77" w:rsidSect="00A14F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25B21"/>
    <w:rsid w:val="00191968"/>
    <w:rsid w:val="001E2F5F"/>
    <w:rsid w:val="00217F8C"/>
    <w:rsid w:val="00225B21"/>
    <w:rsid w:val="00374ED8"/>
    <w:rsid w:val="00855F77"/>
    <w:rsid w:val="00A14FCA"/>
    <w:rsid w:val="00AA3E01"/>
    <w:rsid w:val="00AD4A6F"/>
    <w:rsid w:val="00AD790A"/>
    <w:rsid w:val="00FD29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FC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x.online.wolterskluwer.pl/WKPLOnline/index.rpc" TargetMode="External"/><Relationship Id="rId4"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1125</Words>
  <Characters>6755</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6</cp:revision>
  <cp:lastPrinted>2015-01-23T12:16:00Z</cp:lastPrinted>
  <dcterms:created xsi:type="dcterms:W3CDTF">2015-01-23T09:42:00Z</dcterms:created>
  <dcterms:modified xsi:type="dcterms:W3CDTF">2015-05-13T08:34:00Z</dcterms:modified>
</cp:coreProperties>
</file>