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4A" w:rsidRPr="00CD43C1" w:rsidRDefault="008E21E3" w:rsidP="00CD43C1">
      <w:r w:rsidRPr="00CD43C1">
        <w:t>Wypłaty refundacji składek na ubezpieczenia społeczne dla osób niepełnosprawnych wykonujących działal</w:t>
      </w:r>
      <w:r w:rsidR="00B175AF" w:rsidRPr="00CD43C1">
        <w:t>ność gospodarczą w okresie 01.</w:t>
      </w:r>
      <w:r w:rsidR="00375206" w:rsidRPr="00CD43C1">
        <w:t>0</w:t>
      </w:r>
      <w:r w:rsidR="001E641D" w:rsidRPr="00CD43C1">
        <w:t>2</w:t>
      </w:r>
      <w:r w:rsidR="00B175AF" w:rsidRPr="00CD43C1">
        <w:t>.201</w:t>
      </w:r>
      <w:r w:rsidR="00E43D69" w:rsidRPr="00CD43C1">
        <w:t>9</w:t>
      </w:r>
      <w:r w:rsidR="00B175AF" w:rsidRPr="00CD43C1">
        <w:t xml:space="preserve"> r. – </w:t>
      </w:r>
      <w:r w:rsidR="001E641D" w:rsidRPr="00CD43C1">
        <w:t>28.02</w:t>
      </w:r>
      <w:r w:rsidRPr="00CD43C1">
        <w:t>.201</w:t>
      </w:r>
      <w:r w:rsidR="00E43D69" w:rsidRPr="00CD43C1">
        <w:t>9</w:t>
      </w:r>
      <w:r w:rsidRPr="00CD43C1">
        <w:t xml:space="preserve"> r. w ujęciu kasowym</w:t>
      </w:r>
    </w:p>
    <w:tbl>
      <w:tblPr>
        <w:tblW w:w="108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1645"/>
        <w:gridCol w:w="1645"/>
        <w:gridCol w:w="1645"/>
        <w:gridCol w:w="1140"/>
        <w:gridCol w:w="1397"/>
        <w:gridCol w:w="1140"/>
        <w:gridCol w:w="1893"/>
        <w:gridCol w:w="1140"/>
      </w:tblGrid>
      <w:tr w:rsidR="00C07BDC" w:rsidRPr="00AF3553" w:rsidTr="004F1C75">
        <w:trPr>
          <w:trHeight w:val="2130"/>
          <w:tblHeader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553" w:rsidRPr="00AF3553" w:rsidRDefault="00AF3553" w:rsidP="00CD43C1">
            <w:pPr>
              <w:rPr>
                <w:lang w:eastAsia="pl-PL"/>
              </w:rPr>
            </w:pPr>
            <w:r w:rsidRPr="00AF3553">
              <w:rPr>
                <w:lang w:eastAsia="pl-PL"/>
              </w:rPr>
              <w:t>Okres (</w:t>
            </w:r>
            <w:proofErr w:type="spellStart"/>
            <w:r w:rsidRPr="00AF3553">
              <w:rPr>
                <w:lang w:eastAsia="pl-PL"/>
              </w:rPr>
              <w:t>rrrr</w:t>
            </w:r>
            <w:proofErr w:type="spellEnd"/>
            <w:r w:rsidRPr="00AF3553">
              <w:rPr>
                <w:lang w:eastAsia="pl-PL"/>
              </w:rPr>
              <w:t>-mm)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553" w:rsidRPr="00AF3553" w:rsidRDefault="00AF3553" w:rsidP="00CD43C1">
            <w:pPr>
              <w:rPr>
                <w:lang w:eastAsia="pl-PL"/>
              </w:rPr>
            </w:pPr>
            <w:r w:rsidRPr="00AF3553">
              <w:rPr>
                <w:lang w:eastAsia="pl-PL"/>
              </w:rPr>
              <w:t>Kwoty wypłaconych refundacji - stopień znaczny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553" w:rsidRPr="00AF3553" w:rsidRDefault="00AF3553" w:rsidP="00CD43C1">
            <w:pPr>
              <w:rPr>
                <w:lang w:eastAsia="pl-PL"/>
              </w:rPr>
            </w:pPr>
            <w:r w:rsidRPr="00AF3553">
              <w:rPr>
                <w:lang w:eastAsia="pl-PL"/>
              </w:rPr>
              <w:t>Kwoty wypłaconych refundacji - stopień umiarkowany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553" w:rsidRPr="00AF3553" w:rsidRDefault="00AF3553" w:rsidP="00CD43C1">
            <w:pPr>
              <w:rPr>
                <w:lang w:eastAsia="pl-PL"/>
              </w:rPr>
            </w:pPr>
            <w:r w:rsidRPr="00AF3553">
              <w:rPr>
                <w:lang w:eastAsia="pl-PL"/>
              </w:rPr>
              <w:t>Kwoty wypłaconych refundacji - stopień lekki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553" w:rsidRPr="00AF3553" w:rsidRDefault="00AF3553" w:rsidP="00CD43C1">
            <w:pPr>
              <w:rPr>
                <w:lang w:eastAsia="pl-PL"/>
              </w:rPr>
            </w:pPr>
            <w:r w:rsidRPr="00AF3553">
              <w:rPr>
                <w:lang w:eastAsia="pl-PL"/>
              </w:rPr>
              <w:t>Osoby, którym wypłacono refundację - stopień znaczny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553" w:rsidRPr="00AF3553" w:rsidRDefault="00AF3553" w:rsidP="00CD43C1">
            <w:pPr>
              <w:rPr>
                <w:lang w:eastAsia="pl-PL"/>
              </w:rPr>
            </w:pPr>
            <w:r w:rsidRPr="00AF3553">
              <w:rPr>
                <w:lang w:eastAsia="pl-PL"/>
              </w:rPr>
              <w:t>Osoby, którym wypłacono refundację - stopień umiarkowany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553" w:rsidRPr="00AF3553" w:rsidRDefault="00AF3553" w:rsidP="00CD43C1">
            <w:pPr>
              <w:rPr>
                <w:lang w:eastAsia="pl-PL"/>
              </w:rPr>
            </w:pPr>
            <w:r w:rsidRPr="00AF3553">
              <w:rPr>
                <w:lang w:eastAsia="pl-PL"/>
              </w:rPr>
              <w:t>Osoby, którym wypłacono refundację - stopień lekki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553" w:rsidRPr="00AF3553" w:rsidRDefault="00AF3553" w:rsidP="00CD43C1">
            <w:pPr>
              <w:rPr>
                <w:lang w:eastAsia="pl-PL"/>
              </w:rPr>
            </w:pPr>
            <w:r w:rsidRPr="00AF3553">
              <w:rPr>
                <w:lang w:eastAsia="pl-PL"/>
              </w:rPr>
              <w:t>Wypłaty ogółem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3553" w:rsidRPr="00AF3553" w:rsidRDefault="00AF3553" w:rsidP="00CD43C1">
            <w:pPr>
              <w:rPr>
                <w:lang w:eastAsia="pl-PL"/>
              </w:rPr>
            </w:pPr>
            <w:r w:rsidRPr="00AF3553">
              <w:rPr>
                <w:lang w:eastAsia="pl-PL"/>
              </w:rPr>
              <w:t>Osoby, którym wypłacono refundację - ogółem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2012-12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582,22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pPr>
              <w:rPr>
                <w:color w:val="9C0006"/>
              </w:rPr>
            </w:pPr>
            <w:r w:rsidRPr="00E43D69">
              <w:t>-349,33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232,89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2013-11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85,84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85,84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2013-12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735,70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735,70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  <w:bookmarkStart w:id="0" w:name="_GoBack"/>
        <w:bookmarkEnd w:id="0"/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2014-01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371,12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-185,56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185,56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2014-06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371,12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-185,56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185,56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2014-08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299,30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299,30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2014-10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179,57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179,57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2014-11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296,90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296,90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2014-12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742,24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742,24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2015-01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1 239,96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1 239,96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4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2015-02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378,29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378,29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2015-03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746,52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-196,11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550,41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3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2015-04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392,23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-152,77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239,46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3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2015-05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655,71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392,23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-196,11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851,83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3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lastRenderedPageBreak/>
              <w:t>2015-06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478,92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-196,11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282,81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3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2015-07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632,66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721,19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196,11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1 549,96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4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2015-08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653,71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524,66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392,22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1 570,59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5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2015-09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706,01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150,35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856,36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3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2015-10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227,74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243,35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471,09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3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2015-11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392,23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196,11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588,34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2015-12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708,54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392,22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1 100,76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4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D69" w:rsidRPr="00E43D69" w:rsidRDefault="00E43D69" w:rsidP="00CD43C1">
            <w:r w:rsidRPr="00E43D69">
              <w:t>2016-01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D69" w:rsidRPr="00E43D69" w:rsidRDefault="00E43D69" w:rsidP="00CD43C1">
            <w:r w:rsidRPr="00E43D69">
              <w:t>1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2016-02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200,87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200,87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2016-03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401,74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-200,87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200,87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2016-04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401,74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-196,11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205,63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2016-05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172,79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200,87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373,66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2016-06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647,24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647,24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2016-07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401,74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-200,87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200,87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2016-08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401,74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-25,92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375,82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lastRenderedPageBreak/>
              <w:t>2016-10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401,74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-40,60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361,14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2016-11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468,70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401,74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-196,11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674,33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2016-12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669,56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669,56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2017-01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211,17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211,17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2017-02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331,84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211,17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543,01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2017-04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485,69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485,69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2017-05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286,10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74,93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361,03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2017-08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136,24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136,24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2017-09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422,34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77,43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499,77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2017-10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149,86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149,86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2017-11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422,34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422,34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2017-12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504,08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326,97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831,05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2018-01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763,34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653,17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844,86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2 261,37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10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2018-02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763,08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440,17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982,55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2 185,80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10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2018-03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763,34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440,17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624,77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1 828,28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8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lastRenderedPageBreak/>
              <w:t>2018-04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763,34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88,04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873,02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1 724,40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10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2018-05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763,34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1 902,68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617,67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3 283,69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12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2018-06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793,06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1 628,63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1 093,09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3 514,78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14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2018-07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2 169,06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3 511,81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413,09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6 093,96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22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2018-08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1 526,68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6 443,49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1 286,70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9 256,87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32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2018-09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2 993,92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10 377,35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1 700,41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15 071,68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53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2018-10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5 859,54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26 809,92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7 211,87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39 881,33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136</w:t>
            </w:r>
          </w:p>
        </w:tc>
      </w:tr>
      <w:tr w:rsidR="00E43D69" w:rsidRPr="00AF3553" w:rsidTr="004F1C75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2018-11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30 144,39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69 918,65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28 115,07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128 178,11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399</w:t>
            </w:r>
          </w:p>
        </w:tc>
      </w:tr>
      <w:tr w:rsidR="00E43D69" w:rsidRPr="00AF3553" w:rsidTr="00E43D69">
        <w:trPr>
          <w:trHeight w:val="4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2018-12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564 017,85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2 233 524,93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790 056,47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5 634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3 894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3 587 599,25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10 353</w:t>
            </w:r>
          </w:p>
        </w:tc>
      </w:tr>
      <w:tr w:rsidR="00E43D69" w:rsidRPr="00AF3553" w:rsidTr="00E43D69">
        <w:trPr>
          <w:trHeight w:val="49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2019-01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593 899,76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1 890 504,90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513 953,18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808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4 638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2 527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2 998 357,84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>7 973</w:t>
            </w:r>
          </w:p>
        </w:tc>
      </w:tr>
      <w:tr w:rsidR="00E43D69" w:rsidRPr="00AF3553" w:rsidTr="00E43D69">
        <w:trPr>
          <w:trHeight w:val="495"/>
        </w:trPr>
        <w:tc>
          <w:tcPr>
            <w:tcW w:w="8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3D69" w:rsidRPr="00E43D69" w:rsidRDefault="00E43D69" w:rsidP="00CD43C1">
            <w:r w:rsidRPr="00E43D69">
              <w:t>Suma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 xml:space="preserve">   1 209 703,29 zł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 xml:space="preserve">   4 260 262,03 zł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 xml:space="preserve">   1 349 465,05 zł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/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>
            <w:r w:rsidRPr="00E43D69">
              <w:t xml:space="preserve">        6 819 430,37 zł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43D69" w:rsidRPr="00E43D69" w:rsidRDefault="00E43D69" w:rsidP="00CD43C1"/>
        </w:tc>
      </w:tr>
    </w:tbl>
    <w:p w:rsidR="008E21E3" w:rsidRPr="00C07BDC" w:rsidRDefault="008E21E3" w:rsidP="00CD43C1"/>
    <w:p w:rsidR="008E21E3" w:rsidRDefault="008E21E3" w:rsidP="00CD43C1">
      <w:pPr>
        <w:rPr>
          <w:lang w:eastAsia="pl-PL"/>
        </w:rPr>
      </w:pPr>
      <w:r w:rsidRPr="008E21E3">
        <w:rPr>
          <w:lang w:eastAsia="pl-PL"/>
        </w:rPr>
        <w:t xml:space="preserve">Na podstawie art. 25a- 25c ustawy o rehabilitacji zawodowej i społecznej oraz zatrudnianiu osób niepełnosprawnych z dnia 27 sierpnia 1997 r. </w:t>
      </w:r>
      <w:r w:rsidR="0033225C" w:rsidRPr="0033225C">
        <w:rPr>
          <w:lang w:eastAsia="pl-PL"/>
        </w:rPr>
        <w:t>(</w:t>
      </w:r>
      <w:r w:rsidR="001E641D" w:rsidRPr="001E641D">
        <w:rPr>
          <w:lang w:eastAsia="pl-PL"/>
        </w:rPr>
        <w:t>Dz. U. z 2018 r. poz. 511</w:t>
      </w:r>
      <w:r w:rsidR="00E43D69">
        <w:rPr>
          <w:lang w:eastAsia="pl-PL"/>
        </w:rPr>
        <w:t xml:space="preserve"> ze zm.</w:t>
      </w:r>
      <w:r w:rsidR="0033225C" w:rsidRPr="0033225C">
        <w:rPr>
          <w:lang w:eastAsia="pl-PL"/>
        </w:rPr>
        <w:t>)</w:t>
      </w:r>
    </w:p>
    <w:p w:rsidR="008E21E3" w:rsidRDefault="008E21E3" w:rsidP="00CD43C1">
      <w:pPr>
        <w:rPr>
          <w:lang w:eastAsia="pl-PL"/>
        </w:rPr>
      </w:pPr>
    </w:p>
    <w:p w:rsidR="008E21E3" w:rsidRPr="008E21E3" w:rsidRDefault="005B6997" w:rsidP="00CD43C1">
      <w:pPr>
        <w:rPr>
          <w:lang w:eastAsia="pl-PL"/>
        </w:rPr>
      </w:pPr>
      <w:r>
        <w:rPr>
          <w:lang w:eastAsia="pl-PL"/>
        </w:rPr>
        <w:t xml:space="preserve">Dane według stanu na dzień </w:t>
      </w:r>
      <w:r w:rsidR="001E641D">
        <w:rPr>
          <w:lang w:eastAsia="pl-PL"/>
        </w:rPr>
        <w:t>28-02</w:t>
      </w:r>
      <w:r w:rsidR="008E21E3" w:rsidRPr="008E21E3">
        <w:rPr>
          <w:lang w:eastAsia="pl-PL"/>
        </w:rPr>
        <w:t>-201</w:t>
      </w:r>
      <w:r w:rsidR="00E43D69">
        <w:rPr>
          <w:lang w:eastAsia="pl-PL"/>
        </w:rPr>
        <w:t>9</w:t>
      </w:r>
    </w:p>
    <w:p w:rsidR="008E21E3" w:rsidRDefault="008E21E3" w:rsidP="00CD43C1">
      <w:pPr>
        <w:rPr>
          <w:lang w:eastAsia="pl-PL"/>
        </w:rPr>
      </w:pPr>
    </w:p>
    <w:p w:rsidR="008E21E3" w:rsidRPr="008E21E3" w:rsidRDefault="008E21E3" w:rsidP="00CD43C1">
      <w:pPr>
        <w:rPr>
          <w:lang w:eastAsia="pl-PL"/>
        </w:rPr>
      </w:pPr>
      <w:r w:rsidRPr="008E21E3">
        <w:rPr>
          <w:lang w:eastAsia="pl-PL"/>
        </w:rPr>
        <w:t xml:space="preserve">Zestawienie przedstawia wypłacone </w:t>
      </w:r>
      <w:r w:rsidR="00123CAE">
        <w:rPr>
          <w:lang w:eastAsia="pl-PL"/>
        </w:rPr>
        <w:t xml:space="preserve">w </w:t>
      </w:r>
      <w:r w:rsidR="001E641D">
        <w:rPr>
          <w:lang w:eastAsia="pl-PL"/>
        </w:rPr>
        <w:t>lutym</w:t>
      </w:r>
      <w:r w:rsidR="00B175AF">
        <w:rPr>
          <w:lang w:eastAsia="pl-PL"/>
        </w:rPr>
        <w:t xml:space="preserve"> 201</w:t>
      </w:r>
      <w:r w:rsidR="00E43D69">
        <w:rPr>
          <w:lang w:eastAsia="pl-PL"/>
        </w:rPr>
        <w:t>9</w:t>
      </w:r>
      <w:r w:rsidR="00B175AF">
        <w:rPr>
          <w:lang w:eastAsia="pl-PL"/>
        </w:rPr>
        <w:t xml:space="preserve"> r. kwoty refundacji sk</w:t>
      </w:r>
      <w:r w:rsidRPr="008E21E3">
        <w:rPr>
          <w:lang w:eastAsia="pl-PL"/>
        </w:rPr>
        <w:t>ł</w:t>
      </w:r>
      <w:r w:rsidR="00B175AF">
        <w:rPr>
          <w:lang w:eastAsia="pl-PL"/>
        </w:rPr>
        <w:t>a</w:t>
      </w:r>
      <w:r w:rsidRPr="008E21E3">
        <w:rPr>
          <w:lang w:eastAsia="pl-PL"/>
        </w:rPr>
        <w:t>dek na ubezpieczenia społeczne dla osób niepełnospraw</w:t>
      </w:r>
      <w:r>
        <w:rPr>
          <w:lang w:eastAsia="pl-PL"/>
        </w:rPr>
        <w:t>n</w:t>
      </w:r>
      <w:r w:rsidRPr="008E21E3">
        <w:rPr>
          <w:lang w:eastAsia="pl-PL"/>
        </w:rPr>
        <w:t xml:space="preserve">ych wykonujących działalność gospodarczą (w podziale na stopnie niepełnosprawności oraz okresy sprawozdawcze, za które dokonano wypłaty) oraz liczbę osób, którym wypłacono refundację. Wartości za ostatnie okresy sprawozdawcze są najwyższe w związku z tym, iż wnioski za okresy te są składane bezpośrednio przed lub w trakcie trwania miesiąca, którego dotyczy zestawienie, tj. miesiąca, w którym nastąpiły wypłaty. </w:t>
      </w:r>
      <w:r w:rsidRPr="008E21E3">
        <w:rPr>
          <w:lang w:eastAsia="pl-PL"/>
        </w:rPr>
        <w:lastRenderedPageBreak/>
        <w:t xml:space="preserve">Wartość kwot wypłaconej refundacji w okresie sprawozdawczym jest uzależniona, m. in. od terminów, w których poszczególni Beneficjenci składają prawidłowe wnioski </w:t>
      </w:r>
      <w:r w:rsidR="00611516">
        <w:rPr>
          <w:lang w:eastAsia="pl-PL"/>
        </w:rPr>
        <w:br/>
      </w:r>
      <w:r w:rsidRPr="008E21E3">
        <w:rPr>
          <w:lang w:eastAsia="pl-PL"/>
        </w:rPr>
        <w:t xml:space="preserve">o refundację.    </w:t>
      </w:r>
    </w:p>
    <w:p w:rsidR="008E21E3" w:rsidRPr="008E21E3" w:rsidRDefault="008E21E3" w:rsidP="00CD43C1"/>
    <w:sectPr w:rsidR="008E21E3" w:rsidRPr="008E21E3" w:rsidSect="008E21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68"/>
    <w:rsid w:val="000E58FF"/>
    <w:rsid w:val="00123CAE"/>
    <w:rsid w:val="001D559B"/>
    <w:rsid w:val="001E641D"/>
    <w:rsid w:val="002A5C35"/>
    <w:rsid w:val="0033225C"/>
    <w:rsid w:val="00375206"/>
    <w:rsid w:val="004156D2"/>
    <w:rsid w:val="004F1C75"/>
    <w:rsid w:val="00596695"/>
    <w:rsid w:val="00597768"/>
    <w:rsid w:val="005B6997"/>
    <w:rsid w:val="00611516"/>
    <w:rsid w:val="006715FC"/>
    <w:rsid w:val="0072284A"/>
    <w:rsid w:val="008301F3"/>
    <w:rsid w:val="00845159"/>
    <w:rsid w:val="008E21E3"/>
    <w:rsid w:val="00915977"/>
    <w:rsid w:val="00A74C15"/>
    <w:rsid w:val="00AF3553"/>
    <w:rsid w:val="00B175AF"/>
    <w:rsid w:val="00B718E4"/>
    <w:rsid w:val="00BB6481"/>
    <w:rsid w:val="00C07BDC"/>
    <w:rsid w:val="00CD43C1"/>
    <w:rsid w:val="00D17344"/>
    <w:rsid w:val="00D3380F"/>
    <w:rsid w:val="00E43D69"/>
    <w:rsid w:val="00E934A3"/>
    <w:rsid w:val="00EB62AE"/>
    <w:rsid w:val="00F719DC"/>
    <w:rsid w:val="00F85CB0"/>
    <w:rsid w:val="00F9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26378-2667-4186-A17A-469BB165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43C1"/>
    <w:pPr>
      <w:jc w:val="center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Maria Nejman-Białobrzeska</cp:lastModifiedBy>
  <cp:revision>3</cp:revision>
  <dcterms:created xsi:type="dcterms:W3CDTF">2019-04-23T09:30:00Z</dcterms:created>
  <dcterms:modified xsi:type="dcterms:W3CDTF">2019-04-30T12:37:00Z</dcterms:modified>
</cp:coreProperties>
</file>