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BFBA" w14:textId="6BF9FDEB" w:rsidR="004E5460" w:rsidRPr="00851BA2" w:rsidRDefault="004E5460">
      <w:pPr>
        <w:pStyle w:val="Tytu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Zapytanie </w:t>
      </w:r>
      <w:r w:rsidR="00AE39BA">
        <w:rPr>
          <w:rFonts w:asciiTheme="minorHAnsi" w:hAnsiTheme="minorHAnsi" w:cstheme="minorHAnsi"/>
        </w:rPr>
        <w:t>ofertowe</w:t>
      </w:r>
      <w:r w:rsidRPr="00851BA2">
        <w:rPr>
          <w:rFonts w:asciiTheme="minorHAnsi" w:hAnsiTheme="minorHAnsi" w:cstheme="minorHAnsi"/>
        </w:rPr>
        <w:t xml:space="preserve"> – usługa utrzymania  oraz rozwoju </w:t>
      </w:r>
      <w:r w:rsidR="008D186C" w:rsidRPr="00851BA2">
        <w:rPr>
          <w:rFonts w:asciiTheme="minorHAnsi" w:hAnsiTheme="minorHAnsi" w:cstheme="minorHAnsi"/>
        </w:rPr>
        <w:t>Systemu Obsługi Incydentów</w:t>
      </w:r>
      <w:r w:rsidR="00AE493B" w:rsidRPr="00851BA2">
        <w:rPr>
          <w:rFonts w:asciiTheme="minorHAnsi" w:hAnsiTheme="minorHAnsi" w:cstheme="minorHAnsi"/>
        </w:rPr>
        <w:t xml:space="preserve"> </w:t>
      </w:r>
    </w:p>
    <w:p w14:paraId="51E2300A" w14:textId="77777777" w:rsidR="004E5460" w:rsidRPr="00AE39BA" w:rsidRDefault="004E5460">
      <w:pPr>
        <w:pStyle w:val="Nagwek2"/>
        <w:rPr>
          <w:rFonts w:asciiTheme="minorHAnsi" w:hAnsiTheme="minorHAnsi" w:cstheme="minorHAnsi"/>
          <w:sz w:val="32"/>
          <w:szCs w:val="32"/>
        </w:rPr>
      </w:pPr>
      <w:r w:rsidRPr="00AE39BA">
        <w:rPr>
          <w:rFonts w:asciiTheme="minorHAnsi" w:hAnsiTheme="minorHAnsi" w:cstheme="minorHAnsi"/>
          <w:sz w:val="32"/>
          <w:szCs w:val="32"/>
        </w:rPr>
        <w:t>Nazwa i adres Zamawiającego </w:t>
      </w:r>
    </w:p>
    <w:p w14:paraId="6D59D801" w14:textId="77777777" w:rsidR="004E5460" w:rsidRPr="00851BA2" w:rsidRDefault="004E5460">
      <w:pPr>
        <w:spacing w:before="240"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Państwowy Fundusz Rehabilitacji Osób Niepełnosprawnych</w:t>
      </w:r>
    </w:p>
    <w:p w14:paraId="2AC09F8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Al. Jana Pawła II 13</w:t>
      </w:r>
    </w:p>
    <w:p w14:paraId="3AB550A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00-828 Warszawa</w:t>
      </w:r>
    </w:p>
    <w:p w14:paraId="58E47A4D" w14:textId="14082F12" w:rsidR="004E5460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Adres strony internetowej: </w:t>
      </w:r>
      <w:hyperlink r:id="rId7" w:history="1">
        <w:r w:rsidR="00F032DC" w:rsidRPr="00F62BE0">
          <w:rPr>
            <w:rStyle w:val="Hipercze"/>
            <w:rFonts w:asciiTheme="minorHAnsi" w:hAnsiTheme="minorHAnsi" w:cstheme="minorHAnsi"/>
          </w:rPr>
          <w:t>www.pfron.org.pl</w:t>
        </w:r>
      </w:hyperlink>
    </w:p>
    <w:p w14:paraId="1902842F" w14:textId="1095ACDC" w:rsidR="00F032DC" w:rsidRDefault="00F032DC">
      <w:pPr>
        <w:spacing w:after="0"/>
        <w:rPr>
          <w:rFonts w:asciiTheme="minorHAnsi" w:hAnsiTheme="minorHAnsi" w:cstheme="minorHAnsi"/>
        </w:rPr>
      </w:pPr>
    </w:p>
    <w:p w14:paraId="591526B9" w14:textId="77777777" w:rsidR="00F032DC" w:rsidRDefault="00F032DC">
      <w:pPr>
        <w:spacing w:after="0"/>
        <w:rPr>
          <w:rFonts w:asciiTheme="minorHAnsi" w:hAnsiTheme="minorHAnsi" w:cstheme="minorHAnsi"/>
        </w:rPr>
      </w:pPr>
    </w:p>
    <w:p w14:paraId="675A735A" w14:textId="1B7B66E5" w:rsidR="00F032DC" w:rsidRPr="00566123" w:rsidRDefault="00F032DC" w:rsidP="00F032DC">
      <w:pPr>
        <w:numPr>
          <w:ilvl w:val="0"/>
          <w:numId w:val="23"/>
        </w:numPr>
        <w:spacing w:after="0"/>
        <w:ind w:left="426" w:hanging="426"/>
        <w:jc w:val="both"/>
        <w:rPr>
          <w:rFonts w:eastAsia="Times New Roman"/>
        </w:rPr>
      </w:pPr>
      <w:r w:rsidRPr="00566123">
        <w:rPr>
          <w:rFonts w:eastAsia="Times New Roman"/>
        </w:rPr>
        <w:t>Strony nadają terminom używanym w dalszej treści następujące znaczenie:</w:t>
      </w:r>
    </w:p>
    <w:p w14:paraId="00426A5B" w14:textId="3214A2ED" w:rsidR="00F032DC" w:rsidRDefault="00F032DC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1"/>
        <w:gridCol w:w="7021"/>
      </w:tblGrid>
      <w:tr w:rsidR="00F032DC" w:rsidRPr="00566123" w14:paraId="0FEA4160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10D4781C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Administrator Systemu Informatycznego  (ASI)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2108C7C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>Osoba odpowiedzialna za realizacją zabezpieczeń i odpowiednie funkcjonowanie systemu informatycznego w PFRON</w:t>
            </w:r>
          </w:p>
        </w:tc>
      </w:tr>
      <w:tr w:rsidR="00F032DC" w:rsidRPr="00566123" w14:paraId="6A7F4048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28DAA890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Błąd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678167FD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 xml:space="preserve">Wada powodująca niepoprawne i niezgodne z instrukcją użytkownika działanie poszczególnych funkcji Oprogramowania. </w:t>
            </w:r>
          </w:p>
        </w:tc>
      </w:tr>
      <w:tr w:rsidR="00F032DC" w:rsidRPr="00566123" w14:paraId="533074CC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2ED1EF29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Błąd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6D0CC0A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>Wada powodująca całkowite zatrzymanie lub poważne zakłócenie pracy Oprogramowania  lub poszczególnych jego części, dla której nie ma alternatywnej metody wykonania danej operacji w Oprogramowaniu, uniemożliwiająca korzystanie z podstawowych funkcji Oprogramowania przez jego Użytkowników tak jak było to możliwe przed wystąpieniem Błędu krytycznego.</w:t>
            </w:r>
          </w:p>
        </w:tc>
      </w:tr>
      <w:tr w:rsidR="00F032DC" w:rsidRPr="00566123" w14:paraId="32F23D24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04FD95CC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Błąd Użytkownika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0F6864DD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>Wada powstała na skutek działania Użytkownika, której skutków nie można usunąć z poziomu interfejsu Użytkownika Oprogramowania</w:t>
            </w:r>
          </w:p>
        </w:tc>
      </w:tr>
      <w:tr w:rsidR="00F032DC" w:rsidRPr="00566123" w14:paraId="4B230FAC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1220532A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Czas Naprawy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7D2337DD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 xml:space="preserve">Czas liczony od momentu potwierdzenia przyjęcia przez Wykonawcę prawidłowego Zgłoszenia o Wadzie, do momentu Naprawy. </w:t>
            </w:r>
          </w:p>
        </w:tc>
      </w:tr>
      <w:tr w:rsidR="00F032DC" w:rsidRPr="00566123" w14:paraId="67C0587A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1B1D1307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Czas Reakcji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56FA957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>Czas liczony od momentu dokonania  prawidłowego Zgłoszenia przez Zamawiającego do momentu potwierdzenia przyjęcia Zgłoszenia przez Wykonawcę.</w:t>
            </w:r>
          </w:p>
        </w:tc>
      </w:tr>
      <w:tr w:rsidR="00F032DC" w:rsidRPr="00566123" w14:paraId="6548C137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590F3369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Dokumentacja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37341CFC" w14:textId="77777777" w:rsidR="00F032DC" w:rsidRPr="00566123" w:rsidRDefault="00F032DC" w:rsidP="00E02838">
            <w:pPr>
              <w:spacing w:after="0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</w:rPr>
              <w:t xml:space="preserve">Dokumentacja techniczna i użytkowa </w:t>
            </w:r>
            <w:r>
              <w:rPr>
                <w:rFonts w:eastAsia="Times New Roman"/>
              </w:rPr>
              <w:t>systemu do obsługi incydentów</w:t>
            </w:r>
            <w:r w:rsidRPr="00566123">
              <w:rPr>
                <w:rFonts w:eastAsia="Times New Roman"/>
              </w:rPr>
              <w:t xml:space="preserve"> będąca w posiadaniu Zamawiającego oraz dokumentacja wytworzona, zaktualizowana i dostarczona przez Wykonawcę w ramach Umowy. </w:t>
            </w:r>
          </w:p>
        </w:tc>
      </w:tr>
      <w:tr w:rsidR="00F032DC" w:rsidRPr="00566123" w14:paraId="67095C6E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33295ABC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Dzień Roboczy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548AAC85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Każdy dzień tygodnia od poniedziałku do piątku, za wyjątkiem dni ustawowo wolnych od pracy w Rzeczypospolitej Polskiej.</w:t>
            </w:r>
          </w:p>
        </w:tc>
      </w:tr>
      <w:tr w:rsidR="00F032DC" w:rsidRPr="00566123" w14:paraId="50285227" w14:textId="77777777" w:rsidTr="00E02838">
        <w:tc>
          <w:tcPr>
            <w:tcW w:w="2051" w:type="dxa"/>
            <w:tcBorders>
              <w:top w:val="single" w:sz="12" w:space="0" w:color="000000"/>
            </w:tcBorders>
          </w:tcPr>
          <w:p w14:paraId="6D2BDA4D" w14:textId="77777777" w:rsidR="00F032DC" w:rsidRPr="00566123" w:rsidRDefault="00F032DC" w:rsidP="00E02838">
            <w:pPr>
              <w:spacing w:after="0"/>
              <w:rPr>
                <w:rFonts w:eastAsia="Times New Roman"/>
                <w:color w:val="0000FF"/>
              </w:rPr>
            </w:pPr>
            <w:r w:rsidRPr="00566123">
              <w:rPr>
                <w:rFonts w:eastAsia="Times New Roman"/>
                <w:b/>
                <w:bCs/>
              </w:rPr>
              <w:t>Godziny Robocze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46629CDB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color w:val="000000"/>
              </w:rPr>
            </w:pPr>
            <w:r w:rsidRPr="00566123">
              <w:rPr>
                <w:rFonts w:eastAsia="Times New Roman"/>
                <w:lang w:eastAsia="pl-PL"/>
              </w:rPr>
              <w:t>Godziny od 8.00 do 16.00 w Dni Robocze</w:t>
            </w:r>
          </w:p>
        </w:tc>
      </w:tr>
      <w:tr w:rsidR="00F032DC" w:rsidRPr="00566123" w14:paraId="5572B266" w14:textId="77777777" w:rsidTr="00E02838">
        <w:tc>
          <w:tcPr>
            <w:tcW w:w="2051" w:type="dxa"/>
          </w:tcPr>
          <w:p w14:paraId="35E47EC8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Informacje Poufne</w:t>
            </w:r>
          </w:p>
        </w:tc>
        <w:tc>
          <w:tcPr>
            <w:tcW w:w="7021" w:type="dxa"/>
          </w:tcPr>
          <w:p w14:paraId="19E0859E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 xml:space="preserve">Wszelkie informacje, dokumenty oraz materiały dotyczące działalności jednej ze Stron, do których druga Strona umowy uzyskała dostęp z zastrzeżeniem poufności, w związku z wykonywaniem niniejszej umowy. </w:t>
            </w:r>
            <w:r w:rsidRPr="00566123">
              <w:rPr>
                <w:rFonts w:eastAsia="Times New Roman"/>
                <w:lang w:eastAsia="pl-PL"/>
              </w:rPr>
              <w:lastRenderedPageBreak/>
              <w:t xml:space="preserve">Informacjami Poufnymi są w szczególności dane dotyczące stanu bezpieczeństwa systemów teleinformatycznych Zamawiającego, a także wszelkie informacje finansowe, organizacyjne, technologiczne, dane osobowe oraz inne informacje o działalności jednej ze Stron umowy, które posiadają wartość gospodarczą. </w:t>
            </w:r>
          </w:p>
        </w:tc>
      </w:tr>
      <w:tr w:rsidR="00F032DC" w:rsidRPr="00566123" w14:paraId="4F17E665" w14:textId="77777777" w:rsidTr="00E02838">
        <w:tc>
          <w:tcPr>
            <w:tcW w:w="2051" w:type="dxa"/>
          </w:tcPr>
          <w:p w14:paraId="2C32CF25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lastRenderedPageBreak/>
              <w:t>Naprawa</w:t>
            </w:r>
          </w:p>
        </w:tc>
        <w:tc>
          <w:tcPr>
            <w:tcW w:w="7021" w:type="dxa"/>
          </w:tcPr>
          <w:p w14:paraId="34417AFC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Trwałe usunięcie Wady poprzez usuniecie przyczyn powstania Wady skutkujące przywróceniem pełnej sprawności Oprogramowania, w tym również zakończenie innych działań naprawczych.</w:t>
            </w:r>
          </w:p>
        </w:tc>
      </w:tr>
      <w:tr w:rsidR="00F032DC" w:rsidRPr="00566123" w14:paraId="6861A63F" w14:textId="77777777" w:rsidTr="00E02838">
        <w:tc>
          <w:tcPr>
            <w:tcW w:w="2051" w:type="dxa"/>
          </w:tcPr>
          <w:p w14:paraId="1EAA9F3F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Oprogramowanie</w:t>
            </w:r>
          </w:p>
        </w:tc>
        <w:tc>
          <w:tcPr>
            <w:tcW w:w="7021" w:type="dxa"/>
          </w:tcPr>
          <w:p w14:paraId="12ABEAF6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6D0D33">
              <w:rPr>
                <w:rFonts w:eastAsia="Times New Roman"/>
                <w:lang w:eastAsia="pl-PL"/>
              </w:rPr>
              <w:t xml:space="preserve">System JIRA w wersji </w:t>
            </w:r>
            <w:r w:rsidRPr="006C7CFA">
              <w:rPr>
                <w:rFonts w:eastAsia="Times New Roman"/>
                <w:spacing w:val="-3"/>
              </w:rPr>
              <w:t xml:space="preserve">7.12.1 </w:t>
            </w:r>
            <w:r w:rsidRPr="006D0D33">
              <w:rPr>
                <w:rFonts w:eastAsia="Times New Roman"/>
                <w:lang w:eastAsia="pl-PL"/>
              </w:rPr>
              <w:t>wraz z dodatkami, będący w posiadaniu Zamawiającego.</w:t>
            </w:r>
          </w:p>
        </w:tc>
      </w:tr>
      <w:tr w:rsidR="00F032DC" w:rsidRPr="00566123" w14:paraId="659B276C" w14:textId="77777777" w:rsidTr="00E02838">
        <w:tc>
          <w:tcPr>
            <w:tcW w:w="2051" w:type="dxa"/>
            <w:tcBorders>
              <w:bottom w:val="single" w:sz="12" w:space="0" w:color="000000"/>
            </w:tcBorders>
          </w:tcPr>
          <w:p w14:paraId="7B1DD434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Portal Serwisowy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4262DBE8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System informatyczny wykorzystywany przez Zamawiającego (Jira) służący do ewidencji i obsługi Zgłoszeń, wniosków i Zamówień zapewniający niezbędny poziom wymiany informacji pomiędzy Zamawiającym a Wykonawcą.</w:t>
            </w:r>
          </w:p>
        </w:tc>
      </w:tr>
      <w:tr w:rsidR="00F032DC" w:rsidRPr="00566123" w14:paraId="47959489" w14:textId="77777777" w:rsidTr="00E02838">
        <w:tc>
          <w:tcPr>
            <w:tcW w:w="2051" w:type="dxa"/>
            <w:tcBorders>
              <w:bottom w:val="single" w:sz="12" w:space="0" w:color="000000"/>
            </w:tcBorders>
          </w:tcPr>
          <w:p w14:paraId="26CBADF7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Roboczogodzina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6EDDA1D0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Jednostka miary pracochłonności wyrażająca normę ilościową pracy wykonanej przez jednego pracownika Wykonawcy w czasie jednej godziny.</w:t>
            </w:r>
          </w:p>
        </w:tc>
      </w:tr>
      <w:tr w:rsidR="00F032DC" w:rsidRPr="00566123" w14:paraId="65487A92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50701BDE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Umowa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77E9F427" w14:textId="29E0E47C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</w:rPr>
            </w:pPr>
            <w:r w:rsidRPr="00566123">
              <w:rPr>
                <w:rFonts w:eastAsia="Times New Roman"/>
                <w:lang w:eastAsia="pl-PL"/>
              </w:rPr>
              <w:t>Umowa wraz ze wszystkimi aneksami i załącznikami do Umowy.</w:t>
            </w:r>
          </w:p>
        </w:tc>
      </w:tr>
      <w:tr w:rsidR="00F032DC" w:rsidRPr="00566123" w14:paraId="072DC67C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28931D5D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Usterka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2EDA48F6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Każda Wada niebędąca Błędem lub Błędem krytycznym. Usterką jest w szczególności Wada powodująca zakłócenie pracy Oprogramowania mogąca mieć wpływ na jego funkcjonalność, natomiast nieograniczająca zdolności operacyjnych Oprogramowania.</w:t>
            </w:r>
          </w:p>
        </w:tc>
      </w:tr>
      <w:tr w:rsidR="00F032DC" w:rsidRPr="00566123" w14:paraId="04C39CBB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0224309B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Użytkownik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41696E92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Pracownik Zamawiającego lub osoba świadcząca prace zlecone na rzecz Zamawiającego korzystający z Oprogramowania lub administrujący Oprogramowaniem.</w:t>
            </w:r>
          </w:p>
        </w:tc>
      </w:tr>
      <w:tr w:rsidR="00F032DC" w:rsidRPr="00566123" w14:paraId="62641D60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5F605333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Wada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0D64BE3F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Wada Oprogramowania uniemożliwiająca niezakłócone korzystanie z wszystkich/poszczególnych funkcjonalności Oprogramowania.</w:t>
            </w:r>
          </w:p>
          <w:p w14:paraId="6CE32DE2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Wady mogą mieć charakter Błędów, Błędów Użytkownika, Błędów krytycznych oraz Usterek.</w:t>
            </w:r>
          </w:p>
        </w:tc>
      </w:tr>
      <w:tr w:rsidR="00F032DC" w:rsidRPr="00566123" w14:paraId="43C343DB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35C7E9D5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Zamówienie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516250D1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>Przekazanie Wykonawcy zapotrzebowania na wykonanie określonych Produktów lub innych prac w ramach usługi rozwoju Oprogramowania</w:t>
            </w:r>
          </w:p>
        </w:tc>
      </w:tr>
      <w:tr w:rsidR="00F032DC" w:rsidRPr="00566123" w14:paraId="066C5C55" w14:textId="77777777" w:rsidTr="00E02838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350F11E9" w14:textId="77777777" w:rsidR="00F032DC" w:rsidRPr="00566123" w:rsidRDefault="00F032DC" w:rsidP="00E02838">
            <w:pPr>
              <w:spacing w:after="0"/>
              <w:rPr>
                <w:rFonts w:eastAsia="Times New Roman"/>
                <w:b/>
                <w:bCs/>
              </w:rPr>
            </w:pPr>
            <w:r w:rsidRPr="00566123">
              <w:rPr>
                <w:rFonts w:eastAsia="Times New Roman"/>
                <w:b/>
                <w:bCs/>
              </w:rPr>
              <w:t>Zgłoszenie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1E2ED9F5" w14:textId="77777777" w:rsidR="00F032DC" w:rsidRPr="00566123" w:rsidRDefault="00F032DC" w:rsidP="00E02838">
            <w:pPr>
              <w:spacing w:after="0"/>
              <w:ind w:left="37"/>
              <w:jc w:val="both"/>
              <w:rPr>
                <w:rFonts w:eastAsia="Times New Roman"/>
                <w:lang w:eastAsia="pl-PL"/>
              </w:rPr>
            </w:pPr>
            <w:r w:rsidRPr="00566123">
              <w:rPr>
                <w:rFonts w:eastAsia="Times New Roman"/>
                <w:lang w:eastAsia="pl-PL"/>
              </w:rPr>
              <w:t xml:space="preserve">Przekazanie Wykonawcy, w ramach usługi utrzymania Oprogramowania i gwarancji, informacji na temat Wady. </w:t>
            </w:r>
          </w:p>
        </w:tc>
      </w:tr>
    </w:tbl>
    <w:p w14:paraId="5CBB19AA" w14:textId="77777777" w:rsidR="00F032DC" w:rsidRPr="00851BA2" w:rsidRDefault="00F032DC">
      <w:pPr>
        <w:spacing w:after="0"/>
        <w:rPr>
          <w:rFonts w:asciiTheme="minorHAnsi" w:hAnsiTheme="minorHAnsi" w:cstheme="minorHAnsi"/>
        </w:rPr>
      </w:pPr>
    </w:p>
    <w:p w14:paraId="5034AF11" w14:textId="77777777" w:rsidR="004E5460" w:rsidRPr="00AE39BA" w:rsidRDefault="004E5460">
      <w:pPr>
        <w:pStyle w:val="Nagwek2"/>
        <w:rPr>
          <w:rFonts w:asciiTheme="minorHAnsi" w:hAnsiTheme="minorHAnsi" w:cstheme="minorHAnsi"/>
          <w:sz w:val="32"/>
          <w:szCs w:val="32"/>
        </w:rPr>
      </w:pPr>
      <w:r w:rsidRPr="00AE39BA">
        <w:rPr>
          <w:rFonts w:asciiTheme="minorHAnsi" w:hAnsiTheme="minorHAnsi" w:cstheme="minorHAnsi"/>
          <w:sz w:val="32"/>
          <w:szCs w:val="32"/>
        </w:rPr>
        <w:t>Przedmiot zapytania</w:t>
      </w:r>
    </w:p>
    <w:p w14:paraId="102D09E0" w14:textId="6874B79D" w:rsidR="004E5460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Przedmiotem zapytania </w:t>
      </w:r>
      <w:r w:rsidR="00D602B5">
        <w:rPr>
          <w:rFonts w:asciiTheme="minorHAnsi" w:hAnsiTheme="minorHAnsi" w:cstheme="minorHAnsi"/>
        </w:rPr>
        <w:t>ofertowego</w:t>
      </w:r>
      <w:r w:rsidRPr="00851BA2">
        <w:rPr>
          <w:rFonts w:asciiTheme="minorHAnsi" w:hAnsiTheme="minorHAnsi" w:cstheme="minorHAnsi"/>
        </w:rPr>
        <w:t xml:space="preserve"> jest usługa utrzymania i rozwoju </w:t>
      </w:r>
      <w:r w:rsidR="008D186C" w:rsidRPr="00851BA2">
        <w:rPr>
          <w:rFonts w:asciiTheme="minorHAnsi" w:hAnsiTheme="minorHAnsi" w:cstheme="minorHAnsi"/>
        </w:rPr>
        <w:t>Systemu Obsługi Incydentów</w:t>
      </w:r>
      <w:r w:rsidR="0056400D" w:rsidRPr="00851BA2">
        <w:rPr>
          <w:rFonts w:asciiTheme="minorHAnsi" w:hAnsiTheme="minorHAnsi" w:cstheme="minorHAnsi"/>
        </w:rPr>
        <w:t xml:space="preserve"> (SOI)</w:t>
      </w:r>
      <w:r w:rsidR="00B0790D" w:rsidRPr="00851BA2">
        <w:rPr>
          <w:rFonts w:asciiTheme="minorHAnsi" w:hAnsiTheme="minorHAnsi" w:cstheme="minorHAnsi"/>
        </w:rPr>
        <w:t xml:space="preserve"> </w:t>
      </w:r>
      <w:r w:rsidR="00667B1B" w:rsidRPr="00851BA2">
        <w:rPr>
          <w:rFonts w:asciiTheme="minorHAnsi" w:hAnsiTheme="minorHAnsi" w:cstheme="minorHAnsi"/>
        </w:rPr>
        <w:t>(dalej: Oprogramowanie)</w:t>
      </w:r>
      <w:r w:rsidR="00861E7D" w:rsidRPr="00851BA2">
        <w:rPr>
          <w:rFonts w:asciiTheme="minorHAnsi" w:hAnsiTheme="minorHAnsi" w:cstheme="minorHAnsi"/>
        </w:rPr>
        <w:t xml:space="preserve">, </w:t>
      </w:r>
      <w:r w:rsidR="00E65889" w:rsidRPr="00851BA2">
        <w:rPr>
          <w:rFonts w:asciiTheme="minorHAnsi" w:hAnsiTheme="minorHAnsi" w:cstheme="minorHAnsi"/>
        </w:rPr>
        <w:t>zaimp</w:t>
      </w:r>
      <w:r w:rsidR="0056400D" w:rsidRPr="00851BA2">
        <w:rPr>
          <w:rFonts w:asciiTheme="minorHAnsi" w:hAnsiTheme="minorHAnsi" w:cstheme="minorHAnsi"/>
        </w:rPr>
        <w:t xml:space="preserve">lementowany na platformie JIRA, </w:t>
      </w:r>
      <w:r w:rsidR="00B0790D" w:rsidRPr="00851BA2">
        <w:rPr>
          <w:rFonts w:asciiTheme="minorHAnsi" w:hAnsiTheme="minorHAnsi" w:cstheme="minorHAnsi"/>
        </w:rPr>
        <w:t>będ</w:t>
      </w:r>
      <w:r w:rsidR="0056400D" w:rsidRPr="00851BA2">
        <w:rPr>
          <w:rFonts w:asciiTheme="minorHAnsi" w:hAnsiTheme="minorHAnsi" w:cstheme="minorHAnsi"/>
        </w:rPr>
        <w:t>ąca</w:t>
      </w:r>
      <w:r w:rsidR="00667B1B" w:rsidRPr="00851BA2">
        <w:rPr>
          <w:rFonts w:asciiTheme="minorHAnsi" w:hAnsiTheme="minorHAnsi" w:cstheme="minorHAnsi"/>
        </w:rPr>
        <w:t xml:space="preserve"> w posiadaniu Zamawiającego. </w:t>
      </w:r>
    </w:p>
    <w:p w14:paraId="736E43C0" w14:textId="77777777" w:rsidR="00F1169A" w:rsidRPr="00851BA2" w:rsidRDefault="00F1169A" w:rsidP="00F1169A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Produkty będące w posiadaniu Zamawiającego</w:t>
      </w:r>
    </w:p>
    <w:p w14:paraId="682A15FB" w14:textId="77777777" w:rsidR="00F1169A" w:rsidRPr="00851BA2" w:rsidRDefault="00F1169A" w:rsidP="00F1169A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JIRA Core (Server) w wersji 7.12.1 50 Users</w:t>
      </w:r>
    </w:p>
    <w:p w14:paraId="319A3A7E" w14:textId="77777777" w:rsidR="00F1169A" w:rsidRPr="00851BA2" w:rsidRDefault="00F1169A" w:rsidP="00F1169A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Confluence (Server) 50 Users</w:t>
      </w:r>
    </w:p>
    <w:p w14:paraId="04C2B45E" w14:textId="14F3CA83" w:rsidR="00F1169A" w:rsidRPr="00851BA2" w:rsidRDefault="00F1169A" w:rsidP="00F1169A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ScriptRunner for J</w:t>
      </w:r>
      <w:r w:rsidR="00F032DC">
        <w:rPr>
          <w:rFonts w:asciiTheme="minorHAnsi" w:hAnsiTheme="minorHAnsi" w:cstheme="minorHAnsi"/>
        </w:rPr>
        <w:t>IRA</w:t>
      </w:r>
      <w:r w:rsidRPr="00851BA2">
        <w:rPr>
          <w:rFonts w:asciiTheme="minorHAnsi" w:hAnsiTheme="minorHAnsi" w:cstheme="minorHAnsi"/>
        </w:rPr>
        <w:t xml:space="preserve"> for JIRA (Server) 50 Users</w:t>
      </w:r>
    </w:p>
    <w:p w14:paraId="3C8E1D4A" w14:textId="77777777" w:rsidR="00F1169A" w:rsidRPr="00851BA2" w:rsidRDefault="00F1169A" w:rsidP="00F1169A">
      <w:pPr>
        <w:pStyle w:val="Akapitzlist"/>
        <w:numPr>
          <w:ilvl w:val="0"/>
          <w:numId w:val="16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SLA PowerBox - On Time Service Delivery for JIRA Core (Server) 50 Users</w:t>
      </w:r>
    </w:p>
    <w:p w14:paraId="50E16F0E" w14:textId="77777777" w:rsidR="00F1169A" w:rsidRPr="00851BA2" w:rsidRDefault="00F1169A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2AE0A307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Usługa utrzymania</w:t>
      </w:r>
    </w:p>
    <w:p w14:paraId="06DB166B" w14:textId="52867864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Świadczenie </w:t>
      </w:r>
      <w:r w:rsidRPr="00851BA2">
        <w:rPr>
          <w:rFonts w:asciiTheme="minorHAnsi" w:hAnsiTheme="minorHAnsi" w:cstheme="minorHAnsi"/>
          <w:b/>
        </w:rPr>
        <w:t>usługi utrzymania</w:t>
      </w:r>
      <w:r w:rsidRPr="00851BA2">
        <w:rPr>
          <w:rFonts w:asciiTheme="minorHAnsi" w:hAnsiTheme="minorHAnsi" w:cstheme="minorHAnsi"/>
        </w:rPr>
        <w:t xml:space="preserve"> przez okres </w:t>
      </w:r>
      <w:r w:rsidR="00554CEA" w:rsidRPr="00851BA2">
        <w:rPr>
          <w:rFonts w:asciiTheme="minorHAnsi" w:hAnsiTheme="minorHAnsi" w:cstheme="minorHAnsi"/>
        </w:rPr>
        <w:t>12</w:t>
      </w:r>
      <w:r w:rsidRPr="00851BA2">
        <w:rPr>
          <w:rFonts w:asciiTheme="minorHAnsi" w:hAnsiTheme="minorHAnsi" w:cstheme="minorHAnsi"/>
        </w:rPr>
        <w:t xml:space="preserve"> miesięcy obejmować będzie:</w:t>
      </w:r>
    </w:p>
    <w:p w14:paraId="151F0D6E" w14:textId="5D226743" w:rsidR="00B43D75" w:rsidRPr="00851BA2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B43D75" w:rsidRPr="00851BA2">
        <w:rPr>
          <w:rFonts w:asciiTheme="minorHAnsi" w:hAnsiTheme="minorHAnsi" w:cstheme="minorHAnsi"/>
        </w:rPr>
        <w:t>apewnieni</w:t>
      </w:r>
      <w:r w:rsidRPr="00851BA2">
        <w:rPr>
          <w:rFonts w:asciiTheme="minorHAnsi" w:hAnsiTheme="minorHAnsi" w:cstheme="minorHAnsi"/>
        </w:rPr>
        <w:t>e</w:t>
      </w:r>
      <w:r w:rsidR="00B43D75" w:rsidRPr="00851BA2">
        <w:rPr>
          <w:rFonts w:asciiTheme="minorHAnsi" w:hAnsiTheme="minorHAnsi" w:cstheme="minorHAnsi"/>
        </w:rPr>
        <w:t xml:space="preserve"> ciągłości działania </w:t>
      </w:r>
      <w:r w:rsidR="0093688B" w:rsidRPr="00851BA2">
        <w:rPr>
          <w:rFonts w:asciiTheme="minorHAnsi" w:hAnsiTheme="minorHAnsi" w:cstheme="minorHAnsi"/>
        </w:rPr>
        <w:t>Oprogramowania o</w:t>
      </w:r>
      <w:r w:rsidR="00667B1B" w:rsidRPr="00851BA2">
        <w:rPr>
          <w:rFonts w:asciiTheme="minorHAnsi" w:hAnsiTheme="minorHAnsi" w:cstheme="minorHAnsi"/>
        </w:rPr>
        <w:t>raz wsparcie dla ASI,</w:t>
      </w:r>
    </w:p>
    <w:p w14:paraId="431980FD" w14:textId="7ED7E81D" w:rsidR="004E5460" w:rsidRPr="00851BA2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</w:t>
      </w:r>
      <w:r w:rsidR="004E5460" w:rsidRPr="00851BA2">
        <w:rPr>
          <w:rFonts w:asciiTheme="minorHAnsi" w:hAnsiTheme="minorHAnsi" w:cstheme="minorHAnsi"/>
        </w:rPr>
        <w:t xml:space="preserve">suwanie </w:t>
      </w:r>
      <w:r w:rsidR="00357CE7">
        <w:rPr>
          <w:rFonts w:asciiTheme="minorHAnsi" w:hAnsiTheme="minorHAnsi" w:cstheme="minorHAnsi"/>
        </w:rPr>
        <w:t>W</w:t>
      </w:r>
      <w:r w:rsidR="004E5460" w:rsidRPr="00851BA2">
        <w:rPr>
          <w:rFonts w:asciiTheme="minorHAnsi" w:hAnsiTheme="minorHAnsi" w:cstheme="minorHAnsi"/>
        </w:rPr>
        <w:t xml:space="preserve">ad występujących w </w:t>
      </w:r>
      <w:r w:rsidR="00667B1B" w:rsidRPr="00851BA2">
        <w:rPr>
          <w:rFonts w:asciiTheme="minorHAnsi" w:hAnsiTheme="minorHAnsi" w:cstheme="minorHAnsi"/>
        </w:rPr>
        <w:t>Oprogramowaniu</w:t>
      </w:r>
      <w:r w:rsidR="004E5460" w:rsidRPr="00851BA2">
        <w:rPr>
          <w:rFonts w:asciiTheme="minorHAnsi" w:hAnsiTheme="minorHAnsi" w:cstheme="minorHAnsi"/>
        </w:rPr>
        <w:t xml:space="preserve">, w tym </w:t>
      </w:r>
      <w:r w:rsidR="00357CE7">
        <w:rPr>
          <w:rFonts w:asciiTheme="minorHAnsi" w:hAnsiTheme="minorHAnsi" w:cstheme="minorHAnsi"/>
        </w:rPr>
        <w:t>W</w:t>
      </w:r>
      <w:r w:rsidR="004E5460" w:rsidRPr="00851BA2">
        <w:rPr>
          <w:rFonts w:asciiTheme="minorHAnsi" w:hAnsiTheme="minorHAnsi" w:cstheme="minorHAnsi"/>
        </w:rPr>
        <w:t>ad powstałych na skutek implementacji zmian w ramach realizacji usługi rozwoju</w:t>
      </w:r>
      <w:r w:rsidR="0093688B" w:rsidRPr="00851BA2">
        <w:rPr>
          <w:rFonts w:asciiTheme="minorHAnsi" w:hAnsiTheme="minorHAnsi" w:cstheme="minorHAnsi"/>
        </w:rPr>
        <w:t>,</w:t>
      </w:r>
      <w:r w:rsidR="004E5460" w:rsidRPr="00851BA2">
        <w:rPr>
          <w:rFonts w:asciiTheme="minorHAnsi" w:hAnsiTheme="minorHAnsi" w:cstheme="minorHAnsi"/>
        </w:rPr>
        <w:t xml:space="preserve"> jak również wad ukrytych,</w:t>
      </w:r>
    </w:p>
    <w:p w14:paraId="44763BA8" w14:textId="4572EA28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4E5460" w:rsidRPr="00851BA2">
        <w:rPr>
          <w:rFonts w:asciiTheme="minorHAnsi" w:hAnsiTheme="minorHAnsi" w:cstheme="minorHAnsi"/>
        </w:rPr>
        <w:t>apewnienie stałej opieki konsultantów i wsparciu użytkowników przy rozwiązywaniu bieżących problemów związany</w:t>
      </w:r>
      <w:r w:rsidR="0093688B" w:rsidRPr="00851BA2">
        <w:rPr>
          <w:rFonts w:asciiTheme="minorHAnsi" w:hAnsiTheme="minorHAnsi" w:cstheme="minorHAnsi"/>
        </w:rPr>
        <w:t>ch z obsługą i funkcjonowaniem Oprogramowania</w:t>
      </w:r>
      <w:r w:rsidR="004E5460" w:rsidRPr="00851BA2">
        <w:rPr>
          <w:rFonts w:asciiTheme="minorHAnsi" w:hAnsiTheme="minorHAnsi" w:cstheme="minorHAnsi"/>
        </w:rPr>
        <w:t xml:space="preserve">, </w:t>
      </w:r>
    </w:p>
    <w:p w14:paraId="62A94088" w14:textId="61D3BB42" w:rsidR="00AB5143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a</w:t>
      </w:r>
      <w:r w:rsidR="0056400D" w:rsidRPr="00851BA2">
        <w:rPr>
          <w:rFonts w:asciiTheme="minorHAnsi" w:hAnsiTheme="minorHAnsi" w:cstheme="minorHAnsi"/>
          <w:lang w:eastAsia="pl-PL"/>
        </w:rPr>
        <w:t xml:space="preserve">ktualizacje </w:t>
      </w:r>
      <w:r w:rsidR="0093688B" w:rsidRPr="00851BA2">
        <w:rPr>
          <w:rFonts w:asciiTheme="minorHAnsi" w:hAnsiTheme="minorHAnsi" w:cstheme="minorHAnsi"/>
          <w:lang w:eastAsia="pl-PL"/>
        </w:rPr>
        <w:t>środowiska</w:t>
      </w:r>
      <w:r w:rsidR="00AB5143" w:rsidRPr="00851BA2">
        <w:rPr>
          <w:rFonts w:asciiTheme="minorHAnsi" w:hAnsiTheme="minorHAnsi" w:cstheme="minorHAnsi"/>
          <w:lang w:eastAsia="pl-PL"/>
        </w:rPr>
        <w:t xml:space="preserve"> do najnowszych, stabilnych wersji za zgodą i na zlecenie Zamawiającego,</w:t>
      </w:r>
    </w:p>
    <w:p w14:paraId="0478B875" w14:textId="0EC450EF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>a</w:t>
      </w:r>
      <w:r w:rsidR="0056400D" w:rsidRPr="00851BA2">
        <w:rPr>
          <w:rFonts w:asciiTheme="minorHAnsi" w:hAnsiTheme="minorHAnsi" w:cstheme="minorHAnsi"/>
        </w:rPr>
        <w:t>ktualizacje</w:t>
      </w:r>
      <w:r w:rsidR="004E5460" w:rsidRPr="00851BA2">
        <w:rPr>
          <w:rFonts w:asciiTheme="minorHAnsi" w:hAnsiTheme="minorHAnsi" w:cstheme="minorHAnsi"/>
        </w:rPr>
        <w:t xml:space="preserve"> dokumentacji użytkowej i technicznej.</w:t>
      </w:r>
    </w:p>
    <w:p w14:paraId="26490299" w14:textId="1F5F6636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Usługa utrzymania</w:t>
      </w:r>
      <w:r w:rsidR="0056400D" w:rsidRPr="00851BA2">
        <w:rPr>
          <w:rFonts w:asciiTheme="minorHAnsi" w:hAnsiTheme="minorHAnsi" w:cstheme="minorHAnsi"/>
          <w:lang w:eastAsia="pl-PL"/>
        </w:rPr>
        <w:t>,</w:t>
      </w:r>
      <w:r w:rsidRPr="00851BA2">
        <w:rPr>
          <w:rFonts w:asciiTheme="minorHAnsi" w:hAnsiTheme="minorHAnsi" w:cstheme="minorHAnsi"/>
          <w:lang w:eastAsia="pl-PL"/>
        </w:rPr>
        <w:t xml:space="preserve"> o której mowa w pkt. </w:t>
      </w:r>
      <w:r w:rsidR="0079111C" w:rsidRPr="00851BA2">
        <w:rPr>
          <w:rFonts w:asciiTheme="minorHAnsi" w:hAnsiTheme="minorHAnsi" w:cstheme="minorHAnsi"/>
          <w:lang w:eastAsia="pl-PL"/>
        </w:rPr>
        <w:t>2</w:t>
      </w:r>
      <w:r w:rsidRPr="00851BA2">
        <w:rPr>
          <w:rFonts w:asciiTheme="minorHAnsi" w:hAnsiTheme="minorHAnsi" w:cstheme="minorHAnsi"/>
          <w:lang w:eastAsia="pl-PL"/>
        </w:rPr>
        <w:t>-</w:t>
      </w:r>
      <w:r w:rsidR="0079111C" w:rsidRPr="00851BA2">
        <w:rPr>
          <w:rFonts w:asciiTheme="minorHAnsi" w:hAnsiTheme="minorHAnsi" w:cstheme="minorHAnsi"/>
          <w:lang w:eastAsia="pl-PL"/>
        </w:rPr>
        <w:t>5</w:t>
      </w:r>
      <w:r w:rsidRPr="00851BA2">
        <w:rPr>
          <w:rFonts w:asciiTheme="minorHAnsi" w:hAnsiTheme="minorHAnsi" w:cstheme="minorHAnsi"/>
          <w:lang w:eastAsia="pl-PL"/>
        </w:rPr>
        <w:t xml:space="preserve"> będzie realizowana </w:t>
      </w:r>
      <w:r w:rsidR="00D60B4F" w:rsidRPr="00851BA2">
        <w:rPr>
          <w:rFonts w:asciiTheme="minorHAnsi" w:hAnsiTheme="minorHAnsi" w:cstheme="minorHAnsi"/>
          <w:lang w:eastAsia="pl-PL"/>
        </w:rPr>
        <w:t xml:space="preserve">za pomocą </w:t>
      </w:r>
      <w:r w:rsidR="009A06D1">
        <w:rPr>
          <w:rFonts w:asciiTheme="minorHAnsi" w:hAnsiTheme="minorHAnsi" w:cstheme="minorHAnsi"/>
          <w:lang w:eastAsia="pl-PL"/>
        </w:rPr>
        <w:t>P</w:t>
      </w:r>
      <w:r w:rsidR="00D60B4F" w:rsidRPr="0068069F">
        <w:rPr>
          <w:rFonts w:asciiTheme="minorHAnsi" w:hAnsiTheme="minorHAnsi" w:cstheme="minorHAnsi"/>
          <w:lang w:eastAsia="pl-PL"/>
        </w:rPr>
        <w:t xml:space="preserve">ortalu </w:t>
      </w:r>
      <w:r w:rsidR="009A06D1">
        <w:rPr>
          <w:rFonts w:asciiTheme="minorHAnsi" w:hAnsiTheme="minorHAnsi" w:cstheme="minorHAnsi"/>
          <w:lang w:eastAsia="pl-PL"/>
        </w:rPr>
        <w:t>S</w:t>
      </w:r>
      <w:r w:rsidR="00D60B4F" w:rsidRPr="0068069F">
        <w:rPr>
          <w:rFonts w:asciiTheme="minorHAnsi" w:hAnsiTheme="minorHAnsi" w:cstheme="minorHAnsi"/>
          <w:lang w:eastAsia="pl-PL"/>
        </w:rPr>
        <w:t>erwisowego Zamawiającego oraz</w:t>
      </w:r>
      <w:r w:rsidR="008E7500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>drogą elektroniczną (e-mail)</w:t>
      </w:r>
      <w:r w:rsidR="008E7500" w:rsidRPr="0068069F">
        <w:rPr>
          <w:rFonts w:asciiTheme="minorHAnsi" w:hAnsiTheme="minorHAnsi" w:cstheme="minorHAnsi"/>
          <w:lang w:eastAsia="pl-PL"/>
        </w:rPr>
        <w:t xml:space="preserve"> lub</w:t>
      </w:r>
      <w:r w:rsidR="00F85C47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 xml:space="preserve"> telefoniczną, od poniedziałku</w:t>
      </w:r>
      <w:r w:rsidR="00FC61E4" w:rsidRPr="0068069F">
        <w:rPr>
          <w:rFonts w:asciiTheme="minorHAnsi" w:hAnsiTheme="minorHAnsi" w:cstheme="minorHAnsi"/>
          <w:lang w:eastAsia="pl-PL"/>
        </w:rPr>
        <w:t xml:space="preserve"> do piątku w godzinach 8</w:t>
      </w:r>
      <w:r w:rsidR="00FC61E4" w:rsidRPr="00851BA2">
        <w:rPr>
          <w:rFonts w:asciiTheme="minorHAnsi" w:hAnsiTheme="minorHAnsi" w:cstheme="minorHAnsi"/>
          <w:lang w:eastAsia="pl-PL"/>
        </w:rPr>
        <w:t>:00 – 16</w:t>
      </w:r>
      <w:r w:rsidRPr="00851BA2">
        <w:rPr>
          <w:rFonts w:asciiTheme="minorHAnsi" w:hAnsiTheme="minorHAnsi" w:cstheme="minorHAnsi"/>
          <w:lang w:eastAsia="pl-PL"/>
        </w:rPr>
        <w:t>:00.</w:t>
      </w:r>
    </w:p>
    <w:p w14:paraId="59F573DC" w14:textId="44A1B1DA" w:rsidR="004E5460" w:rsidRDefault="00851BA2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Rodzaj Wady wskazuje Zamawiający. Wykonawca uprawniony jest do weryfikacji rodzaju zgłoszonej Wady, z tym zastrzeżeniem, że ostateczna decyzja odnośnie kategorii Wady należy do Zamawiającego</w:t>
      </w:r>
      <w:r w:rsidR="004E5460" w:rsidRPr="00851BA2">
        <w:rPr>
          <w:rFonts w:asciiTheme="minorHAnsi" w:hAnsiTheme="minorHAnsi" w:cstheme="minorHAnsi"/>
          <w:lang w:eastAsia="pl-PL"/>
        </w:rPr>
        <w:t>.</w:t>
      </w:r>
    </w:p>
    <w:p w14:paraId="0A30DB67" w14:textId="07C7574F" w:rsidR="00F1169A" w:rsidRDefault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asciiTheme="minorHAnsi" w:hAnsiTheme="minorHAnsi" w:cstheme="minorHAnsi"/>
          <w:lang w:eastAsia="pl-PL"/>
        </w:rPr>
        <w:t xml:space="preserve">Przy poprawianiu Wad Oprogramowania Wykonawca zobowiązany jest zachować </w:t>
      </w:r>
      <w:r w:rsidRPr="00FE77CF">
        <w:rPr>
          <w:rFonts w:eastAsia="Times New Roman" w:cs="Times New Roman"/>
          <w:bCs/>
          <w:szCs w:val="24"/>
        </w:rPr>
        <w:t>następujący poziom wykonania usługi</w:t>
      </w:r>
      <w:r>
        <w:rPr>
          <w:rFonts w:eastAsia="Times New Roman" w:cs="Times New Roman"/>
          <w:bCs/>
          <w:szCs w:val="24"/>
        </w:rPr>
        <w:t xml:space="preserve"> </w:t>
      </w:r>
      <w:r w:rsidRPr="00FE77CF">
        <w:rPr>
          <w:rFonts w:eastAsia="Times New Roman" w:cs="Times New Roman"/>
          <w:bCs/>
          <w:szCs w:val="24"/>
        </w:rPr>
        <w:t>wsparcia powdrożeniowego dla Oprogramowania</w:t>
      </w:r>
      <w:r>
        <w:rPr>
          <w:rFonts w:eastAsia="Times New Roman" w:cs="Times New Roman"/>
          <w:bCs/>
          <w:szCs w:val="24"/>
        </w:rPr>
        <w:t>:</w:t>
      </w: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1169A" w:rsidRPr="00FE77CF" w14:paraId="04168620" w14:textId="77777777" w:rsidTr="00584A8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CAD0C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77E6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FA9F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Naprawy</w:t>
            </w:r>
          </w:p>
        </w:tc>
      </w:tr>
      <w:tr w:rsidR="00F1169A" w:rsidRPr="00FE77CF" w14:paraId="74F2A286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D5D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Pr="00FE77CF">
              <w:rPr>
                <w:rFonts w:eastAsia="Times New Roman"/>
                <w:color w:val="000000"/>
                <w:lang w:eastAsia="pl-PL"/>
              </w:rPr>
              <w:t>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B46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2 </w:t>
            </w:r>
            <w:r>
              <w:rPr>
                <w:rFonts w:eastAsia="Times New Roman"/>
                <w:color w:val="000000"/>
                <w:lang w:eastAsia="pl-PL"/>
              </w:rPr>
              <w:t>godziny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B41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6 </w:t>
            </w:r>
            <w:r>
              <w:rPr>
                <w:rFonts w:eastAsia="Times New Roman"/>
                <w:color w:val="000000"/>
                <w:lang w:eastAsia="pl-PL"/>
              </w:rPr>
              <w:t>godziny</w:t>
            </w:r>
          </w:p>
        </w:tc>
      </w:tr>
      <w:tr w:rsidR="00F1169A" w:rsidRPr="00FE77CF" w14:paraId="0A9929BE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7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756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B4E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0C1FC96D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FA9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Błąd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4BB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7B5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1989C760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8F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Usterka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D3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9AF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48 Godzin Roboczych</w:t>
            </w:r>
          </w:p>
        </w:tc>
      </w:tr>
    </w:tbl>
    <w:p w14:paraId="28CDC3BE" w14:textId="0804A96E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Usunięcie Wady nie może prowadzić do naruszenia struktur i integralności danych, do utraty danych lub wpływać negatywnie na funkcjonowanie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78DB27E9" w14:textId="1AAB763B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Naprawę Wady zatwierdza upoważniona osoba wskazana w Umowie ze Strony Zamawiającego po zainstalowaniu przez Wykonawcę poprawek.</w:t>
      </w:r>
    </w:p>
    <w:p w14:paraId="0A971853" w14:textId="12C8C6E3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Jeżeli Naprawa Wady nie jest możliwa w czasie przewidzianym dla danej kategorii Wady, Strony dopuszczają możliwość zastosowania Obejścia, przy czym zastosowanie Obejścia nie wyłącza zobowiązania Wykonawcy do Naprawy Wady.</w:t>
      </w:r>
    </w:p>
    <w:p w14:paraId="618CD33C" w14:textId="271B6DAD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J</w:t>
      </w:r>
      <w:r w:rsidRPr="00F1169A">
        <w:rPr>
          <w:rFonts w:eastAsia="Times New Roman" w:cs="Times New Roman"/>
          <w:bCs/>
          <w:szCs w:val="24"/>
        </w:rPr>
        <w:t>eżeli Wykonawca nie dokona Naprawy / Obejścia w terminach, o których mowa w powyżej, Zamawiający może:</w:t>
      </w:r>
    </w:p>
    <w:p w14:paraId="72908FA4" w14:textId="71DC8CE0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a)</w:t>
      </w:r>
      <w:r w:rsidRPr="00F1169A">
        <w:rPr>
          <w:rFonts w:eastAsia="Times New Roman" w:cs="Times New Roman"/>
          <w:bCs/>
          <w:szCs w:val="24"/>
        </w:rPr>
        <w:tab/>
        <w:t xml:space="preserve">Wydłużyć termin usunięcia </w:t>
      </w:r>
      <w:r>
        <w:rPr>
          <w:rFonts w:eastAsia="Times New Roman" w:cs="Times New Roman"/>
          <w:bCs/>
          <w:szCs w:val="24"/>
        </w:rPr>
        <w:t>Wady</w:t>
      </w:r>
      <w:r w:rsidRPr="00F1169A">
        <w:rPr>
          <w:rFonts w:eastAsia="Times New Roman" w:cs="Times New Roman"/>
          <w:bCs/>
          <w:szCs w:val="24"/>
        </w:rPr>
        <w:t xml:space="preserve"> na pisemną prośbę Wykonawcy zawierającą uzasadnienie;</w:t>
      </w:r>
    </w:p>
    <w:p w14:paraId="056D1E36" w14:textId="2EE38788" w:rsid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b)</w:t>
      </w:r>
      <w:r w:rsidRPr="00F1169A">
        <w:rPr>
          <w:rFonts w:eastAsia="Times New Roman" w:cs="Times New Roman"/>
          <w:bCs/>
          <w:szCs w:val="24"/>
        </w:rPr>
        <w:tab/>
        <w:t>Obciążyć Wykonawcę karą umowną na zasadach opisanych w Umowie.</w:t>
      </w:r>
    </w:p>
    <w:p w14:paraId="3640E322" w14:textId="77777777" w:rsidR="00F1169A" w:rsidRPr="00851BA2" w:rsidRDefault="00F1169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4C246E02" w14:textId="0A25F1B2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lastRenderedPageBreak/>
        <w:t xml:space="preserve">Wykonawca będzie niezwłocznie informował Zamawiającego o ukazaniu się nowych, stabilnych wersji </w:t>
      </w:r>
      <w:r w:rsidR="00FD5AC1" w:rsidRPr="00851BA2">
        <w:rPr>
          <w:rFonts w:asciiTheme="minorHAnsi" w:hAnsiTheme="minorHAnsi" w:cstheme="minorHAnsi"/>
          <w:lang w:eastAsia="pl-PL"/>
        </w:rPr>
        <w:t>O</w:t>
      </w:r>
      <w:r w:rsidR="00F669CC" w:rsidRPr="00851BA2">
        <w:rPr>
          <w:rFonts w:asciiTheme="minorHAnsi" w:hAnsiTheme="minorHAnsi" w:cstheme="minorHAnsi"/>
          <w:lang w:eastAsia="pl-PL"/>
        </w:rPr>
        <w:t>programowania</w:t>
      </w:r>
      <w:r w:rsidRPr="00851BA2">
        <w:rPr>
          <w:rFonts w:asciiTheme="minorHAnsi" w:hAnsiTheme="minorHAnsi" w:cstheme="minorHAnsi"/>
          <w:lang w:eastAsia="pl-PL"/>
        </w:rPr>
        <w:t>.</w:t>
      </w:r>
    </w:p>
    <w:p w14:paraId="2C9D2628" w14:textId="550B647A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Wykonawca dokona aktualizacji </w:t>
      </w:r>
      <w:r w:rsidR="0093688B" w:rsidRPr="00851BA2">
        <w:rPr>
          <w:rFonts w:asciiTheme="minorHAnsi" w:hAnsiTheme="minorHAnsi" w:cstheme="minorHAnsi"/>
          <w:lang w:eastAsia="pl-PL"/>
        </w:rPr>
        <w:t xml:space="preserve">środowiska </w:t>
      </w:r>
      <w:r w:rsidRPr="00851BA2">
        <w:rPr>
          <w:rFonts w:asciiTheme="minorHAnsi" w:hAnsiTheme="minorHAnsi" w:cstheme="minorHAnsi"/>
          <w:lang w:eastAsia="pl-PL"/>
        </w:rPr>
        <w:t>do nowych stabilnych wersji, na życzenie Zama</w:t>
      </w:r>
      <w:r w:rsidR="0056400D" w:rsidRPr="00851BA2">
        <w:rPr>
          <w:rFonts w:asciiTheme="minorHAnsi" w:hAnsiTheme="minorHAnsi" w:cstheme="minorHAnsi"/>
          <w:lang w:eastAsia="pl-PL"/>
        </w:rPr>
        <w:t>wiającego. Termin aktualizacji O</w:t>
      </w:r>
      <w:r w:rsidRPr="00851BA2">
        <w:rPr>
          <w:rFonts w:asciiTheme="minorHAnsi" w:hAnsiTheme="minorHAnsi" w:cstheme="minorHAnsi"/>
          <w:lang w:eastAsia="pl-PL"/>
        </w:rPr>
        <w:t xml:space="preserve">programowania do nowszych wersji nie będzie przekraczał 7 </w:t>
      </w:r>
      <w:r w:rsidR="00F1169A">
        <w:rPr>
          <w:rFonts w:asciiTheme="minorHAnsi" w:hAnsiTheme="minorHAnsi" w:cstheme="minorHAnsi"/>
          <w:lang w:eastAsia="pl-PL"/>
        </w:rPr>
        <w:t>Dni Roboczych</w:t>
      </w:r>
      <w:r w:rsidRPr="00851BA2">
        <w:rPr>
          <w:rFonts w:asciiTheme="minorHAnsi" w:hAnsiTheme="minorHAnsi" w:cstheme="minorHAnsi"/>
          <w:lang w:eastAsia="pl-PL"/>
        </w:rPr>
        <w:t xml:space="preserve"> od momentu zgłoszenia takiej usługi przez Zamawiającego. </w:t>
      </w:r>
    </w:p>
    <w:p w14:paraId="23AAF9BA" w14:textId="77777777" w:rsidR="004E5460" w:rsidRPr="00851BA2" w:rsidRDefault="004E5460">
      <w:pPr>
        <w:pStyle w:val="Tekstpodstawowy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14:paraId="713B2C62" w14:textId="1584C03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Wykonawca zabezpieczy Zamawiającego przed ewentualnymi roszczeniami osób trzecich z tytułu naruszenia praw autorskich oraz innych praw pokrewnych, a w szczególności: patentów, licencji, zarejestrowanych znaków i wzorów w związku z wykonywanymi pracami.</w:t>
      </w:r>
    </w:p>
    <w:p w14:paraId="67C7CD16" w14:textId="77777777" w:rsidR="00FC61E4" w:rsidRPr="00851BA2" w:rsidRDefault="00FC61E4" w:rsidP="00FC61E4">
      <w:pPr>
        <w:pStyle w:val="Akapitzlist"/>
        <w:spacing w:before="120" w:after="0" w:line="240" w:lineRule="auto"/>
        <w:ind w:left="1065"/>
        <w:jc w:val="both"/>
        <w:rPr>
          <w:rFonts w:asciiTheme="minorHAnsi" w:hAnsiTheme="minorHAnsi" w:cstheme="minorHAnsi"/>
        </w:rPr>
      </w:pPr>
    </w:p>
    <w:p w14:paraId="0622A750" w14:textId="7B44B23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</w:t>
      </w:r>
      <w:r w:rsidR="00FC61E4" w:rsidRPr="00851BA2">
        <w:rPr>
          <w:rFonts w:asciiTheme="minorHAnsi" w:hAnsiTheme="minorHAnsi" w:cstheme="minorHAnsi"/>
          <w:sz w:val="24"/>
          <w:szCs w:val="24"/>
        </w:rPr>
        <w:t>sługa r</w:t>
      </w:r>
      <w:r w:rsidRPr="00851BA2">
        <w:rPr>
          <w:rFonts w:asciiTheme="minorHAnsi" w:hAnsiTheme="minorHAnsi" w:cstheme="minorHAnsi"/>
          <w:sz w:val="24"/>
          <w:szCs w:val="24"/>
        </w:rPr>
        <w:t>ozwoju</w:t>
      </w:r>
    </w:p>
    <w:p w14:paraId="7A795757" w14:textId="6F0F3BAF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 xml:space="preserve">W ramach </w:t>
      </w:r>
      <w:r w:rsidR="00B15E2A" w:rsidRPr="00851BA2">
        <w:rPr>
          <w:rFonts w:asciiTheme="minorHAnsi" w:hAnsiTheme="minorHAnsi" w:cstheme="minorHAnsi"/>
          <w:b/>
          <w:bCs/>
        </w:rPr>
        <w:t>u</w:t>
      </w:r>
      <w:r w:rsidRPr="00851BA2">
        <w:rPr>
          <w:rFonts w:asciiTheme="minorHAnsi" w:hAnsiTheme="minorHAnsi" w:cstheme="minorHAnsi"/>
          <w:b/>
          <w:bCs/>
        </w:rPr>
        <w:t>sługi rozwoju</w:t>
      </w:r>
      <w:r w:rsidRPr="00851BA2">
        <w:rPr>
          <w:rFonts w:asciiTheme="minorHAnsi" w:hAnsiTheme="minorHAnsi" w:cstheme="minorHAnsi"/>
        </w:rPr>
        <w:t xml:space="preserve"> Wykonawca jest zobowiązany do świadczenia dodatkowych prac  zleconych przez Zamawiającego w wymiarze</w:t>
      </w:r>
      <w:r w:rsidR="00E65889" w:rsidRPr="00851BA2">
        <w:rPr>
          <w:rFonts w:asciiTheme="minorHAnsi" w:hAnsiTheme="minorHAnsi" w:cstheme="minorHAnsi"/>
          <w:lang w:eastAsia="pl-PL"/>
        </w:rPr>
        <w:t xml:space="preserve"> </w:t>
      </w:r>
      <w:r w:rsidR="00344C61">
        <w:rPr>
          <w:rFonts w:asciiTheme="minorHAnsi" w:hAnsiTheme="minorHAnsi" w:cstheme="minorHAnsi"/>
          <w:lang w:eastAsia="pl-PL"/>
        </w:rPr>
        <w:t>1</w:t>
      </w:r>
      <w:r w:rsidR="0019617D">
        <w:rPr>
          <w:rFonts w:asciiTheme="minorHAnsi" w:hAnsiTheme="minorHAnsi" w:cstheme="minorHAnsi"/>
          <w:lang w:eastAsia="pl-PL"/>
        </w:rPr>
        <w:t>20</w:t>
      </w:r>
      <w:r w:rsidR="00E65889" w:rsidRPr="00851BA2">
        <w:rPr>
          <w:rFonts w:asciiTheme="minorHAnsi" w:hAnsiTheme="minorHAnsi" w:cstheme="minorHAnsi"/>
          <w:lang w:eastAsia="pl-PL"/>
        </w:rPr>
        <w:t xml:space="preserve"> </w:t>
      </w:r>
      <w:r w:rsidRPr="00851BA2">
        <w:rPr>
          <w:rFonts w:asciiTheme="minorHAnsi" w:hAnsiTheme="minorHAnsi" w:cstheme="minorHAnsi"/>
          <w:lang w:eastAsia="pl-PL"/>
        </w:rPr>
        <w:t xml:space="preserve">roboczogodzin przez okres </w:t>
      </w:r>
      <w:r w:rsidR="00725392" w:rsidRPr="00851BA2">
        <w:rPr>
          <w:rFonts w:asciiTheme="minorHAnsi" w:hAnsiTheme="minorHAnsi" w:cstheme="minorHAnsi"/>
          <w:lang w:eastAsia="pl-PL"/>
        </w:rPr>
        <w:t>12</w:t>
      </w:r>
      <w:r w:rsidRPr="00851BA2">
        <w:rPr>
          <w:rFonts w:asciiTheme="minorHAnsi" w:hAnsiTheme="minorHAnsi" w:cstheme="minorHAnsi"/>
          <w:lang w:eastAsia="pl-PL"/>
        </w:rPr>
        <w:t xml:space="preserve"> miesięcy od dnia podpisania umowy.</w:t>
      </w:r>
    </w:p>
    <w:p w14:paraId="1C18960D" w14:textId="5C1E3383" w:rsidR="004E5460" w:rsidRPr="00851BA2" w:rsidRDefault="00B15E2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Świadczenie u</w:t>
      </w:r>
      <w:r w:rsidR="004E5460" w:rsidRPr="00851BA2">
        <w:rPr>
          <w:rFonts w:asciiTheme="minorHAnsi" w:hAnsiTheme="minorHAnsi" w:cstheme="minorHAnsi"/>
          <w:lang w:eastAsia="pl-PL"/>
        </w:rPr>
        <w:t xml:space="preserve">sługi rozwoju </w:t>
      </w:r>
      <w:r w:rsidR="0093688B" w:rsidRPr="00851BA2">
        <w:rPr>
          <w:rFonts w:asciiTheme="minorHAnsi" w:hAnsiTheme="minorHAnsi" w:cstheme="minorHAnsi"/>
          <w:lang w:eastAsia="pl-PL"/>
        </w:rPr>
        <w:t>Oprogramowania</w:t>
      </w:r>
      <w:r w:rsidR="004E5460" w:rsidRPr="00851BA2">
        <w:rPr>
          <w:rFonts w:asciiTheme="minorHAnsi" w:hAnsiTheme="minorHAnsi" w:cstheme="minorHAnsi"/>
          <w:lang w:eastAsia="pl-PL"/>
        </w:rPr>
        <w:t xml:space="preserve"> będzie polegać na </w:t>
      </w:r>
      <w:r w:rsidR="004E5460" w:rsidRPr="00851BA2">
        <w:rPr>
          <w:rFonts w:asciiTheme="minorHAnsi" w:hAnsiTheme="minorHAnsi" w:cstheme="minorHAnsi"/>
        </w:rPr>
        <w:t xml:space="preserve">wykonywaniu prac </w:t>
      </w:r>
      <w:r w:rsidR="0093688B" w:rsidRPr="00851BA2">
        <w:rPr>
          <w:rFonts w:asciiTheme="minorHAnsi" w:hAnsiTheme="minorHAnsi" w:cstheme="minorHAnsi"/>
        </w:rPr>
        <w:t>polegających na:</w:t>
      </w:r>
    </w:p>
    <w:p w14:paraId="76412458" w14:textId="6645EFE4" w:rsidR="004E5460" w:rsidRPr="00851BA2" w:rsidRDefault="00040EA1" w:rsidP="0014505C">
      <w:pPr>
        <w:pStyle w:val="Akapitzlist"/>
        <w:numPr>
          <w:ilvl w:val="0"/>
          <w:numId w:val="18"/>
        </w:numPr>
        <w:spacing w:before="120"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3688B" w:rsidRPr="00851BA2">
        <w:rPr>
          <w:rFonts w:asciiTheme="minorHAnsi" w:hAnsiTheme="minorHAnsi" w:cstheme="minorHAnsi"/>
        </w:rPr>
        <w:t>odyfikacje funkcjonalności Oprogramowania</w:t>
      </w:r>
      <w:r w:rsidR="004E5460" w:rsidRPr="00851BA2">
        <w:rPr>
          <w:rFonts w:asciiTheme="minorHAnsi" w:hAnsiTheme="minorHAnsi" w:cstheme="minorHAnsi"/>
        </w:rPr>
        <w:t>,</w:t>
      </w:r>
    </w:p>
    <w:p w14:paraId="3C1C49F1" w14:textId="2E81CA82" w:rsidR="004E5460" w:rsidRPr="00851BA2" w:rsidRDefault="00040EA1" w:rsidP="0014505C">
      <w:pPr>
        <w:pStyle w:val="Akapitzlist"/>
        <w:numPr>
          <w:ilvl w:val="0"/>
          <w:numId w:val="18"/>
        </w:numPr>
        <w:spacing w:before="120"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tworzenie i wdrożenie nowych </w:t>
      </w:r>
      <w:r w:rsidR="004E5460" w:rsidRPr="00851BA2">
        <w:rPr>
          <w:rFonts w:asciiTheme="minorHAnsi" w:hAnsiTheme="minorHAnsi" w:cstheme="minorHAnsi"/>
        </w:rPr>
        <w:t>funkcjonalności</w:t>
      </w:r>
      <w:r>
        <w:rPr>
          <w:rFonts w:asciiTheme="minorHAnsi" w:hAnsiTheme="minorHAnsi" w:cstheme="minorHAnsi"/>
        </w:rPr>
        <w:t xml:space="preserve"> Oprogramowania</w:t>
      </w:r>
      <w:r w:rsidR="004E5460" w:rsidRPr="00851BA2">
        <w:rPr>
          <w:rFonts w:asciiTheme="minorHAnsi" w:hAnsiTheme="minorHAnsi" w:cstheme="minorHAnsi"/>
        </w:rPr>
        <w:t>,</w:t>
      </w:r>
    </w:p>
    <w:p w14:paraId="244D73B3" w14:textId="245A7058" w:rsidR="004E5460" w:rsidRPr="00851BA2" w:rsidRDefault="00040EA1" w:rsidP="0014505C">
      <w:pPr>
        <w:pStyle w:val="Akapitzlist"/>
        <w:numPr>
          <w:ilvl w:val="0"/>
          <w:numId w:val="18"/>
        </w:numPr>
        <w:spacing w:before="120"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E5460" w:rsidRPr="00851BA2">
        <w:rPr>
          <w:rFonts w:asciiTheme="minorHAnsi" w:hAnsiTheme="minorHAnsi" w:cstheme="minorHAnsi"/>
        </w:rPr>
        <w:t xml:space="preserve">ostosowanie </w:t>
      </w:r>
      <w:r w:rsidR="0093688B" w:rsidRPr="00851BA2">
        <w:rPr>
          <w:rFonts w:asciiTheme="minorHAnsi" w:hAnsiTheme="minorHAnsi" w:cstheme="minorHAnsi"/>
        </w:rPr>
        <w:t>Oprogramowania</w:t>
      </w:r>
      <w:r w:rsidR="004E5460" w:rsidRPr="00851BA2">
        <w:rPr>
          <w:rFonts w:asciiTheme="minorHAnsi" w:hAnsiTheme="minorHAnsi" w:cstheme="minorHAnsi"/>
        </w:rPr>
        <w:t xml:space="preserve"> </w:t>
      </w:r>
      <w:r w:rsidR="0093688B" w:rsidRPr="00851BA2">
        <w:rPr>
          <w:rFonts w:asciiTheme="minorHAnsi" w:hAnsiTheme="minorHAnsi" w:cstheme="minorHAnsi"/>
        </w:rPr>
        <w:t>do zmieniającego się otoczenia</w:t>
      </w:r>
      <w:r>
        <w:rPr>
          <w:rFonts w:asciiTheme="minorHAnsi" w:hAnsiTheme="minorHAnsi" w:cstheme="minorHAnsi"/>
        </w:rPr>
        <w:t xml:space="preserve"> prawnego i</w:t>
      </w:r>
      <w:r w:rsidR="0093688B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t>organizac</w:t>
      </w:r>
      <w:r>
        <w:rPr>
          <w:rFonts w:asciiTheme="minorHAnsi" w:hAnsiTheme="minorHAnsi" w:cstheme="minorHAnsi"/>
        </w:rPr>
        <w:t xml:space="preserve">yjnego </w:t>
      </w:r>
      <w:r w:rsidR="004E5460" w:rsidRPr="00851BA2">
        <w:rPr>
          <w:rFonts w:asciiTheme="minorHAnsi" w:hAnsiTheme="minorHAnsi" w:cstheme="minorHAnsi"/>
        </w:rPr>
        <w:t>Zamawiającego,</w:t>
      </w:r>
    </w:p>
    <w:p w14:paraId="4A5C6900" w14:textId="18426073" w:rsidR="004E5460" w:rsidRPr="00851BA2" w:rsidRDefault="0014505C" w:rsidP="0014505C">
      <w:pPr>
        <w:pStyle w:val="Akapitzlist"/>
        <w:numPr>
          <w:ilvl w:val="0"/>
          <w:numId w:val="18"/>
        </w:numPr>
        <w:spacing w:before="120" w:after="0" w:line="24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E5460" w:rsidRPr="00851BA2">
        <w:rPr>
          <w:rFonts w:asciiTheme="minorHAnsi" w:hAnsiTheme="minorHAnsi" w:cstheme="minorHAnsi"/>
        </w:rPr>
        <w:t>ntegracje z systemami zewnętrznymi,</w:t>
      </w:r>
    </w:p>
    <w:p w14:paraId="56351012" w14:textId="12FAC776" w:rsidR="004E5460" w:rsidRPr="0068069F" w:rsidRDefault="0014505C" w:rsidP="0014505C">
      <w:pPr>
        <w:pStyle w:val="Akapitzlist"/>
        <w:numPr>
          <w:ilvl w:val="0"/>
          <w:numId w:val="18"/>
        </w:numPr>
        <w:spacing w:before="120" w:after="0" w:line="240" w:lineRule="auto"/>
        <w:ind w:left="1134" w:hanging="425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d</w:t>
      </w:r>
      <w:r w:rsidR="004E5460" w:rsidRPr="0068069F">
        <w:rPr>
          <w:rFonts w:asciiTheme="minorHAnsi" w:hAnsiTheme="minorHAnsi" w:cstheme="minorHAnsi"/>
        </w:rPr>
        <w:t xml:space="preserve">ostosowania </w:t>
      </w:r>
      <w:r w:rsidR="0093688B" w:rsidRPr="0068069F">
        <w:rPr>
          <w:rFonts w:asciiTheme="minorHAnsi" w:hAnsiTheme="minorHAnsi" w:cstheme="minorHAnsi"/>
        </w:rPr>
        <w:t>Oprogramowania</w:t>
      </w:r>
      <w:r w:rsidR="004E5460" w:rsidRPr="0068069F">
        <w:rPr>
          <w:rFonts w:asciiTheme="minorHAnsi" w:hAnsiTheme="minorHAnsi" w:cstheme="minorHAnsi"/>
        </w:rPr>
        <w:t xml:space="preserve"> do zmian na rynku oprogramowania i urządzeń teleinformatycznych.</w:t>
      </w:r>
    </w:p>
    <w:p w14:paraId="16E6DAE0" w14:textId="5A3DFF22" w:rsidR="0093688B" w:rsidRPr="00851BA2" w:rsidRDefault="0093688B" w:rsidP="0093688B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Zamawiający zastrzega sobie prawo do tworzenia nowych pr</w:t>
      </w:r>
      <w:r w:rsidR="00E806EC" w:rsidRPr="00851BA2">
        <w:rPr>
          <w:rFonts w:asciiTheme="minorHAnsi" w:hAnsiTheme="minorHAnsi" w:cstheme="minorHAnsi"/>
          <w:lang w:eastAsia="pl-PL"/>
        </w:rPr>
        <w:t xml:space="preserve">ojektów, przepływów pracy (workflows), schematów ekranów itp. </w:t>
      </w:r>
      <w:r w:rsidR="00D602B5">
        <w:rPr>
          <w:rFonts w:asciiTheme="minorHAnsi" w:hAnsiTheme="minorHAnsi" w:cstheme="minorHAnsi"/>
          <w:lang w:eastAsia="pl-PL"/>
        </w:rPr>
        <w:t>w</w:t>
      </w:r>
      <w:r w:rsidR="00E806EC" w:rsidRPr="00851BA2">
        <w:rPr>
          <w:rFonts w:asciiTheme="minorHAnsi" w:hAnsiTheme="minorHAnsi" w:cstheme="minorHAnsi"/>
          <w:lang w:eastAsia="pl-PL"/>
        </w:rPr>
        <w:t xml:space="preserve"> Oprogramowaniu. </w:t>
      </w:r>
    </w:p>
    <w:p w14:paraId="742A7E36" w14:textId="77777777" w:rsidR="00F1169A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Zamawiający będzie dokonywał zgłoszeń ze szczegółowym opisem wymagań dot. nowych funkcjonalności. Następnie Wykonawca w ciągu </w:t>
      </w:r>
      <w:r w:rsidR="00F1169A">
        <w:rPr>
          <w:rFonts w:asciiTheme="minorHAnsi" w:hAnsiTheme="minorHAnsi" w:cstheme="minorHAnsi"/>
          <w:b/>
          <w:bCs/>
        </w:rPr>
        <w:t>48</w:t>
      </w:r>
      <w:r w:rsidRPr="00851BA2">
        <w:rPr>
          <w:rFonts w:asciiTheme="minorHAnsi" w:hAnsiTheme="minorHAnsi" w:cstheme="minorHAnsi"/>
          <w:b/>
          <w:bCs/>
        </w:rPr>
        <w:t xml:space="preserve"> godzin roboczych </w:t>
      </w:r>
      <w:r w:rsidR="00C252CE" w:rsidRPr="00851BA2">
        <w:rPr>
          <w:rFonts w:asciiTheme="minorHAnsi" w:hAnsiTheme="minorHAnsi" w:cstheme="minorHAnsi"/>
        </w:rPr>
        <w:t xml:space="preserve"> przedstawi</w:t>
      </w:r>
      <w:r w:rsidRPr="00851BA2">
        <w:rPr>
          <w:rFonts w:asciiTheme="minorHAnsi" w:hAnsiTheme="minorHAnsi" w:cstheme="minorHAnsi"/>
        </w:rPr>
        <w:t xml:space="preserve"> </w:t>
      </w:r>
      <w:r w:rsidRPr="00851BA2">
        <w:rPr>
          <w:rFonts w:asciiTheme="minorHAnsi" w:hAnsiTheme="minorHAnsi" w:cstheme="minorHAnsi"/>
          <w:b/>
          <w:bCs/>
        </w:rPr>
        <w:t>Projekt Koncepcyjny</w:t>
      </w:r>
      <w:r w:rsidRPr="00851BA2">
        <w:rPr>
          <w:rFonts w:asciiTheme="minorHAnsi" w:hAnsiTheme="minorHAnsi" w:cstheme="minorHAnsi"/>
        </w:rPr>
        <w:t xml:space="preserve"> wraz ze </w:t>
      </w:r>
      <w:r w:rsidRPr="00851BA2">
        <w:rPr>
          <w:rFonts w:asciiTheme="minorHAnsi" w:hAnsiTheme="minorHAnsi" w:cstheme="minorHAnsi"/>
          <w:b/>
          <w:bCs/>
        </w:rPr>
        <w:t>szczegółowym kosztorysem</w:t>
      </w:r>
      <w:r w:rsidRPr="00851BA2">
        <w:rPr>
          <w:rFonts w:asciiTheme="minorHAnsi" w:hAnsiTheme="minorHAnsi" w:cstheme="minorHAnsi"/>
        </w:rPr>
        <w:t xml:space="preserve">, w tym liczbą godzin pracy potrzebną na wykonanie zlecenia. </w:t>
      </w:r>
    </w:p>
    <w:p w14:paraId="6A87CAF6" w14:textId="77777777" w:rsidR="00040EA1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Po zatwierdzeniu kosztorysu przez Zamawiającego, Wykonawca niezwłocznie rozpocznie realizację zlecenia. </w:t>
      </w:r>
    </w:p>
    <w:p w14:paraId="4CB67208" w14:textId="6B27A23C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 przypadku, kiedy Zamawiający stwierdzi, iż Wykonawca wyliczył zbyt dużą liczbę godzin na realizację zlecenia, Zamawiający ma prawo powołać </w:t>
      </w:r>
      <w:r w:rsidRPr="00851BA2">
        <w:rPr>
          <w:rFonts w:asciiTheme="minorHAnsi" w:hAnsiTheme="minorHAnsi" w:cstheme="minorHAnsi"/>
          <w:b/>
          <w:bCs/>
        </w:rPr>
        <w:t>zewnętrznego eksperta</w:t>
      </w:r>
      <w:r w:rsidRPr="00851BA2">
        <w:rPr>
          <w:rFonts w:asciiTheme="minorHAnsi" w:hAnsiTheme="minorHAnsi" w:cstheme="minorHAnsi"/>
        </w:rPr>
        <w:t>, który wyliczy czasochłonność. Opinia zewnętrznego eksperta dot. czasochłonności zlecenia będzie obligatoryjna dla Wykonawcy.</w:t>
      </w:r>
    </w:p>
    <w:p w14:paraId="0E41818A" w14:textId="41F11072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Wykonawca jak i Zamawiający mają prawo do zorganizowania spotkania roboczego w sprawie nowych zleceń w siedzibie Zamawiającego, celem omówienia zasad sporządzania kosztorysu zleceń zgłaszanych i zatwierdzanych. </w:t>
      </w:r>
    </w:p>
    <w:p w14:paraId="02133C71" w14:textId="77777777" w:rsidR="004E5460" w:rsidRPr="00AE39BA" w:rsidRDefault="004E5460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t>Wymagania dodatkowe</w:t>
      </w:r>
    </w:p>
    <w:p w14:paraId="7093E287" w14:textId="1D28D9EA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Wykonawca ma obowiązek usuwania błędów i luk w </w:t>
      </w:r>
      <w:r w:rsidR="00E806EC" w:rsidRPr="00851BA2">
        <w:rPr>
          <w:rFonts w:asciiTheme="minorHAnsi" w:hAnsiTheme="minorHAnsi" w:cstheme="minorHAnsi"/>
        </w:rPr>
        <w:t>Oprogramowaniu</w:t>
      </w:r>
      <w:r w:rsidRPr="00851BA2">
        <w:rPr>
          <w:rFonts w:asciiTheme="minorHAnsi" w:hAnsiTheme="minorHAnsi" w:cstheme="minorHAnsi"/>
        </w:rPr>
        <w:t xml:space="preserve">, w oparciu o przedstawione przez Zamawiającego wyniki audytu pod kątem bezpieczeństwa teleinformatycznego w ramach usługi utrzymania przez cały okres trwania umowy.  </w:t>
      </w:r>
    </w:p>
    <w:p w14:paraId="31B8D6B6" w14:textId="3CEEC40F" w:rsidR="00E806EC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40EA1">
        <w:rPr>
          <w:rFonts w:asciiTheme="minorHAnsi" w:hAnsiTheme="minorHAnsi" w:cstheme="minorHAnsi"/>
        </w:rPr>
        <w:t xml:space="preserve">Wykonawca ma obowiązek usuwania błędów w oparciu o przedstawione przez Zamawiającego wyniki audytu pod kątem zgodności usług udostępnionych w Internecie z załącznikiem nr 4 do rozporządzenia </w:t>
      </w:r>
      <w:r w:rsidRPr="00040EA1">
        <w:rPr>
          <w:rFonts w:asciiTheme="minorHAnsi" w:hAnsiTheme="minorHAnsi" w:cstheme="minorHAnsi"/>
        </w:rPr>
        <w:lastRenderedPageBreak/>
        <w:t>Rady Ministrów z dnia 12 kwietnia 2012 w sprawie Krajowych Ram Interoperacyjności, minimalnych wymagań dla rejestrów publicznych i wymiany informacji w postaci elektronicznej oraz minimalnych wymagań dla systemów teleinformatycznych w zakresie dostępności dla osób niepełnosprawnych określonych przez standard Web Content Accessibility Guidelines 2.0 (WCAG) (Dz.U. z 16 maja 2012 poz. 526),  w ramach usługi utrzymania przez cały okres trwania umowy.</w:t>
      </w:r>
      <w:r w:rsidRPr="00851BA2">
        <w:rPr>
          <w:rFonts w:asciiTheme="minorHAnsi" w:hAnsiTheme="minorHAnsi" w:cstheme="minorHAnsi"/>
        </w:rPr>
        <w:t xml:space="preserve">  </w:t>
      </w:r>
    </w:p>
    <w:p w14:paraId="14F542A8" w14:textId="77777777" w:rsidR="004E5460" w:rsidRPr="00AE39BA" w:rsidRDefault="004E5460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t xml:space="preserve">Gwarancja </w:t>
      </w:r>
    </w:p>
    <w:p w14:paraId="200AE3A7" w14:textId="4AC43D1F" w:rsidR="004E5460" w:rsidRPr="00851BA2" w:rsidRDefault="00B15E2A">
      <w:pPr>
        <w:tabs>
          <w:tab w:val="left" w:pos="567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świadczenia u</w:t>
      </w:r>
      <w:r w:rsidR="004E5460" w:rsidRPr="00851BA2">
        <w:rPr>
          <w:rFonts w:asciiTheme="minorHAnsi" w:hAnsiTheme="minorHAnsi" w:cstheme="minorHAnsi"/>
        </w:rPr>
        <w:t xml:space="preserve">sług, o których mowa powyżej, Wykonawca udzieli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miesięcznej gwarancji na prawidłowe funkcjonowanie </w:t>
      </w:r>
      <w:r w:rsidR="009656AB" w:rsidRPr="00851BA2">
        <w:rPr>
          <w:rFonts w:asciiTheme="minorHAnsi" w:hAnsiTheme="minorHAnsi" w:cstheme="minorHAnsi"/>
        </w:rPr>
        <w:t xml:space="preserve">posiadanego systemu i zakupywanych </w:t>
      </w:r>
      <w:r w:rsidR="004E5460" w:rsidRPr="00851BA2">
        <w:rPr>
          <w:rFonts w:asciiTheme="minorHAnsi" w:hAnsiTheme="minorHAnsi" w:cstheme="minorHAnsi"/>
        </w:rPr>
        <w:t>wraz</w:t>
      </w:r>
      <w:r w:rsidR="007476DF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t xml:space="preserve">z prawem do bezpłatnej aktualizacji do nowych wersji </w:t>
      </w:r>
      <w:r w:rsidR="009656AB" w:rsidRPr="00851BA2">
        <w:rPr>
          <w:rFonts w:asciiTheme="minorHAnsi" w:hAnsiTheme="minorHAnsi" w:cstheme="minorHAnsi"/>
        </w:rPr>
        <w:t xml:space="preserve">produktu </w:t>
      </w:r>
      <w:r w:rsidR="004E5460" w:rsidRPr="00851BA2">
        <w:rPr>
          <w:rFonts w:asciiTheme="minorHAnsi" w:hAnsiTheme="minorHAnsi" w:cstheme="minorHAnsi"/>
        </w:rPr>
        <w:t xml:space="preserve">przez okres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miesięcy.</w:t>
      </w:r>
    </w:p>
    <w:p w14:paraId="5CCC2F1F" w14:textId="1733423C" w:rsidR="004E5460" w:rsidRPr="00851BA2" w:rsidRDefault="004E5460">
      <w:pPr>
        <w:tabs>
          <w:tab w:val="left" w:pos="567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Gwarancja świadczona będzie od dnia podpisania protokołu odbioru dostawy/usługi do dn</w:t>
      </w:r>
      <w:r w:rsidR="00B15E2A" w:rsidRPr="00851BA2">
        <w:rPr>
          <w:rFonts w:asciiTheme="minorHAnsi" w:hAnsiTheme="minorHAnsi" w:cstheme="minorHAnsi"/>
        </w:rPr>
        <w:t>ia wyłonienia nowego wykonawcy u</w:t>
      </w:r>
      <w:r w:rsidRPr="00851BA2">
        <w:rPr>
          <w:rFonts w:asciiTheme="minorHAnsi" w:hAnsiTheme="minorHAnsi" w:cstheme="minorHAnsi"/>
        </w:rPr>
        <w:t xml:space="preserve">sług utrzymania i rozwoju lecz nie później niż przez okres </w:t>
      </w:r>
      <w:r w:rsidR="00026E94" w:rsidRPr="00851BA2">
        <w:rPr>
          <w:rFonts w:asciiTheme="minorHAnsi" w:hAnsiTheme="minorHAnsi" w:cstheme="minorHAnsi"/>
        </w:rPr>
        <w:t>6</w:t>
      </w:r>
      <w:r w:rsidRPr="00851BA2">
        <w:rPr>
          <w:rFonts w:asciiTheme="minorHAnsi" w:hAnsiTheme="minorHAnsi" w:cstheme="minorHAnsi"/>
        </w:rPr>
        <w:t xml:space="preserve"> miesięcy.</w:t>
      </w:r>
    </w:p>
    <w:p w14:paraId="3680B5A2" w14:textId="77777777" w:rsidR="00543765" w:rsidRPr="00AE39BA" w:rsidRDefault="00543765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t>Kryteria Oceny</w:t>
      </w:r>
    </w:p>
    <w:p w14:paraId="02C4C6B8" w14:textId="77777777" w:rsidR="00543765" w:rsidRPr="00AE39BA" w:rsidRDefault="00543765" w:rsidP="00543765">
      <w:pPr>
        <w:pStyle w:val="Nagwek20"/>
        <w:spacing w:before="0"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AE39BA">
        <w:rPr>
          <w:rFonts w:asciiTheme="minorHAnsi" w:hAnsiTheme="minorHAnsi" w:cstheme="minorHAnsi"/>
          <w:color w:val="auto"/>
          <w:sz w:val="22"/>
          <w:szCs w:val="22"/>
        </w:rPr>
        <w:t>Opis kryteriów, którymi Zamawiający będzie się kierował przy wyborze oferty wraz podaniem znaczenia tych kryteriów i sposobu oceny oferty:</w:t>
      </w:r>
    </w:p>
    <w:p w14:paraId="0B331808" w14:textId="422DABCB" w:rsidR="004E23E9" w:rsidRPr="004E23E9" w:rsidRDefault="00543765" w:rsidP="004E23E9">
      <w:pPr>
        <w:pStyle w:val="Tekstpodstawowy2"/>
        <w:spacing w:after="120"/>
        <w:ind w:left="284" w:hanging="284"/>
        <w:rPr>
          <w:rFonts w:asciiTheme="minorHAnsi" w:hAnsiTheme="minorHAnsi" w:cstheme="minorHAnsi"/>
        </w:rPr>
      </w:pPr>
      <w:r w:rsidRPr="00AE39BA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22138536" w14:textId="5EB7509D" w:rsidR="00543765" w:rsidRPr="00AE39BA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Theme="minorHAnsi" w:hAnsiTheme="minorHAnsi" w:cstheme="minorHAnsi"/>
          <w:b/>
        </w:rPr>
      </w:pPr>
      <w:r w:rsidRPr="00AE39BA">
        <w:rPr>
          <w:rFonts w:asciiTheme="minorHAnsi" w:hAnsiTheme="minorHAnsi" w:cstheme="minorHAnsi"/>
          <w:b/>
        </w:rPr>
        <w:t xml:space="preserve">Kryterium - cena „C” –  waga </w:t>
      </w:r>
      <w:r w:rsidR="00D602B5">
        <w:rPr>
          <w:rFonts w:asciiTheme="minorHAnsi" w:hAnsiTheme="minorHAnsi" w:cstheme="minorHAnsi"/>
          <w:b/>
        </w:rPr>
        <w:t>8</w:t>
      </w:r>
      <w:r w:rsidRPr="00AE39BA">
        <w:rPr>
          <w:rFonts w:asciiTheme="minorHAnsi" w:hAnsiTheme="minorHAnsi" w:cstheme="minorHAnsi"/>
          <w:b/>
        </w:rPr>
        <w:t>0%  (</w:t>
      </w:r>
      <w:r w:rsidR="00D602B5">
        <w:rPr>
          <w:rFonts w:asciiTheme="minorHAnsi" w:hAnsiTheme="minorHAnsi" w:cstheme="minorHAnsi"/>
          <w:b/>
        </w:rPr>
        <w:t>8</w:t>
      </w:r>
      <w:r w:rsidRPr="00AE39BA">
        <w:rPr>
          <w:rFonts w:asciiTheme="minorHAnsi" w:hAnsiTheme="minorHAnsi" w:cstheme="minorHAnsi"/>
          <w:b/>
        </w:rPr>
        <w:t xml:space="preserve">0% = </w:t>
      </w:r>
      <w:r w:rsidR="00D602B5">
        <w:rPr>
          <w:rFonts w:asciiTheme="minorHAnsi" w:hAnsiTheme="minorHAnsi" w:cstheme="minorHAnsi"/>
          <w:b/>
        </w:rPr>
        <w:t>8</w:t>
      </w:r>
      <w:r w:rsidRPr="00AE39BA">
        <w:rPr>
          <w:rFonts w:asciiTheme="minorHAnsi" w:hAnsiTheme="minorHAnsi" w:cstheme="minorHAnsi"/>
          <w:b/>
        </w:rPr>
        <w:t>0 pkt).</w:t>
      </w:r>
    </w:p>
    <w:p w14:paraId="61EA3A10" w14:textId="448E716C" w:rsidR="00543765" w:rsidRPr="00AE39BA" w:rsidRDefault="00543765" w:rsidP="00543765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AE39BA">
        <w:rPr>
          <w:rFonts w:asciiTheme="minorHAnsi" w:hAnsiTheme="minorHAnsi" w:cstheme="minorHAnsi"/>
        </w:rPr>
        <w:t>Maksymalną liczbę punktów w tym kryterium (</w:t>
      </w:r>
      <w:r w:rsidR="00D602B5">
        <w:rPr>
          <w:rFonts w:asciiTheme="minorHAnsi" w:hAnsiTheme="minorHAnsi" w:cstheme="minorHAnsi"/>
        </w:rPr>
        <w:t>8</w:t>
      </w:r>
      <w:r w:rsidRPr="00AE39BA">
        <w:rPr>
          <w:rFonts w:asciiTheme="minorHAnsi" w:hAnsiTheme="minorHAnsi" w:cstheme="minorHAnsi"/>
        </w:rPr>
        <w:t xml:space="preserve">0 pkt) otrzyma oferta Wykonawcy, który zaproponuje najniższą cenę za wykonanie przedmiotu zamówienia, natomiast pozostali Wykonawcy otrzymają odpowiednio mniejszą liczbę punktów obliczoną zgodnie z poniższym wzorem: </w:t>
      </w:r>
      <w:r w:rsidRPr="00AE39BA">
        <w:rPr>
          <w:rFonts w:asciiTheme="minorHAnsi" w:hAnsiTheme="minorHAnsi" w:cstheme="minorHAns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543765" w:rsidRPr="00AE39BA" w14:paraId="7EB3D4A5" w14:textId="77777777" w:rsidTr="00493AED">
        <w:trPr>
          <w:cantSplit/>
          <w:trHeight w:val="818"/>
          <w:jc w:val="center"/>
        </w:trPr>
        <w:tc>
          <w:tcPr>
            <w:tcW w:w="1408" w:type="dxa"/>
          </w:tcPr>
          <w:p w14:paraId="71C262A8" w14:textId="77777777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494FC7FC" w14:textId="77777777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D941" w14:textId="77777777" w:rsidR="00543765" w:rsidRPr="00AE39BA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14:paraId="6C1649C2" w14:textId="77777777" w:rsidR="00543765" w:rsidRPr="00AE39BA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C </w:t>
            </w:r>
            <w:r w:rsidRPr="00AE39BA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2E188BB1" w14:textId="108BE4B3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 w:rsidR="00D602B5">
              <w:rPr>
                <w:rFonts w:asciiTheme="minorHAnsi" w:hAnsiTheme="minorHAnsi" w:cstheme="minorHAnsi"/>
                <w:iCs/>
                <w:spacing w:val="-1"/>
              </w:rPr>
              <w:t>8</w:t>
            </w:r>
            <w:r w:rsidRPr="00AE39BA">
              <w:rPr>
                <w:rFonts w:asciiTheme="minorHAnsi" w:hAnsiTheme="minorHAnsi" w:cstheme="minorHAnsi"/>
                <w:iCs/>
                <w:spacing w:val="-1"/>
              </w:rPr>
              <w:t>0 pkt</w:t>
            </w:r>
          </w:p>
        </w:tc>
      </w:tr>
      <w:tr w:rsidR="00543765" w:rsidRPr="00AE39BA" w14:paraId="7EE9C293" w14:textId="77777777" w:rsidTr="00493AED">
        <w:trPr>
          <w:cantSplit/>
          <w:trHeight w:val="762"/>
          <w:jc w:val="center"/>
        </w:trPr>
        <w:tc>
          <w:tcPr>
            <w:tcW w:w="1408" w:type="dxa"/>
          </w:tcPr>
          <w:p w14:paraId="53F1CBDB" w14:textId="77777777" w:rsidR="00543765" w:rsidRPr="00AE39BA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E266B98" w14:textId="77777777" w:rsidR="00543765" w:rsidRPr="00AE39BA" w:rsidRDefault="00543765" w:rsidP="00493AED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A9AA9" w14:textId="77777777" w:rsidR="00543765" w:rsidRPr="00AE39BA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AE39BA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030C035D" w14:textId="77777777" w:rsidR="00543765" w:rsidRPr="00AE39BA" w:rsidRDefault="00543765" w:rsidP="00493AED">
            <w:pPr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="00543765" w:rsidRPr="00AE39BA" w14:paraId="1724B2CB" w14:textId="77777777" w:rsidTr="00493AED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68DA7FA8" w14:textId="77777777" w:rsidR="00543765" w:rsidRPr="00AE39BA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21604359" w14:textId="77777777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 xml:space="preserve">C </w:t>
            </w:r>
            <w:r w:rsidRPr="00AE39BA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50475B7" w14:textId="77777777" w:rsidR="00543765" w:rsidRPr="00AE39BA" w:rsidRDefault="00543765" w:rsidP="00493AED">
            <w:pPr>
              <w:shd w:val="clear" w:color="auto" w:fill="FFFFFF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AE39BA">
              <w:rPr>
                <w:rFonts w:asciiTheme="minorHAnsi" w:hAnsiTheme="minorHAnsi" w:cstheme="minorHAnsi"/>
                <w:spacing w:val="-8"/>
              </w:rPr>
              <w:t xml:space="preserve">najniższa cena netto spośród ocenianych ofert </w:t>
            </w:r>
          </w:p>
        </w:tc>
      </w:tr>
      <w:tr w:rsidR="00543765" w:rsidRPr="00AE39BA" w14:paraId="7CA9637B" w14:textId="77777777" w:rsidTr="00493AED">
        <w:trPr>
          <w:cantSplit/>
          <w:jc w:val="center"/>
        </w:trPr>
        <w:tc>
          <w:tcPr>
            <w:tcW w:w="1408" w:type="dxa"/>
            <w:vAlign w:val="center"/>
          </w:tcPr>
          <w:p w14:paraId="75EBC9E5" w14:textId="77777777" w:rsidR="00543765" w:rsidRPr="00AE39BA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1AD4036" w14:textId="77777777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AE39BA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AE39BA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1E8558B9" w14:textId="77777777" w:rsidR="00543765" w:rsidRPr="00AE39BA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AE39BA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AE39BA">
              <w:rPr>
                <w:rFonts w:asciiTheme="minorHAnsi" w:hAnsiTheme="minorHAnsi" w:cstheme="minorHAnsi"/>
                <w:spacing w:val="-8"/>
              </w:rPr>
              <w:t xml:space="preserve"> cena netto oferty ocenianej</w:t>
            </w:r>
          </w:p>
        </w:tc>
      </w:tr>
    </w:tbl>
    <w:p w14:paraId="095A6152" w14:textId="77777777" w:rsidR="00543765" w:rsidRPr="00AE39BA" w:rsidRDefault="00543765" w:rsidP="00543765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6B542F2C" w14:textId="77777777" w:rsidR="00543765" w:rsidRPr="00AE39BA" w:rsidRDefault="00543765" w:rsidP="00543765">
      <w:pPr>
        <w:tabs>
          <w:tab w:val="left" w:pos="284"/>
          <w:tab w:val="left" w:pos="1437"/>
        </w:tabs>
        <w:spacing w:after="80" w:line="360" w:lineRule="auto"/>
        <w:jc w:val="both"/>
        <w:rPr>
          <w:rFonts w:asciiTheme="minorHAnsi" w:eastAsia="Calibri" w:hAnsiTheme="minorHAnsi" w:cstheme="minorHAnsi"/>
        </w:rPr>
      </w:pPr>
      <w:r w:rsidRPr="00AE39BA">
        <w:rPr>
          <w:rFonts w:asciiTheme="minorHAnsi" w:eastAsia="Calibri" w:hAnsiTheme="minorHAnsi" w:cstheme="minorHAnsi"/>
        </w:rPr>
        <w:t>Na cenę oferty składają się następujące elementy:</w:t>
      </w:r>
    </w:p>
    <w:p w14:paraId="17A2A785" w14:textId="77777777" w:rsidR="00543765" w:rsidRPr="00AE39BA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asciiTheme="minorHAnsi" w:eastAsia="Calibri" w:hAnsiTheme="minorHAnsi" w:cstheme="minorHAnsi"/>
          <w:b/>
        </w:rPr>
      </w:pPr>
      <w:r w:rsidRPr="00AE39BA">
        <w:rPr>
          <w:rFonts w:asciiTheme="minorHAnsi" w:eastAsia="Calibri" w:hAnsiTheme="minorHAnsi" w:cstheme="minorHAnsi"/>
          <w:b/>
        </w:rPr>
        <w:t xml:space="preserve">C = C </w:t>
      </w:r>
      <w:r w:rsidRPr="00AE39BA">
        <w:rPr>
          <w:rFonts w:asciiTheme="minorHAnsi" w:eastAsia="Calibri" w:hAnsiTheme="minorHAnsi" w:cstheme="minorHAnsi"/>
          <w:b/>
          <w:vertAlign w:val="subscript"/>
        </w:rPr>
        <w:t>m</w:t>
      </w:r>
      <w:r w:rsidRPr="00AE39BA">
        <w:rPr>
          <w:rFonts w:asciiTheme="minorHAnsi" w:eastAsia="Calibri" w:hAnsiTheme="minorHAnsi" w:cstheme="minorHAnsi"/>
          <w:b/>
        </w:rPr>
        <w:t xml:space="preserve"> + C </w:t>
      </w:r>
      <w:r w:rsidRPr="00AE39BA">
        <w:rPr>
          <w:rFonts w:asciiTheme="minorHAnsi" w:eastAsia="Calibri" w:hAnsiTheme="minorHAnsi" w:cstheme="minorHAnsi"/>
          <w:b/>
          <w:vertAlign w:val="subscript"/>
        </w:rPr>
        <w:t>rbh</w:t>
      </w:r>
      <w:r w:rsidRPr="00AE39BA">
        <w:rPr>
          <w:rFonts w:asciiTheme="minorHAnsi" w:eastAsia="Calibri" w:hAnsiTheme="minorHAnsi" w:cstheme="minorHAnsi"/>
          <w:b/>
        </w:rPr>
        <w:t xml:space="preserve"> </w:t>
      </w:r>
    </w:p>
    <w:p w14:paraId="56014898" w14:textId="77777777" w:rsidR="00543765" w:rsidRPr="00AE39BA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rPr>
          <w:rFonts w:asciiTheme="minorHAnsi" w:eastAsia="Calibri" w:hAnsiTheme="minorHAnsi" w:cstheme="minorHAnsi"/>
        </w:rPr>
      </w:pPr>
      <w:r w:rsidRPr="00AE39BA">
        <w:rPr>
          <w:rFonts w:asciiTheme="minorHAnsi" w:eastAsia="Calibri" w:hAnsiTheme="minorHAnsi" w:cstheme="minorHAnsi"/>
        </w:rPr>
        <w:t xml:space="preserve">gdzie: </w:t>
      </w:r>
    </w:p>
    <w:p w14:paraId="0A4AE0AA" w14:textId="3A15532B" w:rsidR="00543765" w:rsidRPr="00AE39BA" w:rsidRDefault="00543765" w:rsidP="00543765">
      <w:pPr>
        <w:tabs>
          <w:tab w:val="left" w:pos="993"/>
        </w:tabs>
        <w:spacing w:line="360" w:lineRule="auto"/>
        <w:ind w:left="1843" w:hanging="850"/>
        <w:jc w:val="both"/>
        <w:rPr>
          <w:rFonts w:asciiTheme="minorHAnsi" w:eastAsia="Calibri" w:hAnsiTheme="minorHAnsi" w:cstheme="minorHAnsi"/>
        </w:rPr>
      </w:pPr>
      <w:r w:rsidRPr="00AE39BA">
        <w:rPr>
          <w:rFonts w:asciiTheme="minorHAnsi" w:eastAsia="Calibri" w:hAnsiTheme="minorHAnsi" w:cstheme="minorHAnsi"/>
        </w:rPr>
        <w:t xml:space="preserve">  C</w:t>
      </w:r>
      <w:r w:rsidRPr="00AE39BA">
        <w:rPr>
          <w:rFonts w:asciiTheme="minorHAnsi" w:eastAsia="Calibri" w:hAnsiTheme="minorHAnsi" w:cstheme="minorHAnsi"/>
          <w:vertAlign w:val="subscript"/>
        </w:rPr>
        <w:t>m</w:t>
      </w:r>
      <w:r w:rsidRPr="00AE39BA">
        <w:rPr>
          <w:rFonts w:asciiTheme="minorHAnsi" w:eastAsia="Calibri" w:hAnsiTheme="minorHAnsi" w:cstheme="minorHAnsi"/>
        </w:rPr>
        <w:t xml:space="preserve"> – „Łączna cena za świadczenie usługi </w:t>
      </w:r>
      <w:r w:rsidRPr="00AE39BA">
        <w:rPr>
          <w:rFonts w:asciiTheme="minorHAnsi" w:eastAsia="Calibri" w:hAnsiTheme="minorHAnsi" w:cstheme="minorHAnsi"/>
        </w:rPr>
        <w:br/>
        <w:t xml:space="preserve">polegającej na utrzymaniu </w:t>
      </w:r>
      <w:r w:rsidR="0014505C">
        <w:rPr>
          <w:rFonts w:asciiTheme="minorHAnsi" w:eastAsia="Calibri" w:hAnsiTheme="minorHAnsi" w:cstheme="minorHAnsi"/>
        </w:rPr>
        <w:t>Oprogramowania”</w:t>
      </w:r>
    </w:p>
    <w:p w14:paraId="75998D61" w14:textId="3D7F38D7" w:rsidR="00543765" w:rsidRPr="00AE39BA" w:rsidRDefault="00543765" w:rsidP="00543765">
      <w:pPr>
        <w:tabs>
          <w:tab w:val="left" w:pos="284"/>
        </w:tabs>
        <w:spacing w:line="360" w:lineRule="auto"/>
        <w:ind w:left="1843" w:hanging="850"/>
        <w:jc w:val="both"/>
        <w:rPr>
          <w:rFonts w:asciiTheme="minorHAnsi" w:eastAsia="Calibri" w:hAnsiTheme="minorHAnsi" w:cstheme="minorHAnsi"/>
        </w:rPr>
      </w:pPr>
      <w:r w:rsidRPr="00AE39BA">
        <w:rPr>
          <w:rFonts w:asciiTheme="minorHAnsi" w:eastAsia="Calibri" w:hAnsiTheme="minorHAnsi" w:cstheme="minorHAnsi"/>
        </w:rPr>
        <w:t xml:space="preserve">C </w:t>
      </w:r>
      <w:r w:rsidRPr="00AE39BA">
        <w:rPr>
          <w:rFonts w:asciiTheme="minorHAnsi" w:eastAsia="Calibri" w:hAnsiTheme="minorHAnsi" w:cstheme="minorHAnsi"/>
          <w:vertAlign w:val="subscript"/>
        </w:rPr>
        <w:t>rbh</w:t>
      </w:r>
      <w:r w:rsidRPr="00AE39BA">
        <w:rPr>
          <w:rFonts w:asciiTheme="minorHAnsi" w:eastAsia="Calibri" w:hAnsiTheme="minorHAnsi" w:cstheme="minorHAnsi"/>
        </w:rPr>
        <w:t xml:space="preserve"> –   „Łączna cena za  </w:t>
      </w:r>
      <w:r w:rsidR="00344C61">
        <w:rPr>
          <w:rFonts w:asciiTheme="minorHAnsi" w:eastAsia="Calibri" w:hAnsiTheme="minorHAnsi" w:cstheme="minorHAnsi"/>
        </w:rPr>
        <w:t>1</w:t>
      </w:r>
      <w:r w:rsidR="0019617D">
        <w:rPr>
          <w:rFonts w:asciiTheme="minorHAnsi" w:eastAsia="Calibri" w:hAnsiTheme="minorHAnsi" w:cstheme="minorHAnsi"/>
        </w:rPr>
        <w:t>2</w:t>
      </w:r>
      <w:r w:rsidR="00344C61">
        <w:rPr>
          <w:rFonts w:asciiTheme="minorHAnsi" w:eastAsia="Calibri" w:hAnsiTheme="minorHAnsi" w:cstheme="minorHAnsi"/>
        </w:rPr>
        <w:t>0</w:t>
      </w:r>
      <w:r w:rsidRPr="00AE39BA">
        <w:rPr>
          <w:rFonts w:asciiTheme="minorHAnsi" w:eastAsia="Calibri" w:hAnsiTheme="minorHAnsi" w:cstheme="minorHAnsi"/>
        </w:rPr>
        <w:t xml:space="preserve"> roboczogodzin świadczenia usługi polegającej na rozwoju </w:t>
      </w:r>
      <w:r w:rsidR="0014505C">
        <w:rPr>
          <w:rFonts w:asciiTheme="minorHAnsi" w:eastAsia="Calibri" w:hAnsiTheme="minorHAnsi" w:cstheme="minorHAnsi"/>
        </w:rPr>
        <w:t>Oprogramowania</w:t>
      </w:r>
      <w:r w:rsidRPr="00AE39BA">
        <w:rPr>
          <w:rFonts w:asciiTheme="minorHAnsi" w:eastAsia="Calibri" w:hAnsiTheme="minorHAnsi" w:cstheme="minorHAnsi"/>
        </w:rPr>
        <w:t>.”.</w:t>
      </w:r>
    </w:p>
    <w:p w14:paraId="1ED1C836" w14:textId="77777777" w:rsidR="00543765" w:rsidRPr="00AE39BA" w:rsidRDefault="00543765" w:rsidP="00543765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70FA90C3" w14:textId="26253FE4" w:rsidR="00543765" w:rsidRPr="00D602B5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Theme="minorHAnsi" w:hAnsiTheme="minorHAnsi" w:cstheme="minorHAnsi"/>
          <w:b/>
        </w:rPr>
      </w:pPr>
      <w:r w:rsidRPr="00D602B5">
        <w:rPr>
          <w:rFonts w:asciiTheme="minorHAnsi" w:hAnsiTheme="minorHAnsi" w:cstheme="minorHAnsi"/>
          <w:b/>
        </w:rPr>
        <w:t xml:space="preserve">Kryterium - Zrealizowane usługi „Zu” –  waga </w:t>
      </w:r>
      <w:r w:rsidR="00D602B5">
        <w:rPr>
          <w:rFonts w:asciiTheme="minorHAnsi" w:hAnsiTheme="minorHAnsi" w:cstheme="minorHAnsi"/>
          <w:b/>
        </w:rPr>
        <w:t>2</w:t>
      </w:r>
      <w:r w:rsidRPr="00D602B5">
        <w:rPr>
          <w:rFonts w:asciiTheme="minorHAnsi" w:hAnsiTheme="minorHAnsi" w:cstheme="minorHAnsi"/>
          <w:b/>
        </w:rPr>
        <w:t>0%  (</w:t>
      </w:r>
      <w:r w:rsidR="00D602B5">
        <w:rPr>
          <w:rFonts w:asciiTheme="minorHAnsi" w:hAnsiTheme="minorHAnsi" w:cstheme="minorHAnsi"/>
          <w:b/>
        </w:rPr>
        <w:t>20</w:t>
      </w:r>
      <w:r w:rsidRPr="00D602B5">
        <w:rPr>
          <w:rFonts w:asciiTheme="minorHAnsi" w:hAnsiTheme="minorHAnsi" w:cstheme="minorHAnsi"/>
          <w:b/>
        </w:rPr>
        <w:t xml:space="preserve">% = </w:t>
      </w:r>
      <w:r w:rsidR="00D602B5">
        <w:rPr>
          <w:rFonts w:asciiTheme="minorHAnsi" w:hAnsiTheme="minorHAnsi" w:cstheme="minorHAnsi"/>
          <w:b/>
        </w:rPr>
        <w:t>20</w:t>
      </w:r>
      <w:r w:rsidRPr="00D602B5">
        <w:rPr>
          <w:rFonts w:asciiTheme="minorHAnsi" w:hAnsiTheme="minorHAnsi" w:cstheme="minorHAnsi"/>
          <w:b/>
        </w:rPr>
        <w:t xml:space="preserve"> pkt).</w:t>
      </w:r>
    </w:p>
    <w:p w14:paraId="5D456F92" w14:textId="33AA2BBC" w:rsidR="00543765" w:rsidRPr="009A06D1" w:rsidRDefault="00543765" w:rsidP="009A06D1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D602B5">
        <w:rPr>
          <w:rFonts w:asciiTheme="minorHAnsi" w:hAnsiTheme="minorHAnsi" w:cstheme="minorHAnsi"/>
        </w:rPr>
        <w:t>Maksymalną liczbę punktów w tym kryterium (</w:t>
      </w:r>
      <w:r w:rsidR="00D602B5">
        <w:rPr>
          <w:rFonts w:asciiTheme="minorHAnsi" w:hAnsiTheme="minorHAnsi" w:cstheme="minorHAnsi"/>
        </w:rPr>
        <w:t>2</w:t>
      </w:r>
      <w:r w:rsidRPr="00D602B5">
        <w:rPr>
          <w:rFonts w:asciiTheme="minorHAnsi" w:hAnsiTheme="minorHAnsi" w:cstheme="minorHAnsi"/>
        </w:rPr>
        <w:t xml:space="preserve">0 pkt) otrzyma oferta Wykonawcy, który wdrożył najwięcej </w:t>
      </w:r>
      <w:r w:rsidR="005873C7">
        <w:rPr>
          <w:rFonts w:asciiTheme="minorHAnsi" w:hAnsiTheme="minorHAnsi" w:cstheme="minorHAnsi"/>
        </w:rPr>
        <w:t>systemów</w:t>
      </w:r>
      <w:r w:rsidR="00476209">
        <w:rPr>
          <w:rFonts w:asciiTheme="minorHAnsi" w:hAnsiTheme="minorHAnsi" w:cstheme="minorHAnsi"/>
        </w:rPr>
        <w:t xml:space="preserve"> do</w:t>
      </w:r>
      <w:r w:rsidR="005873C7">
        <w:rPr>
          <w:rFonts w:asciiTheme="minorHAnsi" w:hAnsiTheme="minorHAnsi" w:cstheme="minorHAnsi"/>
        </w:rPr>
        <w:t xml:space="preserve"> obsługi incydentów w oparciu o narzędzia firmy Atlassian</w:t>
      </w:r>
      <w:r w:rsidRPr="00D602B5">
        <w:rPr>
          <w:rFonts w:asciiTheme="minorHAnsi" w:hAnsiTheme="minorHAnsi" w:cstheme="minorHAnsi"/>
        </w:rPr>
        <w:t xml:space="preserve">, natomiast pozostali Wykonawcy otrzymają odpowiednio mniejszą liczbę punktów obliczoną zgodnie z poniższym </w:t>
      </w:r>
      <w:r w:rsidR="00D602B5">
        <w:rPr>
          <w:rFonts w:asciiTheme="minorHAnsi" w:hAnsiTheme="minorHAnsi" w:cstheme="minorHAnsi"/>
        </w:rPr>
        <w:t>schematem</w:t>
      </w:r>
      <w:r w:rsidRPr="00D602B5">
        <w:rPr>
          <w:rFonts w:asciiTheme="minorHAnsi" w:hAnsiTheme="minorHAnsi" w:cstheme="minorHAnsi"/>
        </w:rPr>
        <w:t xml:space="preserve">: </w:t>
      </w: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543765" w:rsidRPr="00D602B5" w14:paraId="0E9EB17F" w14:textId="77777777" w:rsidTr="00493AED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0B1B" w14:textId="77777777" w:rsidR="00543765" w:rsidRPr="00985DB3" w:rsidRDefault="00543765" w:rsidP="00985DB3">
            <w:pPr>
              <w:tabs>
                <w:tab w:val="left" w:pos="720"/>
              </w:tabs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  <w:r w:rsidRPr="00985DB3"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E731" w14:textId="314CC931" w:rsidR="00543765" w:rsidRPr="00985DB3" w:rsidRDefault="00543765" w:rsidP="00985DB3">
            <w:pPr>
              <w:tabs>
                <w:tab w:val="left" w:pos="720"/>
              </w:tabs>
              <w:rPr>
                <w:rFonts w:asciiTheme="minorHAnsi" w:eastAsia="Calibri" w:hAnsiTheme="minorHAnsi" w:cstheme="minorHAnsi"/>
                <w:b/>
              </w:rPr>
            </w:pPr>
            <w:r w:rsidRPr="00985DB3">
              <w:rPr>
                <w:rFonts w:asciiTheme="minorHAnsi" w:eastAsia="Calibri" w:hAnsiTheme="minorHAnsi" w:cstheme="minorHAnsi"/>
                <w:b/>
              </w:rPr>
              <w:t xml:space="preserve">Liczba wytworzonych i utrzymywanych </w:t>
            </w:r>
            <w:r w:rsidR="00985DB3" w:rsidRPr="00985DB3">
              <w:rPr>
                <w:rFonts w:asciiTheme="minorHAnsi" w:eastAsia="Calibri" w:hAnsiTheme="minorHAnsi" w:cstheme="minorHAnsi"/>
                <w:b/>
              </w:rPr>
              <w:t>systemów do obsługi incydentów w oparciu o narzędzia firmy Atlassian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195" w14:textId="77777777" w:rsidR="00543765" w:rsidRPr="00985DB3" w:rsidRDefault="00543765" w:rsidP="00985DB3">
            <w:pPr>
              <w:tabs>
                <w:tab w:val="left" w:pos="720"/>
              </w:tabs>
              <w:rPr>
                <w:rFonts w:asciiTheme="minorHAnsi" w:eastAsia="Calibri" w:hAnsiTheme="minorHAnsi" w:cstheme="minorHAnsi"/>
                <w:b/>
              </w:rPr>
            </w:pPr>
            <w:r w:rsidRPr="00985DB3">
              <w:rPr>
                <w:rFonts w:asciiTheme="minorHAnsi" w:eastAsia="Calibri" w:hAnsiTheme="minorHAnsi" w:cstheme="minorHAnsi"/>
                <w:b/>
              </w:rPr>
              <w:t>Liczba uzyskanych punktów:</w:t>
            </w:r>
          </w:p>
        </w:tc>
      </w:tr>
      <w:tr w:rsidR="00543765" w:rsidRPr="00D602B5" w14:paraId="4106A194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09BC" w14:textId="77777777" w:rsidR="00543765" w:rsidRPr="00D602B5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5EC4" w14:textId="6CF77935" w:rsidR="00543765" w:rsidRPr="00D602B5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hAnsiTheme="minorHAnsi" w:cstheme="minorHAnsi"/>
              </w:rPr>
              <w:t xml:space="preserve">(0-2) </w:t>
            </w:r>
            <w:r w:rsidR="005873C7">
              <w:rPr>
                <w:rFonts w:asciiTheme="minorHAnsi" w:hAnsiTheme="minorHAnsi" w:cstheme="minorHAnsi"/>
              </w:rPr>
              <w:t>systemów obsługi incydentów w oparciu o narzędzia firmy Atlassian</w:t>
            </w:r>
            <w:r w:rsidRPr="00D602B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6D94" w14:textId="77777777" w:rsidR="00543765" w:rsidRPr="00D602B5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543765" w:rsidRPr="00D602B5" w14:paraId="2066BA0A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8A4D" w14:textId="77777777" w:rsidR="00543765" w:rsidRPr="00D602B5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7627" w14:textId="3543814E" w:rsidR="00543765" w:rsidRPr="00D602B5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hAnsiTheme="minorHAnsi" w:cstheme="minorHAnsi"/>
              </w:rPr>
              <w:t xml:space="preserve">(3-4) </w:t>
            </w:r>
            <w:r w:rsidR="005873C7">
              <w:rPr>
                <w:rFonts w:asciiTheme="minorHAnsi" w:hAnsiTheme="minorHAnsi" w:cstheme="minorHAnsi"/>
              </w:rPr>
              <w:t>systemów obsługi incydentów w oparciu o narzędzia firmy Atlassian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8944" w14:textId="77777777" w:rsidR="00543765" w:rsidRPr="00D602B5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543765" w:rsidRPr="00D602B5" w14:paraId="42533947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DE49" w14:textId="77777777" w:rsidR="00543765" w:rsidRPr="00D602B5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965" w14:textId="7E0A82C7" w:rsidR="00543765" w:rsidRPr="00D602B5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hAnsiTheme="minorHAnsi" w:cstheme="minorHAnsi"/>
              </w:rPr>
              <w:t xml:space="preserve">(5-6) </w:t>
            </w:r>
            <w:r w:rsidR="005873C7">
              <w:rPr>
                <w:rFonts w:asciiTheme="minorHAnsi" w:hAnsiTheme="minorHAnsi" w:cstheme="minorHAnsi"/>
              </w:rPr>
              <w:t>systemów obsługi incydentów w oparciu o narzędzia firmy Atlassian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71F" w14:textId="77777777" w:rsidR="00543765" w:rsidRPr="00D602B5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10</w:t>
            </w:r>
          </w:p>
        </w:tc>
      </w:tr>
      <w:tr w:rsidR="00543765" w:rsidRPr="00D602B5" w14:paraId="39FDF2F1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A8B" w14:textId="77777777" w:rsidR="00543765" w:rsidRPr="00D602B5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D07D" w14:textId="07D85B22" w:rsidR="00543765" w:rsidRPr="00D602B5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hAnsiTheme="minorHAnsi" w:cstheme="minorHAnsi"/>
              </w:rPr>
              <w:t xml:space="preserve">(7-8) </w:t>
            </w:r>
            <w:r w:rsidR="005873C7">
              <w:rPr>
                <w:rFonts w:asciiTheme="minorHAnsi" w:hAnsiTheme="minorHAnsi" w:cstheme="minorHAnsi"/>
              </w:rPr>
              <w:t>systemów obsługi incydentów w oparciu o narzędzia firmy Atlassian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3BE1" w14:textId="77777777" w:rsidR="00543765" w:rsidRPr="00D602B5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15</w:t>
            </w:r>
          </w:p>
        </w:tc>
      </w:tr>
      <w:tr w:rsidR="00543765" w:rsidRPr="00D602B5" w14:paraId="3115365F" w14:textId="77777777" w:rsidTr="00493AED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D6F9" w14:textId="77777777" w:rsidR="00543765" w:rsidRPr="00D602B5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FCFA" w14:textId="5E74C172" w:rsidR="00543765" w:rsidRPr="00D602B5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hAnsiTheme="minorHAnsi" w:cstheme="minorHAnsi"/>
              </w:rPr>
              <w:t xml:space="preserve">(9-10 i więcej) </w:t>
            </w:r>
            <w:r w:rsidR="005873C7">
              <w:rPr>
                <w:rFonts w:asciiTheme="minorHAnsi" w:hAnsiTheme="minorHAnsi" w:cstheme="minorHAnsi"/>
              </w:rPr>
              <w:t>systemów obsługi incydentów w oparciu o narzędzia firmy Atlassian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D996" w14:textId="77777777" w:rsidR="00543765" w:rsidRPr="00D602B5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D602B5">
              <w:rPr>
                <w:rFonts w:asciiTheme="minorHAnsi" w:eastAsia="Calibri" w:hAnsiTheme="minorHAnsi" w:cstheme="minorHAnsi"/>
              </w:rPr>
              <w:t>20</w:t>
            </w:r>
          </w:p>
        </w:tc>
      </w:tr>
    </w:tbl>
    <w:p w14:paraId="15D39D20" w14:textId="77777777" w:rsidR="00543765" w:rsidRPr="00D602B5" w:rsidRDefault="00543765" w:rsidP="00543765">
      <w:pPr>
        <w:tabs>
          <w:tab w:val="left" w:pos="284"/>
          <w:tab w:val="left" w:pos="1437"/>
        </w:tabs>
        <w:spacing w:after="120" w:line="360" w:lineRule="auto"/>
        <w:rPr>
          <w:rFonts w:asciiTheme="minorHAnsi" w:eastAsia="Calibri" w:hAnsiTheme="minorHAnsi" w:cstheme="minorHAnsi"/>
          <w:b/>
        </w:rPr>
      </w:pPr>
    </w:p>
    <w:p w14:paraId="0D155F70" w14:textId="225C981A" w:rsidR="00543765" w:rsidRPr="00D602B5" w:rsidRDefault="00543765" w:rsidP="009A06D1">
      <w:pPr>
        <w:tabs>
          <w:tab w:val="left" w:pos="284"/>
        </w:tabs>
        <w:spacing w:line="360" w:lineRule="auto"/>
        <w:ind w:left="284"/>
        <w:rPr>
          <w:rFonts w:asciiTheme="minorHAnsi" w:eastAsia="Calibri" w:hAnsiTheme="minorHAnsi" w:cstheme="minorHAnsi"/>
        </w:rPr>
      </w:pPr>
      <w:r w:rsidRPr="00D602B5">
        <w:rPr>
          <w:rFonts w:asciiTheme="minorHAnsi" w:eastAsia="Calibri" w:hAnsiTheme="minorHAnsi" w:cstheme="minorHAnsi"/>
        </w:rPr>
        <w:t>Najkorzystniejsza oferta w odniesieniu do tego kryterium może uzyskać maksimum 20 pkt.</w:t>
      </w:r>
    </w:p>
    <w:p w14:paraId="4138D5A8" w14:textId="541FFDC9" w:rsidR="00543765" w:rsidRPr="009A06D1" w:rsidRDefault="00543765" w:rsidP="009A06D1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D602B5">
        <w:rPr>
          <w:rFonts w:asciiTheme="minorHAnsi" w:hAnsiTheme="minorHAnsi" w:cstheme="minorHAnsi"/>
          <w:b/>
        </w:rPr>
        <w:t xml:space="preserve">Zamawiający dokona wyliczenia punktów dla każdej oferty, za każde kryterium, </w:t>
      </w:r>
      <w:r w:rsidRPr="00D602B5">
        <w:rPr>
          <w:rFonts w:asciiTheme="minorHAnsi" w:hAnsiTheme="minorHAnsi" w:cstheme="minorHAnsi"/>
          <w:b/>
        </w:rPr>
        <w:br/>
        <w:t>z dokładnością do dwóch miejsc po przecinku i wybierze ofertę z najwyższą liczbą punktów ogółem, spośród ofert niepodlegających odrzuceniu, stosując poniższy wzór:</w:t>
      </w:r>
    </w:p>
    <w:p w14:paraId="3C696938" w14:textId="77777777" w:rsidR="00543765" w:rsidRPr="00D602B5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asciiTheme="minorHAnsi" w:eastAsia="Calibri" w:hAnsiTheme="minorHAnsi" w:cstheme="minorHAnsi"/>
          <w:b/>
        </w:rPr>
      </w:pPr>
      <w:r w:rsidRPr="00D602B5">
        <w:rPr>
          <w:rFonts w:asciiTheme="minorHAnsi" w:eastAsia="Calibri" w:hAnsiTheme="minorHAnsi" w:cstheme="minorHAnsi"/>
          <w:b/>
        </w:rPr>
        <w:t>LP = C + Zu</w:t>
      </w:r>
    </w:p>
    <w:p w14:paraId="32F6655B" w14:textId="77777777" w:rsidR="00543765" w:rsidRPr="00D602B5" w:rsidRDefault="00543765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D602B5">
        <w:rPr>
          <w:rFonts w:asciiTheme="minorHAnsi" w:hAnsiTheme="minorHAnsi" w:cstheme="minorHAnsi"/>
        </w:rPr>
        <w:t>Gdzie:</w:t>
      </w:r>
    </w:p>
    <w:p w14:paraId="319B2FFF" w14:textId="77777777" w:rsidR="00543765" w:rsidRPr="00D602B5" w:rsidRDefault="00543765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D602B5">
        <w:rPr>
          <w:rFonts w:asciiTheme="minorHAnsi" w:hAnsiTheme="minorHAnsi" w:cstheme="minorHAnsi"/>
        </w:rPr>
        <w:t>LP - suma punktów uzyskanych przez ofertę we wszystkich kryteriach oceny ofert,</w:t>
      </w:r>
    </w:p>
    <w:p w14:paraId="298D1E9B" w14:textId="1AAD5E71" w:rsidR="00543765" w:rsidRPr="00D602B5" w:rsidRDefault="00543765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D602B5">
        <w:rPr>
          <w:rFonts w:asciiTheme="minorHAnsi" w:hAnsiTheme="minorHAnsi" w:cstheme="minorHAnsi"/>
        </w:rPr>
        <w:t xml:space="preserve">C – punkty za kryterium </w:t>
      </w:r>
      <w:r w:rsidR="005873C7">
        <w:rPr>
          <w:rFonts w:asciiTheme="minorHAnsi" w:hAnsiTheme="minorHAnsi" w:cstheme="minorHAnsi"/>
        </w:rPr>
        <w:t>C</w:t>
      </w:r>
      <w:r w:rsidRPr="00D602B5">
        <w:rPr>
          <w:rFonts w:asciiTheme="minorHAnsi" w:hAnsiTheme="minorHAnsi" w:cstheme="minorHAnsi"/>
        </w:rPr>
        <w:t>ena,</w:t>
      </w:r>
    </w:p>
    <w:p w14:paraId="25DBF966" w14:textId="6A57FDA8" w:rsidR="00543765" w:rsidRDefault="00543765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D602B5">
        <w:rPr>
          <w:rFonts w:asciiTheme="minorHAnsi" w:hAnsiTheme="minorHAnsi" w:cstheme="minorHAnsi"/>
        </w:rPr>
        <w:t>Zu – punkty za kryterium</w:t>
      </w:r>
      <w:r w:rsidR="005873C7">
        <w:rPr>
          <w:rFonts w:asciiTheme="minorHAnsi" w:hAnsiTheme="minorHAnsi" w:cstheme="minorHAnsi"/>
        </w:rPr>
        <w:t xml:space="preserve"> </w:t>
      </w:r>
      <w:r w:rsidRPr="00D602B5">
        <w:rPr>
          <w:rFonts w:asciiTheme="minorHAnsi" w:hAnsiTheme="minorHAnsi" w:cstheme="minorHAnsi"/>
        </w:rPr>
        <w:t>Zrealizowane usługi,</w:t>
      </w:r>
    </w:p>
    <w:p w14:paraId="4CAAF69D" w14:textId="55C3C40B" w:rsidR="009A06D1" w:rsidRDefault="009A06D1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</w:p>
    <w:p w14:paraId="5244C01F" w14:textId="77777777" w:rsidR="009A06D1" w:rsidRPr="00D602B5" w:rsidRDefault="009A06D1" w:rsidP="00543765">
      <w:pPr>
        <w:pStyle w:val="Akapitzlist"/>
        <w:spacing w:before="120" w:after="120"/>
        <w:ind w:left="284"/>
        <w:jc w:val="both"/>
        <w:rPr>
          <w:rFonts w:asciiTheme="minorHAnsi" w:hAnsiTheme="minorHAnsi" w:cstheme="minorHAnsi"/>
        </w:rPr>
      </w:pPr>
    </w:p>
    <w:p w14:paraId="02FB96C6" w14:textId="77777777" w:rsidR="00543765" w:rsidRPr="00AE39BA" w:rsidRDefault="00543765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lastRenderedPageBreak/>
        <w:t>Kary umowne</w:t>
      </w:r>
    </w:p>
    <w:p w14:paraId="21608FDE" w14:textId="77777777" w:rsidR="005873C7" w:rsidRPr="00566123" w:rsidRDefault="005873C7" w:rsidP="005873C7">
      <w:pPr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>Wykonawca ponosi odpowiedzialność za niewykonanie lub nienależyte wykonanie Umowy na zasadach opisanych w Umowie oraz na zasadach ogólnych.</w:t>
      </w:r>
    </w:p>
    <w:p w14:paraId="107BF338" w14:textId="7A880428" w:rsidR="005873C7" w:rsidRDefault="005873C7" w:rsidP="005873C7">
      <w:pPr>
        <w:numPr>
          <w:ilvl w:val="0"/>
          <w:numId w:val="20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W przypadku, gdy Wykonawca nie dotrzyma terminu, o którym mowa </w:t>
      </w:r>
      <w:r w:rsidR="007D64CB" w:rsidRPr="00566123">
        <w:rPr>
          <w:rFonts w:eastAsia="Times New Roman"/>
        </w:rPr>
        <w:t xml:space="preserve">Załączniku nr </w:t>
      </w:r>
      <w:r w:rsidR="007D64CB">
        <w:rPr>
          <w:rFonts w:eastAsia="Times New Roman"/>
        </w:rPr>
        <w:t>1</w:t>
      </w:r>
      <w:r w:rsidR="007D64CB" w:rsidRPr="00566123">
        <w:rPr>
          <w:rFonts w:eastAsia="Times New Roman"/>
        </w:rPr>
        <w:t xml:space="preserve"> do Umowy pkt </w:t>
      </w:r>
      <w:r w:rsidR="007D64CB">
        <w:rPr>
          <w:rFonts w:eastAsia="Times New Roman"/>
        </w:rPr>
        <w:t xml:space="preserve">6 </w:t>
      </w:r>
      <w:r w:rsidRPr="00566123">
        <w:rPr>
          <w:rFonts w:eastAsia="Times New Roman"/>
        </w:rPr>
        <w:t xml:space="preserve">zapłaci Zamawiającemu karę umowną w wysokości 1% wynagrodzenia określonego w § 7 ust. </w:t>
      </w:r>
      <w:r w:rsidR="00FA419F">
        <w:rPr>
          <w:rFonts w:eastAsia="Times New Roman"/>
        </w:rPr>
        <w:t>3</w:t>
      </w:r>
      <w:r w:rsidRPr="00566123">
        <w:rPr>
          <w:rFonts w:eastAsia="Times New Roman"/>
        </w:rPr>
        <w:t xml:space="preserve">, za każdy Dzień Roboczy opóźnienia. </w:t>
      </w:r>
    </w:p>
    <w:p w14:paraId="7BCCFF4B" w14:textId="3D6C9808" w:rsidR="003A7188" w:rsidRPr="003A7188" w:rsidRDefault="003A7188" w:rsidP="003A7188">
      <w:pPr>
        <w:pStyle w:val="Akapitzlist"/>
        <w:numPr>
          <w:ilvl w:val="0"/>
          <w:numId w:val="20"/>
        </w:numPr>
        <w:rPr>
          <w:rFonts w:eastAsia="Times New Roman"/>
        </w:rPr>
      </w:pPr>
      <w:bookmarkStart w:id="0" w:name="_Hlk945517"/>
      <w:r w:rsidRPr="003A7188">
        <w:rPr>
          <w:rFonts w:eastAsia="Times New Roman"/>
        </w:rPr>
        <w:t xml:space="preserve">W przypadku, gdy Wykonawca nie dotrzyma terminu, o którym mowa Załączniku nr </w:t>
      </w:r>
      <w:r>
        <w:rPr>
          <w:rFonts w:eastAsia="Times New Roman"/>
        </w:rPr>
        <w:t>2</w:t>
      </w:r>
      <w:r w:rsidRPr="003A7188">
        <w:rPr>
          <w:rFonts w:eastAsia="Times New Roman"/>
        </w:rPr>
        <w:t xml:space="preserve"> do Umowy pkt 6</w:t>
      </w:r>
      <w:r w:rsidR="00BB549A">
        <w:rPr>
          <w:rFonts w:eastAsia="Times New Roman"/>
        </w:rPr>
        <w:t xml:space="preserve"> </w:t>
      </w:r>
      <w:r w:rsidRPr="003A7188">
        <w:rPr>
          <w:rFonts w:eastAsia="Times New Roman"/>
        </w:rPr>
        <w:t xml:space="preserve"> zapłaci Zamawiającemu karę umowną w wysokości 1% wynagrodzenia określonego w § 7 ust. </w:t>
      </w:r>
      <w:r w:rsidR="00EF3C78">
        <w:rPr>
          <w:rFonts w:eastAsia="Times New Roman"/>
        </w:rPr>
        <w:t>10</w:t>
      </w:r>
      <w:r w:rsidRPr="003A7188">
        <w:rPr>
          <w:rFonts w:eastAsia="Times New Roman"/>
        </w:rPr>
        <w:t xml:space="preserve">, za każdy Dzień Roboczy opóźnienia. </w:t>
      </w:r>
    </w:p>
    <w:bookmarkEnd w:id="0"/>
    <w:p w14:paraId="7E2E6E54" w14:textId="2BA36B85" w:rsidR="005873C7" w:rsidRPr="00566123" w:rsidRDefault="005873C7" w:rsidP="005873C7">
      <w:pPr>
        <w:numPr>
          <w:ilvl w:val="0"/>
          <w:numId w:val="20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W przypadku, gdy Wykonawca nie dotrzyma terminów wynikającego z harmonogramu i kosztorysu, o którym mowa w Załączniku nr 2 do Umowy pkt 7 zapłaci Zamawiającemu karę umowną w wysokości 1% wynagrodzenia określonego w § 7 ust. </w:t>
      </w:r>
      <w:r w:rsidR="00EF3C78">
        <w:rPr>
          <w:rFonts w:eastAsia="Times New Roman"/>
        </w:rPr>
        <w:t>10</w:t>
      </w:r>
      <w:r w:rsidRPr="00566123">
        <w:rPr>
          <w:rFonts w:eastAsia="Times New Roman"/>
        </w:rPr>
        <w:t>, za każdy Dzień Roboczy opóźnienia.</w:t>
      </w:r>
    </w:p>
    <w:p w14:paraId="564B7530" w14:textId="7C650169" w:rsidR="005873C7" w:rsidRPr="00566123" w:rsidRDefault="005873C7" w:rsidP="005873C7">
      <w:pPr>
        <w:numPr>
          <w:ilvl w:val="0"/>
          <w:numId w:val="20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Za każdy przypadek ujawnienia Informacji Poufnych wbrew postanowieniom § 11 </w:t>
      </w:r>
      <w:r w:rsidR="00476209">
        <w:rPr>
          <w:rFonts w:eastAsia="Times New Roman"/>
        </w:rPr>
        <w:t xml:space="preserve">Umowy, </w:t>
      </w:r>
      <w:r w:rsidRPr="00566123">
        <w:rPr>
          <w:rFonts w:eastAsia="Times New Roman"/>
        </w:rPr>
        <w:t xml:space="preserve"> Wykonawca zapłaci Zamawiającemu karę umowną w wysokości 20 000,00 zł.</w:t>
      </w:r>
    </w:p>
    <w:p w14:paraId="27DBA933" w14:textId="7CCC7D75" w:rsidR="005873C7" w:rsidRDefault="005873C7" w:rsidP="005873C7">
      <w:pPr>
        <w:numPr>
          <w:ilvl w:val="0"/>
          <w:numId w:val="20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 rozwiązania lub odstąpienia od umowy z przyczyn leżących po stronie drugiej Strony, każda ze Stron jest uprawniona do żądania zapłaty kary umownej w wysokości 10% kwoty netto wynagrodzenia określonego w §7 ust. 1 Umowy.</w:t>
      </w:r>
    </w:p>
    <w:p w14:paraId="30F6DF8C" w14:textId="77777777" w:rsidR="005873C7" w:rsidRPr="00EF3C78" w:rsidRDefault="005873C7" w:rsidP="00EF3C78">
      <w:pPr>
        <w:numPr>
          <w:ilvl w:val="0"/>
          <w:numId w:val="20"/>
        </w:numPr>
        <w:jc w:val="both"/>
        <w:rPr>
          <w:rFonts w:eastAsia="Times New Roman"/>
        </w:rPr>
      </w:pPr>
      <w:r w:rsidRPr="00EF3C78">
        <w:rPr>
          <w:rFonts w:eastAsia="Times New Roman"/>
        </w:rPr>
        <w:t>Ponadto, Wykonawca zapłaci Zamawiającemu karę umowną:</w:t>
      </w:r>
    </w:p>
    <w:p w14:paraId="09EAC56B" w14:textId="08A25941" w:rsidR="005873C7" w:rsidRPr="00566123" w:rsidRDefault="005873C7" w:rsidP="005873C7">
      <w:pPr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za opóźnienie w usuwaniu Błędów – </w:t>
      </w:r>
      <w:r>
        <w:rPr>
          <w:rFonts w:eastAsia="Times New Roman"/>
        </w:rPr>
        <w:t>0,5</w:t>
      </w:r>
      <w:r w:rsidRPr="00566123">
        <w:rPr>
          <w:rFonts w:eastAsia="Times New Roman"/>
        </w:rPr>
        <w:t xml:space="preserve">% wynagrodzenia, określonego w §7 ust. 2 za każdy </w:t>
      </w:r>
      <w:r w:rsidR="00476209">
        <w:rPr>
          <w:rFonts w:eastAsia="Times New Roman"/>
        </w:rPr>
        <w:t>d</w:t>
      </w:r>
      <w:r w:rsidRPr="00566123">
        <w:rPr>
          <w:rFonts w:eastAsia="Times New Roman"/>
        </w:rPr>
        <w:t>zień roboczy opóźnienia;</w:t>
      </w:r>
    </w:p>
    <w:p w14:paraId="684D363E" w14:textId="5B0800B5" w:rsidR="00EF3C78" w:rsidRDefault="005873C7" w:rsidP="00EF3C78">
      <w:pPr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za opóźnienie w usuwaniu Błędów krytycznych – </w:t>
      </w:r>
      <w:r>
        <w:rPr>
          <w:rFonts w:eastAsia="Times New Roman"/>
        </w:rPr>
        <w:t>1</w:t>
      </w:r>
      <w:r w:rsidRPr="00566123">
        <w:rPr>
          <w:rFonts w:eastAsia="Times New Roman"/>
        </w:rPr>
        <w:t>% wynagrodzenia, określonego w §7 ust. 2 za każdy dzień roboczy opóźnienia.</w:t>
      </w:r>
    </w:p>
    <w:p w14:paraId="52E72218" w14:textId="77777777" w:rsidR="005873C7" w:rsidRPr="00EF3C78" w:rsidRDefault="005873C7" w:rsidP="00EF3C78">
      <w:pPr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EF3C78">
        <w:rPr>
          <w:rFonts w:eastAsia="Times New Roman"/>
        </w:rPr>
        <w:t>Łączna wysokość naliczonej kary umownej nie może przekraczać 40% wynagrodzenia, o którym mowa w § 7 ust. 1 Umowy.</w:t>
      </w:r>
    </w:p>
    <w:p w14:paraId="0813D8A0" w14:textId="77777777" w:rsidR="005873C7" w:rsidRPr="00566123" w:rsidRDefault="005873C7" w:rsidP="00EF3C78">
      <w:pPr>
        <w:numPr>
          <w:ilvl w:val="0"/>
          <w:numId w:val="21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Kary umowne będą płatne przez Wykonawcę w terminie 10 dni, licząc od dnia dostarczenia Wykonawcy wezwania do zapłaty/noty księgowej, przelewem na rachunek bankowy Zamawiającego wskazany w wezwaniu do zapłaty/nocie księgowej. W przypadku niedokonania zapłaty kary umownej we wskazanym terminie może być ona również wyegzekwowana poprzez potrącanie z odsetkami ustawowymi z wynagrodzenia należnego Wykonawcy, na co Wykonawca wyraża zgodę i do czego upoważnia Zamawiającego bez potrzeby uzyskiwania pisemnego potwierdzenia.</w:t>
      </w:r>
    </w:p>
    <w:p w14:paraId="7C6A26CC" w14:textId="77777777" w:rsidR="005873C7" w:rsidRPr="00566123" w:rsidRDefault="005873C7" w:rsidP="00EF3C78">
      <w:pPr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>Strony zastrzegają sobie prawo dochodzenia odszkodowania uzupełniającego, przewyższającego wysokość kar umownych, do wysokości rzeczywiście poniesionej szkody.</w:t>
      </w:r>
    </w:p>
    <w:p w14:paraId="433DAC51" w14:textId="77777777" w:rsidR="00543765" w:rsidRPr="00063EF6" w:rsidRDefault="00543765" w:rsidP="00543765"/>
    <w:p w14:paraId="30087F07" w14:textId="77777777" w:rsidR="00543765" w:rsidRPr="00AE39BA" w:rsidRDefault="00543765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lastRenderedPageBreak/>
        <w:t xml:space="preserve">Termin związania ofertą </w:t>
      </w:r>
    </w:p>
    <w:p w14:paraId="50FDF167" w14:textId="77777777" w:rsidR="00543765" w:rsidRPr="00AE39BA" w:rsidRDefault="00543765" w:rsidP="00543765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2"/>
          <w:szCs w:val="22"/>
          <w:lang w:eastAsia="en-US" w:bidi="ar-SA"/>
        </w:rPr>
      </w:pPr>
      <w:r w:rsidRPr="00AE39BA">
        <w:rPr>
          <w:rFonts w:ascii="Calibri" w:hAnsi="Calibri"/>
          <w:kern w:val="0"/>
          <w:sz w:val="22"/>
          <w:szCs w:val="22"/>
          <w:lang w:eastAsia="en-US" w:bidi="ar-SA"/>
        </w:rPr>
        <w:t>Zamawiający wymaga aby składane oferty były ważne przez co najmniej 60 dni.</w:t>
      </w:r>
    </w:p>
    <w:p w14:paraId="20388D9B" w14:textId="77777777" w:rsidR="004E5460" w:rsidRPr="00AE39BA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349D48E1" w14:textId="77777777" w:rsidR="004E5460" w:rsidRPr="00AE39BA" w:rsidRDefault="004E5460" w:rsidP="00AE39BA">
      <w:pPr>
        <w:pStyle w:val="Nagwek2"/>
        <w:rPr>
          <w:sz w:val="32"/>
          <w:szCs w:val="32"/>
        </w:rPr>
      </w:pPr>
      <w:r w:rsidRPr="00AE39BA">
        <w:rPr>
          <w:sz w:val="32"/>
          <w:szCs w:val="32"/>
        </w:rPr>
        <w:t>Procedura składania ofert</w:t>
      </w:r>
    </w:p>
    <w:p w14:paraId="1101A3DA" w14:textId="50D322F8" w:rsidR="004E5460" w:rsidRPr="00AE39BA" w:rsidRDefault="00543765" w:rsidP="008934B1">
      <w:pPr>
        <w:jc w:val="both"/>
        <w:rPr>
          <w:rFonts w:asciiTheme="minorHAnsi" w:hAnsiTheme="minorHAnsi" w:cstheme="minorHAnsi"/>
        </w:rPr>
      </w:pPr>
      <w:r w:rsidRPr="00AE39BA">
        <w:rPr>
          <w:rFonts w:asciiTheme="minorHAnsi" w:hAnsiTheme="minorHAnsi" w:cstheme="minorHAnsi"/>
        </w:rPr>
        <w:t xml:space="preserve">Ofertę zawierającą cenę netto </w:t>
      </w:r>
      <w:r w:rsidR="00357CE7">
        <w:rPr>
          <w:rFonts w:asciiTheme="minorHAnsi" w:hAnsiTheme="minorHAnsi" w:cstheme="minorHAnsi"/>
        </w:rPr>
        <w:t>(</w:t>
      </w:r>
      <w:r w:rsidRPr="00AE39BA">
        <w:rPr>
          <w:rFonts w:asciiTheme="minorHAnsi" w:hAnsiTheme="minorHAnsi" w:cstheme="minorHAnsi"/>
        </w:rPr>
        <w:t>w złotych polskich</w:t>
      </w:r>
      <w:r w:rsidR="00357CE7">
        <w:rPr>
          <w:rFonts w:asciiTheme="minorHAnsi" w:hAnsiTheme="minorHAnsi" w:cstheme="minorHAnsi"/>
        </w:rPr>
        <w:t>)</w:t>
      </w:r>
      <w:r w:rsidRPr="00AE39BA">
        <w:rPr>
          <w:rFonts w:asciiTheme="minorHAnsi" w:hAnsiTheme="minorHAnsi" w:cstheme="minorHAnsi"/>
        </w:rPr>
        <w:t xml:space="preserve"> za usługę utrzymania i usługę rozwoju</w:t>
      </w:r>
      <w:r w:rsidR="008934B1">
        <w:rPr>
          <w:rFonts w:asciiTheme="minorHAnsi" w:hAnsiTheme="minorHAnsi" w:cstheme="minorHAnsi"/>
        </w:rPr>
        <w:t xml:space="preserve"> SOI</w:t>
      </w:r>
      <w:r w:rsidRPr="00AE39BA">
        <w:rPr>
          <w:rFonts w:asciiTheme="minorHAnsi" w:hAnsiTheme="minorHAnsi" w:cstheme="minorHAnsi"/>
        </w:rPr>
        <w:t xml:space="preserve"> oraz listę zrealizowanych usług należy przesłać do dnia</w:t>
      </w:r>
      <w:r w:rsidR="005873C7">
        <w:rPr>
          <w:rFonts w:asciiTheme="minorHAnsi" w:hAnsiTheme="minorHAnsi" w:cstheme="minorHAnsi"/>
        </w:rPr>
        <w:t xml:space="preserve"> </w:t>
      </w:r>
      <w:r w:rsidR="001F7A4A" w:rsidRPr="001F7A4A">
        <w:rPr>
          <w:rFonts w:asciiTheme="minorHAnsi" w:hAnsiTheme="minorHAnsi" w:cstheme="minorHAnsi"/>
          <w:b/>
          <w:bCs/>
        </w:rPr>
        <w:t>7</w:t>
      </w:r>
      <w:r w:rsidR="00357CE7" w:rsidRPr="001F7A4A">
        <w:rPr>
          <w:rFonts w:asciiTheme="minorHAnsi" w:hAnsiTheme="minorHAnsi" w:cstheme="minorHAnsi"/>
          <w:b/>
          <w:bCs/>
        </w:rPr>
        <w:t xml:space="preserve"> </w:t>
      </w:r>
      <w:r w:rsidR="001F7A4A" w:rsidRPr="001F7A4A">
        <w:rPr>
          <w:rFonts w:asciiTheme="minorHAnsi" w:hAnsiTheme="minorHAnsi" w:cstheme="minorHAnsi"/>
          <w:b/>
          <w:bCs/>
        </w:rPr>
        <w:t>lutego</w:t>
      </w:r>
      <w:r w:rsidR="00357CE7" w:rsidRPr="001F7A4A">
        <w:rPr>
          <w:rFonts w:asciiTheme="minorHAnsi" w:hAnsiTheme="minorHAnsi" w:cstheme="minorHAnsi"/>
          <w:b/>
          <w:bCs/>
        </w:rPr>
        <w:t xml:space="preserve"> 2020 r.</w:t>
      </w:r>
      <w:r w:rsidR="003849CC">
        <w:rPr>
          <w:rFonts w:asciiTheme="minorHAnsi" w:hAnsiTheme="minorHAnsi" w:cstheme="minorHAnsi"/>
          <w:b/>
          <w:bCs/>
        </w:rPr>
        <w:t xml:space="preserve"> do godz. 15:00</w:t>
      </w:r>
      <w:bookmarkStart w:id="1" w:name="_GoBack"/>
      <w:bookmarkEnd w:id="1"/>
      <w:r w:rsidR="00357CE7">
        <w:rPr>
          <w:rFonts w:asciiTheme="minorHAnsi" w:hAnsiTheme="minorHAnsi" w:cstheme="minorHAnsi"/>
        </w:rPr>
        <w:t xml:space="preserve"> </w:t>
      </w:r>
      <w:r w:rsidR="004E5460" w:rsidRPr="00AE39BA">
        <w:rPr>
          <w:rFonts w:asciiTheme="minorHAnsi" w:hAnsiTheme="minorHAnsi" w:cstheme="minorHAnsi"/>
        </w:rPr>
        <w:t xml:space="preserve">na adres e-mail:  </w:t>
      </w:r>
      <w:r w:rsidR="00E806EC" w:rsidRPr="00357CE7">
        <w:rPr>
          <w:rStyle w:val="Hipercze"/>
          <w:rFonts w:asciiTheme="minorHAnsi" w:hAnsiTheme="minorHAnsi" w:cstheme="minorHAnsi"/>
          <w:color w:val="000000" w:themeColor="text1"/>
        </w:rPr>
        <w:t>njankowska@pfron.org.pl</w:t>
      </w:r>
      <w:r w:rsidR="00E806EC" w:rsidRPr="00FA419F">
        <w:rPr>
          <w:rFonts w:asciiTheme="minorHAnsi" w:hAnsiTheme="minorHAnsi" w:cstheme="minorHAnsi"/>
          <w:color w:val="000000" w:themeColor="text1"/>
        </w:rPr>
        <w:t xml:space="preserve"> </w:t>
      </w:r>
    </w:p>
    <w:p w14:paraId="06F799F2" w14:textId="77777777" w:rsidR="004E5460" w:rsidRPr="00AE39BA" w:rsidRDefault="004E5460" w:rsidP="008934B1">
      <w:pPr>
        <w:jc w:val="both"/>
        <w:rPr>
          <w:rFonts w:asciiTheme="minorHAnsi" w:hAnsiTheme="minorHAnsi" w:cstheme="minorHAnsi"/>
        </w:rPr>
      </w:pPr>
      <w:r w:rsidRPr="00AE39BA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4B067D3A" w14:textId="265093F8" w:rsidR="004A0AFA" w:rsidRDefault="004E5460" w:rsidP="008934B1">
      <w:pPr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PFRON może unieważnić zapytanie na każdym etapie bez podania przyczyn. </w:t>
      </w:r>
      <w:r w:rsidRPr="00851BA2">
        <w:rPr>
          <w:rFonts w:asciiTheme="minorHAnsi" w:hAnsiTheme="minorHAnsi" w:cstheme="minorHAnsi"/>
        </w:rPr>
        <w:br/>
        <w:t>W przypadku unieważnienia zapytania PFRON nie ponosi kosztów postępowania.</w:t>
      </w:r>
    </w:p>
    <w:p w14:paraId="7C495008" w14:textId="77777777" w:rsidR="009A06D1" w:rsidRPr="004A0AFA" w:rsidRDefault="009A06D1" w:rsidP="004A0AFA">
      <w:pPr>
        <w:jc w:val="both"/>
        <w:rPr>
          <w:rFonts w:asciiTheme="minorHAnsi" w:hAnsiTheme="minorHAnsi" w:cstheme="minorHAnsi"/>
        </w:rPr>
      </w:pPr>
    </w:p>
    <w:p w14:paraId="2CBAA0B1" w14:textId="152A0C25" w:rsidR="004E5460" w:rsidRPr="0014505C" w:rsidRDefault="004E5460" w:rsidP="0014505C">
      <w:pPr>
        <w:pStyle w:val="Nagwek2"/>
        <w:rPr>
          <w:sz w:val="32"/>
          <w:szCs w:val="32"/>
        </w:rPr>
      </w:pPr>
      <w:r w:rsidRPr="0014505C">
        <w:rPr>
          <w:sz w:val="32"/>
          <w:szCs w:val="32"/>
        </w:rPr>
        <w:t>Osoby do kontaktu</w:t>
      </w:r>
    </w:p>
    <w:p w14:paraId="0EB36385" w14:textId="77777777" w:rsidR="004E5460" w:rsidRPr="00851BA2" w:rsidRDefault="004E5460">
      <w:pPr>
        <w:spacing w:before="24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Szczegółowych informacji odnośnie przedmiotu zapytania udziela:</w:t>
      </w:r>
    </w:p>
    <w:p w14:paraId="12FDA828" w14:textId="365F72B6" w:rsidR="004E5460" w:rsidRPr="004E23E9" w:rsidRDefault="00E806EC" w:rsidP="004E23E9">
      <w:pPr>
        <w:pStyle w:val="Akapitzlist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4E23E9">
        <w:rPr>
          <w:rFonts w:asciiTheme="minorHAnsi" w:hAnsiTheme="minorHAnsi" w:cstheme="minorHAnsi"/>
        </w:rPr>
        <w:t>Natalia Jankowska</w:t>
      </w:r>
      <w:r w:rsidR="004E5460" w:rsidRPr="004E23E9">
        <w:rPr>
          <w:rFonts w:asciiTheme="minorHAnsi" w:hAnsiTheme="minorHAnsi" w:cstheme="minorHAnsi"/>
        </w:rPr>
        <w:t xml:space="preserve"> tel.: +48 </w:t>
      </w:r>
      <w:r w:rsidRPr="004E23E9">
        <w:rPr>
          <w:rFonts w:asciiTheme="minorHAnsi" w:hAnsiTheme="minorHAnsi" w:cstheme="minorHAnsi"/>
        </w:rPr>
        <w:t>22 5055143</w:t>
      </w:r>
      <w:r w:rsidR="00762A1E" w:rsidRPr="004E23E9">
        <w:rPr>
          <w:rFonts w:asciiTheme="minorHAnsi" w:hAnsiTheme="minorHAnsi" w:cstheme="minorHAnsi"/>
        </w:rPr>
        <w:t xml:space="preserve"> e-mail: </w:t>
      </w:r>
      <w:r w:rsidRPr="004E23E9">
        <w:rPr>
          <w:rFonts w:asciiTheme="minorHAnsi" w:hAnsiTheme="minorHAnsi" w:cstheme="minorHAnsi"/>
        </w:rPr>
        <w:t>njankowska</w:t>
      </w:r>
      <w:r w:rsidR="00762A1E" w:rsidRPr="004E23E9">
        <w:rPr>
          <w:rFonts w:asciiTheme="minorHAnsi" w:hAnsiTheme="minorHAnsi" w:cstheme="minorHAnsi"/>
        </w:rPr>
        <w:t>@pfron.org.pl</w:t>
      </w:r>
      <w:r w:rsidR="004E5460" w:rsidRPr="004E23E9">
        <w:rPr>
          <w:rFonts w:asciiTheme="minorHAnsi" w:hAnsiTheme="minorHAnsi" w:cstheme="minorHAnsi"/>
        </w:rPr>
        <w:t xml:space="preserve"> </w:t>
      </w:r>
    </w:p>
    <w:p w14:paraId="2828BAE8" w14:textId="77777777" w:rsidR="004E5460" w:rsidRPr="0014505C" w:rsidRDefault="004E5460" w:rsidP="0014505C">
      <w:pPr>
        <w:pStyle w:val="Nagwek2"/>
        <w:rPr>
          <w:sz w:val="32"/>
          <w:szCs w:val="32"/>
        </w:rPr>
      </w:pPr>
      <w:r w:rsidRPr="0014505C">
        <w:rPr>
          <w:sz w:val="32"/>
          <w:szCs w:val="32"/>
        </w:rPr>
        <w:t>Ochrona danych osobowych</w:t>
      </w:r>
    </w:p>
    <w:p w14:paraId="3D972ED9" w14:textId="77777777" w:rsidR="004E5460" w:rsidRPr="00851BA2" w:rsidRDefault="004E5460">
      <w:pPr>
        <w:spacing w:after="150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Zgodnie z art. 13 ust. 1 i 2 </w:t>
      </w:r>
      <w:r w:rsidRPr="00851BA2">
        <w:rPr>
          <w:rFonts w:asciiTheme="minorHAnsi" w:hAnsiTheme="minorHAns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1BA2">
        <w:rPr>
          <w:rFonts w:asciiTheme="minorHAnsi" w:hAnsiTheme="minorHAnsi" w:cstheme="minorHAnsi"/>
          <w:lang w:eastAsia="pl-PL"/>
        </w:rPr>
        <w:t xml:space="preserve">dalej „RODO”, informuję, że: </w:t>
      </w:r>
    </w:p>
    <w:p w14:paraId="7F843012" w14:textId="5C9C83B2" w:rsidR="004E5460" w:rsidRPr="00851BA2" w:rsidRDefault="004E5460" w:rsidP="00FC61E4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851BA2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851BA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2EF4B42B" w14:textId="705750D0" w:rsidR="004E5460" w:rsidRPr="00851BA2" w:rsidRDefault="004E5460" w:rsidP="00FC61E4">
      <w:pPr>
        <w:pStyle w:val="Akapitzlist"/>
        <w:numPr>
          <w:ilvl w:val="0"/>
          <w:numId w:val="14"/>
        </w:numPr>
        <w:spacing w:after="0"/>
        <w:jc w:val="both"/>
        <w:rPr>
          <w:rStyle w:val="Uwydatnienie"/>
          <w:rFonts w:asciiTheme="minorHAnsi" w:hAnsiTheme="minorHAnsi" w:cstheme="minorHAnsi"/>
          <w:i w:val="0"/>
          <w:iCs w:val="0"/>
          <w:lang w:val="en-US"/>
        </w:rPr>
      </w:pPr>
      <w:r w:rsidRPr="00851BA2">
        <w:rPr>
          <w:rFonts w:asciiTheme="minorHAnsi" w:hAnsiTheme="minorHAnsi" w:cstheme="minorHAnsi"/>
        </w:rPr>
        <w:t xml:space="preserve">Dane kontaktowe Inspektora Ochrony Danych Osobowych to: </w:t>
      </w:r>
      <w:r w:rsidRPr="00851BA2">
        <w:rPr>
          <w:rStyle w:val="Uwydatnienie"/>
          <w:rFonts w:asciiTheme="minorHAnsi" w:hAnsiTheme="minorHAnsi" w:cstheme="minorHAnsi"/>
          <w:i w:val="0"/>
          <w:iCs w:val="0"/>
        </w:rPr>
        <w:t xml:space="preserve">adres: al. Jana Pawła II 13, 00-828 Warszawa, </w:t>
      </w:r>
      <w:r w:rsidRPr="00851BA2">
        <w:rPr>
          <w:rStyle w:val="Uwydatnienie"/>
          <w:rFonts w:asciiTheme="minorHAnsi" w:hAnsiTheme="minorHAnsi" w:cstheme="minorHAnsi"/>
          <w:i w:val="0"/>
          <w:iCs w:val="0"/>
          <w:lang w:val="en-US"/>
        </w:rPr>
        <w:t>e-mail:</w:t>
      </w:r>
      <w:r w:rsidRPr="00FA419F">
        <w:rPr>
          <w:rStyle w:val="Uwydatnienie"/>
          <w:rFonts w:asciiTheme="minorHAnsi" w:hAnsiTheme="minorHAnsi" w:cstheme="minorHAnsi"/>
          <w:i w:val="0"/>
          <w:iCs w:val="0"/>
          <w:color w:val="000000" w:themeColor="text1"/>
          <w:lang w:val="en-US"/>
        </w:rPr>
        <w:t xml:space="preserve"> </w:t>
      </w:r>
      <w:hyperlink r:id="rId8" w:history="1">
        <w:r w:rsidRPr="00FA419F">
          <w:rPr>
            <w:rStyle w:val="Hipercze"/>
            <w:rFonts w:asciiTheme="minorHAnsi" w:hAnsiTheme="minorHAnsi" w:cstheme="minorHAnsi"/>
            <w:color w:val="000000" w:themeColor="text1"/>
            <w:u w:val="none"/>
            <w:lang w:val="en-US"/>
          </w:rPr>
          <w:t>iod@pfron.org.pl</w:t>
        </w:r>
      </w:hyperlink>
    </w:p>
    <w:p w14:paraId="7CB09289" w14:textId="60C43D56" w:rsidR="004E5460" w:rsidRPr="00851BA2" w:rsidRDefault="004E5460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 Dane przetwarzane są:</w:t>
      </w:r>
    </w:p>
    <w:p w14:paraId="6371FD28" w14:textId="77777777" w:rsidR="00FC61E4" w:rsidRPr="00851BA2" w:rsidRDefault="00FC61E4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</w:p>
    <w:p w14:paraId="1CF28576" w14:textId="66F2D824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 celu zawarcia i wykonywania łączącej Zamawiaj</w:t>
      </w:r>
      <w:r w:rsidR="004E23E9">
        <w:rPr>
          <w:rFonts w:asciiTheme="minorHAnsi" w:hAnsiTheme="minorHAnsi" w:cstheme="minorHAnsi"/>
        </w:rPr>
        <w:t>ą</w:t>
      </w:r>
      <w:r w:rsidRPr="00851BA2">
        <w:rPr>
          <w:rFonts w:asciiTheme="minorHAnsi" w:hAnsiTheme="minorHAnsi" w:cstheme="minorHAnsi"/>
        </w:rPr>
        <w:t>cego i Wykonawcę umowy (podstawa prawna: art. 6 ust. 1b) RODO,</w:t>
      </w:r>
    </w:p>
    <w:p w14:paraId="1EF6C4BB" w14:textId="77777777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7BE5EAA2" w14:textId="77777777" w:rsidR="004E5460" w:rsidRPr="00851BA2" w:rsidRDefault="004E5460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E674B9A" w14:textId="77777777" w:rsidR="004E5460" w:rsidRPr="00851BA2" w:rsidRDefault="004E5460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Posiada Pani/Pan prawo do:</w:t>
      </w:r>
    </w:p>
    <w:p w14:paraId="1BCC2B70" w14:textId="77777777" w:rsidR="004E5460" w:rsidRPr="00851BA2" w:rsidRDefault="004E5460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02AB2F06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dostępu do danych osobowych Pana/Pani dotyczących;</w:t>
      </w:r>
    </w:p>
    <w:p w14:paraId="7C37A9A8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sprostowania danych osobowych;</w:t>
      </w:r>
    </w:p>
    <w:p w14:paraId="7E747FE0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usunięcia w sytuacjach określonych w art. 17 ust. 1 RODO z zastrzeżeniem art. 17 ust. 3 RODO;</w:t>
      </w:r>
    </w:p>
    <w:p w14:paraId="565AB01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ograniczenia przetwarzania;</w:t>
      </w:r>
    </w:p>
    <w:p w14:paraId="7021EB4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wniesienia sprzeciwu wobec przetwarzania;</w:t>
      </w:r>
    </w:p>
    <w:p w14:paraId="604BA782" w14:textId="3137B4CD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cofnięcia w dowolnym momencie zgody na przetwarzanie danych osobowych bez wpływu na zgodność z prawem przetwarzania, którego dokonano na podstawie zgody przed jej cofnięciem;</w:t>
      </w:r>
    </w:p>
    <w:p w14:paraId="51660037" w14:textId="77777777" w:rsidR="004E5460" w:rsidRPr="00851BA2" w:rsidRDefault="004E5460">
      <w:pPr>
        <w:pStyle w:val="Tekstpodstawowy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7) </w:t>
      </w:r>
      <w:r w:rsidRPr="00851BA2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51231D97" w14:textId="77777777" w:rsidR="004E5460" w:rsidRPr="00851BA2" w:rsidRDefault="004E5460">
      <w:pPr>
        <w:spacing w:after="150"/>
        <w:ind w:left="720"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-   </w:t>
      </w:r>
      <w:r w:rsidRPr="00851BA2">
        <w:rPr>
          <w:rFonts w:asciiTheme="minorHAnsi" w:hAnsiTheme="minorHAnsi" w:cstheme="minorHAnsi"/>
          <w:lang w:eastAsia="pl-PL"/>
        </w:rPr>
        <w:t>W odniesieniu do Pani/Pana danych osobowych decyzje nie będą podejmowane w sposób zautomatyzowany, stosowanie do art. 22 RODO;</w:t>
      </w:r>
    </w:p>
    <w:p w14:paraId="4B32FB01" w14:textId="5C878239" w:rsidR="004E5460" w:rsidRDefault="004E5460">
      <w:pPr>
        <w:pStyle w:val="Akapitzlist"/>
        <w:spacing w:after="0"/>
        <w:ind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0D4AFD40" w14:textId="77777777" w:rsidR="00344C61" w:rsidRPr="00851BA2" w:rsidRDefault="00344C61" w:rsidP="00344C61">
      <w:pPr>
        <w:rPr>
          <w:rFonts w:asciiTheme="minorHAnsi" w:hAnsiTheme="minorHAnsi" w:cstheme="minorHAnsi"/>
        </w:rPr>
      </w:pPr>
    </w:p>
    <w:sectPr w:rsidR="00344C61" w:rsidRPr="00851BA2" w:rsidSect="004E54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A607" w14:textId="77777777" w:rsidR="00A36CEE" w:rsidRDefault="00A3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04EAAC3" w14:textId="77777777" w:rsidR="00A36CEE" w:rsidRDefault="00A3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0F32EAF5" w14:textId="77777777" w:rsidR="00A36CEE" w:rsidRDefault="00A36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533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C182FF" w14:textId="5211382B" w:rsidR="00344C61" w:rsidRDefault="00344C6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26608" w14:textId="77777777" w:rsidR="00344C61" w:rsidRDefault="00344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AB7B4" w14:textId="77777777" w:rsidR="00A36CEE" w:rsidRDefault="00A3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1A2E0FC" w14:textId="77777777" w:rsidR="00A36CEE" w:rsidRDefault="00A36C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1E91C5B4" w14:textId="77777777" w:rsidR="00A36CEE" w:rsidRDefault="00A36C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923F6E"/>
    <w:multiLevelType w:val="hybridMultilevel"/>
    <w:tmpl w:val="C42C85D8"/>
    <w:lvl w:ilvl="0" w:tplc="59C0A45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E2FE5"/>
    <w:multiLevelType w:val="hybridMultilevel"/>
    <w:tmpl w:val="BE9AA150"/>
    <w:lvl w:ilvl="0" w:tplc="03B2324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A575D69"/>
    <w:multiLevelType w:val="hybridMultilevel"/>
    <w:tmpl w:val="9BFCA632"/>
    <w:lvl w:ilvl="0" w:tplc="5B1A67A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2B6B10"/>
    <w:multiLevelType w:val="hybridMultilevel"/>
    <w:tmpl w:val="0E564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5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E24712"/>
    <w:multiLevelType w:val="multilevel"/>
    <w:tmpl w:val="950A04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2329ED"/>
    <w:multiLevelType w:val="hybridMultilevel"/>
    <w:tmpl w:val="6BDE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614C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5"/>
  </w:num>
  <w:num w:numId="5">
    <w:abstractNumId w:val="17"/>
  </w:num>
  <w:num w:numId="6">
    <w:abstractNumId w:val="0"/>
  </w:num>
  <w:num w:numId="7">
    <w:abstractNumId w:val="13"/>
  </w:num>
  <w:num w:numId="8">
    <w:abstractNumId w:val="18"/>
  </w:num>
  <w:num w:numId="9">
    <w:abstractNumId w:val="7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  <w:num w:numId="16">
    <w:abstractNumId w:val="16"/>
  </w:num>
  <w:num w:numId="17">
    <w:abstractNumId w:val="14"/>
  </w:num>
  <w:num w:numId="18">
    <w:abstractNumId w:val="11"/>
  </w:num>
  <w:num w:numId="19">
    <w:abstractNumId w:val="19"/>
  </w:num>
  <w:num w:numId="20">
    <w:abstractNumId w:val="22"/>
  </w:num>
  <w:num w:numId="21">
    <w:abstractNumId w:val="20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530D0"/>
    <w:rsid w:val="000549E0"/>
    <w:rsid w:val="00063DD7"/>
    <w:rsid w:val="0007266A"/>
    <w:rsid w:val="00081EF6"/>
    <w:rsid w:val="0008307B"/>
    <w:rsid w:val="000955C3"/>
    <w:rsid w:val="00095980"/>
    <w:rsid w:val="00096E95"/>
    <w:rsid w:val="000C4B42"/>
    <w:rsid w:val="000D64E3"/>
    <w:rsid w:val="000E425D"/>
    <w:rsid w:val="00112AA8"/>
    <w:rsid w:val="00131D99"/>
    <w:rsid w:val="0014505C"/>
    <w:rsid w:val="00157C82"/>
    <w:rsid w:val="001625B2"/>
    <w:rsid w:val="00163CA8"/>
    <w:rsid w:val="00164DD2"/>
    <w:rsid w:val="0016703B"/>
    <w:rsid w:val="00172FA3"/>
    <w:rsid w:val="0017781B"/>
    <w:rsid w:val="001807B6"/>
    <w:rsid w:val="0019617D"/>
    <w:rsid w:val="00196BF9"/>
    <w:rsid w:val="001B6225"/>
    <w:rsid w:val="001B7DB1"/>
    <w:rsid w:val="001F7A4A"/>
    <w:rsid w:val="00206EBA"/>
    <w:rsid w:val="00210263"/>
    <w:rsid w:val="002422C4"/>
    <w:rsid w:val="00261140"/>
    <w:rsid w:val="00275DE1"/>
    <w:rsid w:val="00280005"/>
    <w:rsid w:val="002855A8"/>
    <w:rsid w:val="00295940"/>
    <w:rsid w:val="002B1036"/>
    <w:rsid w:val="002D0F7F"/>
    <w:rsid w:val="002D24B0"/>
    <w:rsid w:val="002D55C4"/>
    <w:rsid w:val="002E1F82"/>
    <w:rsid w:val="002E5E3F"/>
    <w:rsid w:val="0030178D"/>
    <w:rsid w:val="003154BA"/>
    <w:rsid w:val="00317DD5"/>
    <w:rsid w:val="00344C61"/>
    <w:rsid w:val="00357CE7"/>
    <w:rsid w:val="00361771"/>
    <w:rsid w:val="00372A47"/>
    <w:rsid w:val="0038473E"/>
    <w:rsid w:val="003849CC"/>
    <w:rsid w:val="00391396"/>
    <w:rsid w:val="003A1CD6"/>
    <w:rsid w:val="003A7188"/>
    <w:rsid w:val="003B0DC7"/>
    <w:rsid w:val="003B3C0D"/>
    <w:rsid w:val="003C68AE"/>
    <w:rsid w:val="003D108A"/>
    <w:rsid w:val="003D22E1"/>
    <w:rsid w:val="003E2C52"/>
    <w:rsid w:val="003E43E5"/>
    <w:rsid w:val="0040273A"/>
    <w:rsid w:val="004133D7"/>
    <w:rsid w:val="004245C1"/>
    <w:rsid w:val="004419EF"/>
    <w:rsid w:val="0044732B"/>
    <w:rsid w:val="00451188"/>
    <w:rsid w:val="00452848"/>
    <w:rsid w:val="00455D18"/>
    <w:rsid w:val="0047446A"/>
    <w:rsid w:val="00476209"/>
    <w:rsid w:val="00495FED"/>
    <w:rsid w:val="004A0AFA"/>
    <w:rsid w:val="004C67ED"/>
    <w:rsid w:val="004D5E90"/>
    <w:rsid w:val="004E23E9"/>
    <w:rsid w:val="004E5460"/>
    <w:rsid w:val="00503DA5"/>
    <w:rsid w:val="00507783"/>
    <w:rsid w:val="00516B44"/>
    <w:rsid w:val="005178F4"/>
    <w:rsid w:val="0052682F"/>
    <w:rsid w:val="005313C9"/>
    <w:rsid w:val="00543765"/>
    <w:rsid w:val="00551D1D"/>
    <w:rsid w:val="0055320B"/>
    <w:rsid w:val="00554CEA"/>
    <w:rsid w:val="0056245C"/>
    <w:rsid w:val="0056400D"/>
    <w:rsid w:val="00566A39"/>
    <w:rsid w:val="00584D6A"/>
    <w:rsid w:val="005873C7"/>
    <w:rsid w:val="00590626"/>
    <w:rsid w:val="005D208F"/>
    <w:rsid w:val="005D7317"/>
    <w:rsid w:val="005E48B2"/>
    <w:rsid w:val="005E5090"/>
    <w:rsid w:val="005F0B61"/>
    <w:rsid w:val="005F141E"/>
    <w:rsid w:val="0060597B"/>
    <w:rsid w:val="00605FC3"/>
    <w:rsid w:val="00616E82"/>
    <w:rsid w:val="006309FE"/>
    <w:rsid w:val="006346A7"/>
    <w:rsid w:val="0065554A"/>
    <w:rsid w:val="006576B3"/>
    <w:rsid w:val="00665D14"/>
    <w:rsid w:val="00667B1B"/>
    <w:rsid w:val="00671DE2"/>
    <w:rsid w:val="0068069F"/>
    <w:rsid w:val="00696131"/>
    <w:rsid w:val="006D1EA3"/>
    <w:rsid w:val="006D65B6"/>
    <w:rsid w:val="006D6FAE"/>
    <w:rsid w:val="006E1403"/>
    <w:rsid w:val="006E2926"/>
    <w:rsid w:val="006F4CBE"/>
    <w:rsid w:val="006F52A6"/>
    <w:rsid w:val="007015ED"/>
    <w:rsid w:val="007153D9"/>
    <w:rsid w:val="00721135"/>
    <w:rsid w:val="00725392"/>
    <w:rsid w:val="007349F1"/>
    <w:rsid w:val="00743E27"/>
    <w:rsid w:val="007476DF"/>
    <w:rsid w:val="00755460"/>
    <w:rsid w:val="00762A1E"/>
    <w:rsid w:val="007647CB"/>
    <w:rsid w:val="00783BB7"/>
    <w:rsid w:val="0079111C"/>
    <w:rsid w:val="007A67BD"/>
    <w:rsid w:val="007B430F"/>
    <w:rsid w:val="007B6A2C"/>
    <w:rsid w:val="007D3E53"/>
    <w:rsid w:val="007D64CB"/>
    <w:rsid w:val="00805DCF"/>
    <w:rsid w:val="00807ABC"/>
    <w:rsid w:val="008108B8"/>
    <w:rsid w:val="00832C90"/>
    <w:rsid w:val="0083392A"/>
    <w:rsid w:val="0083612A"/>
    <w:rsid w:val="00836B92"/>
    <w:rsid w:val="00837AC2"/>
    <w:rsid w:val="00851681"/>
    <w:rsid w:val="00851BA2"/>
    <w:rsid w:val="00861E7D"/>
    <w:rsid w:val="00873118"/>
    <w:rsid w:val="008934B1"/>
    <w:rsid w:val="008A5274"/>
    <w:rsid w:val="008B3429"/>
    <w:rsid w:val="008B5DE9"/>
    <w:rsid w:val="008D186C"/>
    <w:rsid w:val="008D2E3B"/>
    <w:rsid w:val="008E1FB6"/>
    <w:rsid w:val="008E7500"/>
    <w:rsid w:val="008F084C"/>
    <w:rsid w:val="009067C1"/>
    <w:rsid w:val="00917116"/>
    <w:rsid w:val="009209B5"/>
    <w:rsid w:val="0093688B"/>
    <w:rsid w:val="00943A24"/>
    <w:rsid w:val="00943C68"/>
    <w:rsid w:val="00945E5D"/>
    <w:rsid w:val="00962FDC"/>
    <w:rsid w:val="009656AB"/>
    <w:rsid w:val="009678D1"/>
    <w:rsid w:val="00983819"/>
    <w:rsid w:val="00985DB3"/>
    <w:rsid w:val="009A06D1"/>
    <w:rsid w:val="009A12A2"/>
    <w:rsid w:val="009B04E1"/>
    <w:rsid w:val="009E4B67"/>
    <w:rsid w:val="009F3C89"/>
    <w:rsid w:val="00A072DF"/>
    <w:rsid w:val="00A075E3"/>
    <w:rsid w:val="00A36CEE"/>
    <w:rsid w:val="00A37755"/>
    <w:rsid w:val="00A4330A"/>
    <w:rsid w:val="00A45B2D"/>
    <w:rsid w:val="00A71176"/>
    <w:rsid w:val="00A711A9"/>
    <w:rsid w:val="00A76685"/>
    <w:rsid w:val="00A87EB8"/>
    <w:rsid w:val="00A93135"/>
    <w:rsid w:val="00AA3F46"/>
    <w:rsid w:val="00AA7F5C"/>
    <w:rsid w:val="00AB5143"/>
    <w:rsid w:val="00AB7E70"/>
    <w:rsid w:val="00AD3513"/>
    <w:rsid w:val="00AE39BA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717FE"/>
    <w:rsid w:val="00B727E1"/>
    <w:rsid w:val="00B85372"/>
    <w:rsid w:val="00B87850"/>
    <w:rsid w:val="00BA61A8"/>
    <w:rsid w:val="00BB0F2B"/>
    <w:rsid w:val="00BB549A"/>
    <w:rsid w:val="00BE54A5"/>
    <w:rsid w:val="00C00593"/>
    <w:rsid w:val="00C02C72"/>
    <w:rsid w:val="00C10C87"/>
    <w:rsid w:val="00C15E85"/>
    <w:rsid w:val="00C252CE"/>
    <w:rsid w:val="00C43446"/>
    <w:rsid w:val="00C62123"/>
    <w:rsid w:val="00C6629B"/>
    <w:rsid w:val="00C87A01"/>
    <w:rsid w:val="00CA1E6E"/>
    <w:rsid w:val="00CA285D"/>
    <w:rsid w:val="00CB7AF6"/>
    <w:rsid w:val="00CF7736"/>
    <w:rsid w:val="00D048D0"/>
    <w:rsid w:val="00D15B50"/>
    <w:rsid w:val="00D32774"/>
    <w:rsid w:val="00D37166"/>
    <w:rsid w:val="00D441FA"/>
    <w:rsid w:val="00D602B5"/>
    <w:rsid w:val="00D60B4F"/>
    <w:rsid w:val="00D61FE4"/>
    <w:rsid w:val="00D62765"/>
    <w:rsid w:val="00D63865"/>
    <w:rsid w:val="00D64FA5"/>
    <w:rsid w:val="00D8596E"/>
    <w:rsid w:val="00D92B5A"/>
    <w:rsid w:val="00DA7634"/>
    <w:rsid w:val="00DC4C2E"/>
    <w:rsid w:val="00DE106D"/>
    <w:rsid w:val="00DF0CB6"/>
    <w:rsid w:val="00DF6EDD"/>
    <w:rsid w:val="00E10F0C"/>
    <w:rsid w:val="00E162DE"/>
    <w:rsid w:val="00E4280C"/>
    <w:rsid w:val="00E44118"/>
    <w:rsid w:val="00E6044A"/>
    <w:rsid w:val="00E62C04"/>
    <w:rsid w:val="00E65889"/>
    <w:rsid w:val="00E806EC"/>
    <w:rsid w:val="00E8579E"/>
    <w:rsid w:val="00ED7BD9"/>
    <w:rsid w:val="00EF3C78"/>
    <w:rsid w:val="00EF6964"/>
    <w:rsid w:val="00EF6C97"/>
    <w:rsid w:val="00F032DC"/>
    <w:rsid w:val="00F1169A"/>
    <w:rsid w:val="00F45F62"/>
    <w:rsid w:val="00F669CC"/>
    <w:rsid w:val="00F85C47"/>
    <w:rsid w:val="00FA419F"/>
    <w:rsid w:val="00FC1B38"/>
    <w:rsid w:val="00FC382B"/>
    <w:rsid w:val="00FC61E4"/>
    <w:rsid w:val="00FD48AF"/>
    <w:rsid w:val="00FD5AC1"/>
    <w:rsid w:val="00FE25A0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agwek2Znak0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customStyle="1" w:styleId="Nagwek20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customStyle="1" w:styleId="ListParagraphChar">
    <w:name w:val="List Paragraph Char"/>
    <w:uiPriority w:val="99"/>
  </w:style>
  <w:style w:type="character" w:customStyle="1" w:styleId="FontStyle8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543765"/>
    <w:rPr>
      <w:rFonts w:ascii="Calibri" w:hAnsi="Calibri" w:cs="Calibri"/>
      <w:lang w:eastAsia="en-US"/>
    </w:rPr>
  </w:style>
  <w:style w:type="paragraph" w:customStyle="1" w:styleId="Standard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2383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– usługa utrzymania  oraz rozwoju serwisu internetowego</vt:lpstr>
    </vt:vector>
  </TitlesOfParts>
  <Company>Hewlett-Packard Company</Company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– usługa utrzymania  oraz rozwoju serwisu internetowego</dc:title>
  <dc:creator>Artur Riabow</dc:creator>
  <cp:lastModifiedBy>Jankowska Natalia</cp:lastModifiedBy>
  <cp:revision>5</cp:revision>
  <cp:lastPrinted>2015-02-06T13:30:00Z</cp:lastPrinted>
  <dcterms:created xsi:type="dcterms:W3CDTF">2020-01-07T13:18:00Z</dcterms:created>
  <dcterms:modified xsi:type="dcterms:W3CDTF">2020-01-28T12:22:00Z</dcterms:modified>
</cp:coreProperties>
</file>