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A" w:rsidRDefault="00CA4D4A" w:rsidP="00CA4D4A">
      <w:pPr>
        <w:rPr>
          <w:rFonts w:ascii="Arial" w:hAnsi="Arial" w:cs="Arial"/>
        </w:rPr>
      </w:pPr>
    </w:p>
    <w:p w:rsidR="00CA4D4A" w:rsidRDefault="00CA4D4A" w:rsidP="00CA4D4A">
      <w:pPr>
        <w:rPr>
          <w:rFonts w:ascii="Arial" w:hAnsi="Arial" w:cs="Arial"/>
        </w:rPr>
      </w:pPr>
    </w:p>
    <w:p w:rsidR="00CA4D4A" w:rsidRPr="00A85EB5" w:rsidRDefault="00E129B0" w:rsidP="00CA4D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A4D4A" w:rsidRPr="00A85EB5">
        <w:rPr>
          <w:rFonts w:cs="Arial"/>
          <w:sz w:val="24"/>
          <w:szCs w:val="24"/>
        </w:rPr>
        <w:t>W</w:t>
      </w:r>
      <w:bookmarkStart w:id="0" w:name="_GoBack"/>
      <w:bookmarkEnd w:id="0"/>
      <w:r w:rsidR="00CA4D4A" w:rsidRPr="00A85EB5">
        <w:rPr>
          <w:rFonts w:cs="Arial"/>
          <w:sz w:val="24"/>
          <w:szCs w:val="24"/>
        </w:rPr>
        <w:t>.050.</w:t>
      </w:r>
      <w:r w:rsidR="000A7497">
        <w:rPr>
          <w:rFonts w:cs="Arial"/>
          <w:sz w:val="24"/>
          <w:szCs w:val="24"/>
        </w:rPr>
        <w:t>7</w:t>
      </w:r>
      <w:r w:rsidR="00CA4D4A" w:rsidRPr="00A85EB5">
        <w:rPr>
          <w:rFonts w:cs="Arial"/>
          <w:sz w:val="24"/>
          <w:szCs w:val="24"/>
        </w:rPr>
        <w:t>.201</w:t>
      </w:r>
      <w:r w:rsidR="00225098">
        <w:rPr>
          <w:rFonts w:cs="Arial"/>
          <w:sz w:val="24"/>
          <w:szCs w:val="24"/>
        </w:rPr>
        <w:t>8</w:t>
      </w:r>
      <w:r w:rsidR="00CA4D4A" w:rsidRPr="00A85EB5">
        <w:rPr>
          <w:rFonts w:cs="Arial"/>
          <w:sz w:val="24"/>
          <w:szCs w:val="24"/>
        </w:rPr>
        <w:t>.</w:t>
      </w:r>
      <w:r w:rsidR="00A85EB5" w:rsidRPr="00A85EB5">
        <w:rPr>
          <w:rFonts w:cs="Arial"/>
          <w:sz w:val="24"/>
          <w:szCs w:val="24"/>
        </w:rPr>
        <w:t>IGR</w:t>
      </w:r>
      <w:r w:rsidR="00A85EB5" w:rsidRPr="00A85EB5">
        <w:rPr>
          <w:rFonts w:cs="Arial"/>
          <w:sz w:val="24"/>
          <w:szCs w:val="24"/>
        </w:rPr>
        <w:tab/>
      </w:r>
      <w:r w:rsidR="00A85EB5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  <w:t>Warszawa, dnia</w:t>
      </w:r>
      <w:r w:rsidR="00A85EB5" w:rsidRPr="00A85EB5">
        <w:rPr>
          <w:rFonts w:cs="Arial"/>
          <w:sz w:val="24"/>
          <w:szCs w:val="24"/>
        </w:rPr>
        <w:t xml:space="preserve"> </w:t>
      </w:r>
      <w:r w:rsidR="00A83195">
        <w:rPr>
          <w:rFonts w:cs="Arial"/>
          <w:sz w:val="24"/>
          <w:szCs w:val="24"/>
        </w:rPr>
        <w:t>11.07.2018 r</w:t>
      </w:r>
      <w:r w:rsidR="00A85EB5" w:rsidRPr="00A85EB5">
        <w:rPr>
          <w:rFonts w:cs="Arial"/>
          <w:sz w:val="24"/>
          <w:szCs w:val="24"/>
        </w:rPr>
        <w:t>.</w:t>
      </w:r>
    </w:p>
    <w:p w:rsidR="0021179B" w:rsidRPr="00A85EB5" w:rsidRDefault="00A83195" w:rsidP="00CA4D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DW.92.2018</w:t>
      </w:r>
    </w:p>
    <w:p w:rsidR="00CA4D4A" w:rsidRPr="00A85EB5" w:rsidRDefault="000F411E" w:rsidP="00225098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225098" w:rsidRDefault="00225098" w:rsidP="00225098">
      <w:pPr>
        <w:spacing w:after="0"/>
        <w:ind w:left="4956" w:firstLine="709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25098" w:rsidRPr="00225098" w:rsidRDefault="00225098" w:rsidP="00225098">
      <w:pPr>
        <w:spacing w:after="0"/>
        <w:ind w:left="4956" w:firstLine="709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250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reprezentowana przez: 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0F411E" w:rsidRPr="00A85EB5" w:rsidRDefault="000F411E" w:rsidP="000F411E">
      <w:pPr>
        <w:spacing w:after="0"/>
        <w:ind w:left="4956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225098" w:rsidRPr="00225098" w:rsidRDefault="00225098" w:rsidP="00225098">
      <w:pPr>
        <w:spacing w:after="0"/>
        <w:ind w:left="4956" w:firstLine="709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25098" w:rsidRPr="00225098" w:rsidRDefault="00225098" w:rsidP="00225098">
      <w:pPr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22509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225098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225098"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p w:rsidR="0021179B" w:rsidRPr="00A85EB5" w:rsidRDefault="0021179B" w:rsidP="00CA4D4A">
      <w:pPr>
        <w:spacing w:after="0" w:line="360" w:lineRule="auto"/>
        <w:rPr>
          <w:rFonts w:cs="Arial"/>
          <w:sz w:val="24"/>
          <w:szCs w:val="24"/>
        </w:rPr>
      </w:pPr>
    </w:p>
    <w:p w:rsidR="00CA4D4A" w:rsidRPr="00A85EB5" w:rsidRDefault="00CA4D4A" w:rsidP="00CA4D4A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>Decyzja w sprawie interpretacji</w:t>
      </w:r>
    </w:p>
    <w:p w:rsidR="00CA4D4A" w:rsidRPr="00A85EB5" w:rsidRDefault="00CA4D4A" w:rsidP="00352DD3">
      <w:pPr>
        <w:spacing w:after="120" w:line="360" w:lineRule="auto"/>
        <w:jc w:val="center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>art.33 ust.2 pkt 5 ustawy o rehabilitacji zawodowej i społecznej oraz zatrudnianiu osób niepełnosprawnych</w:t>
      </w:r>
    </w:p>
    <w:p w:rsidR="00CA4D4A" w:rsidRPr="00A85EB5" w:rsidRDefault="00BD42DC" w:rsidP="00352DD3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BD42DC">
        <w:rPr>
          <w:rFonts w:cs="Arial"/>
          <w:sz w:val="24"/>
          <w:szCs w:val="24"/>
        </w:rPr>
        <w:t>Na podstawie art.10 i 10a ustawy z dnia 2 lipca 2004 r. o swobodzie działalności gospodarczej (Dz. U. z 201</w:t>
      </w:r>
      <w:r w:rsidR="002712A6">
        <w:rPr>
          <w:rFonts w:cs="Arial"/>
          <w:sz w:val="24"/>
          <w:szCs w:val="24"/>
        </w:rPr>
        <w:t>7</w:t>
      </w:r>
      <w:r w:rsidRPr="00BD42DC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>.</w:t>
      </w:r>
      <w:r w:rsidRPr="00BD42DC">
        <w:rPr>
          <w:rFonts w:cs="Arial"/>
          <w:sz w:val="24"/>
          <w:szCs w:val="24"/>
        </w:rPr>
        <w:t xml:space="preserve"> poz.</w:t>
      </w:r>
      <w:r w:rsidR="002712A6">
        <w:rPr>
          <w:rFonts w:cs="Arial"/>
          <w:sz w:val="24"/>
          <w:szCs w:val="24"/>
        </w:rPr>
        <w:t>2168</w:t>
      </w:r>
      <w:r w:rsidR="009B3F69">
        <w:rPr>
          <w:rFonts w:cs="Arial"/>
          <w:sz w:val="24"/>
          <w:szCs w:val="24"/>
        </w:rPr>
        <w:t xml:space="preserve"> późn.zm.</w:t>
      </w:r>
      <w:r w:rsidRPr="00BD42DC">
        <w:rPr>
          <w:rFonts w:cs="Arial"/>
          <w:sz w:val="24"/>
          <w:szCs w:val="24"/>
        </w:rPr>
        <w:t xml:space="preserve">) </w:t>
      </w:r>
      <w:r w:rsidR="00E41746">
        <w:rPr>
          <w:rFonts w:ascii="Calibri" w:hAnsi="Calibri" w:cs="Arial"/>
          <w:sz w:val="24"/>
          <w:szCs w:val="24"/>
        </w:rPr>
        <w:t xml:space="preserve">w związku z art.196 ust.2 ustawy z dnia </w:t>
      </w:r>
      <w:r w:rsidR="00E41746">
        <w:rPr>
          <w:rFonts w:ascii="Calibri" w:hAnsi="Calibri" w:cs="Arial"/>
          <w:sz w:val="24"/>
          <w:szCs w:val="24"/>
        </w:rPr>
        <w:br/>
        <w:t xml:space="preserve">6 marca 2018 r. Przepisy wprowadzające ustawę – Prawo przedsiębiorców oraz inne ustawy dotyczące działalności gospodarczej (Dz.U. z 2018 r. poz.650) </w:t>
      </w:r>
      <w:r w:rsidRPr="00BD42DC">
        <w:rPr>
          <w:rFonts w:cs="Arial"/>
          <w:sz w:val="24"/>
          <w:szCs w:val="24"/>
        </w:rPr>
        <w:t>Prezes Zarządu Państwowego Funduszu Rehabilitacji Osób Niepełnosprawnych (zwanego dalej PFRON)</w:t>
      </w:r>
      <w:r>
        <w:rPr>
          <w:rFonts w:cs="Arial"/>
          <w:sz w:val="24"/>
          <w:szCs w:val="24"/>
        </w:rPr>
        <w:t>,</w:t>
      </w:r>
      <w:r w:rsidRPr="00BD42DC">
        <w:t xml:space="preserve"> </w:t>
      </w:r>
      <w:r w:rsidRPr="00BD42DC">
        <w:rPr>
          <w:rFonts w:cs="Arial"/>
          <w:sz w:val="24"/>
          <w:szCs w:val="24"/>
        </w:rPr>
        <w:t>w wykonaniu decyzji Ministra Rodziny, Pracy i Polityki Społecznej z dnia 1</w:t>
      </w:r>
      <w:r w:rsidR="0021179B">
        <w:rPr>
          <w:rFonts w:cs="Arial"/>
          <w:sz w:val="24"/>
          <w:szCs w:val="24"/>
        </w:rPr>
        <w:t xml:space="preserve">6 maja 2018 r. </w:t>
      </w:r>
      <w:r w:rsidRPr="00BD42DC">
        <w:rPr>
          <w:rFonts w:cs="Arial"/>
          <w:sz w:val="24"/>
          <w:szCs w:val="24"/>
        </w:rPr>
        <w:t>znak: BON-III.5225.</w:t>
      </w:r>
      <w:r w:rsidR="00225098">
        <w:rPr>
          <w:rFonts w:cs="Arial"/>
          <w:sz w:val="24"/>
          <w:szCs w:val="24"/>
        </w:rPr>
        <w:t>13</w:t>
      </w:r>
      <w:r w:rsidRPr="00BD42DC">
        <w:rPr>
          <w:rFonts w:cs="Arial"/>
          <w:sz w:val="24"/>
          <w:szCs w:val="24"/>
        </w:rPr>
        <w:t>.5.201</w:t>
      </w:r>
      <w:r w:rsidR="00225098">
        <w:rPr>
          <w:rFonts w:cs="Arial"/>
          <w:sz w:val="24"/>
          <w:szCs w:val="24"/>
        </w:rPr>
        <w:t>7</w:t>
      </w:r>
      <w:r w:rsidRPr="00BD42DC">
        <w:rPr>
          <w:rFonts w:cs="Arial"/>
          <w:sz w:val="24"/>
          <w:szCs w:val="24"/>
        </w:rPr>
        <w:t xml:space="preserve">.IN stwierdza, że stanowisko </w:t>
      </w:r>
      <w:r w:rsidR="000F411E">
        <w:rPr>
          <w:rFonts w:cs="Arial"/>
          <w:sz w:val="24"/>
          <w:szCs w:val="24"/>
        </w:rPr>
        <w:t>XXXXXXXX</w:t>
      </w:r>
      <w:r>
        <w:rPr>
          <w:rFonts w:cs="Arial"/>
          <w:sz w:val="24"/>
          <w:szCs w:val="24"/>
        </w:rPr>
        <w:t xml:space="preserve"> Spółki z o.o. z siedzibą w </w:t>
      </w:r>
      <w:r w:rsidR="000F411E">
        <w:rPr>
          <w:rFonts w:cs="Arial"/>
          <w:sz w:val="24"/>
          <w:szCs w:val="24"/>
        </w:rPr>
        <w:t>XXXXXXX</w:t>
      </w:r>
      <w:r w:rsidRPr="00BD42DC">
        <w:rPr>
          <w:rFonts w:cs="Arial"/>
          <w:sz w:val="24"/>
          <w:szCs w:val="24"/>
        </w:rPr>
        <w:t xml:space="preserve"> (zwanej dalej Wnioskodawcą) zaprezentowane we wniosku z dnia </w:t>
      </w:r>
      <w:r>
        <w:rPr>
          <w:rFonts w:cs="Arial"/>
          <w:sz w:val="24"/>
          <w:szCs w:val="24"/>
        </w:rPr>
        <w:t>8 stycznia 2016</w:t>
      </w:r>
      <w:r w:rsidRPr="00BD42DC">
        <w:rPr>
          <w:rFonts w:cs="Arial"/>
          <w:sz w:val="24"/>
          <w:szCs w:val="24"/>
        </w:rPr>
        <w:t xml:space="preserve"> r.</w:t>
      </w:r>
      <w:r w:rsidR="0021179B">
        <w:rPr>
          <w:rFonts w:cs="Arial"/>
          <w:sz w:val="24"/>
          <w:szCs w:val="24"/>
        </w:rPr>
        <w:t xml:space="preserve">, uzupełnionym pismem z dnia 22 czerwca 2018 r., </w:t>
      </w:r>
      <w:r w:rsidRPr="00BD42DC">
        <w:rPr>
          <w:rFonts w:cs="Arial"/>
          <w:sz w:val="24"/>
          <w:szCs w:val="24"/>
        </w:rPr>
        <w:t>o udzielenie pisemnej interpretacji przepisów prawa w zakresie stosowania przepisów art.</w:t>
      </w:r>
      <w:r>
        <w:rPr>
          <w:rFonts w:cs="Arial"/>
          <w:sz w:val="24"/>
          <w:szCs w:val="24"/>
        </w:rPr>
        <w:t>33</w:t>
      </w:r>
      <w:r w:rsidRPr="00BD42DC">
        <w:rPr>
          <w:rFonts w:cs="Arial"/>
          <w:sz w:val="24"/>
          <w:szCs w:val="24"/>
        </w:rPr>
        <w:t xml:space="preserve"> ust.</w:t>
      </w:r>
      <w:r>
        <w:rPr>
          <w:rFonts w:cs="Arial"/>
          <w:sz w:val="24"/>
          <w:szCs w:val="24"/>
        </w:rPr>
        <w:t>2 pkt 5</w:t>
      </w:r>
      <w:r w:rsidRPr="00BD42DC">
        <w:rPr>
          <w:rFonts w:cs="Arial"/>
          <w:sz w:val="24"/>
          <w:szCs w:val="24"/>
        </w:rPr>
        <w:t xml:space="preserve"> ustawy z dnia </w:t>
      </w:r>
      <w:r w:rsidR="00E41746">
        <w:rPr>
          <w:rFonts w:cs="Arial"/>
          <w:sz w:val="24"/>
          <w:szCs w:val="24"/>
        </w:rPr>
        <w:br/>
      </w:r>
      <w:r w:rsidRPr="00BD42DC">
        <w:rPr>
          <w:rFonts w:cs="Arial"/>
          <w:sz w:val="24"/>
          <w:szCs w:val="24"/>
        </w:rPr>
        <w:t>27 sierpnia 1997 r. o rehabilitacji zawodowej i społecznej oraz zatrudnianiu osób niepełnosprawnych (Dz.U. z 201</w:t>
      </w:r>
      <w:r w:rsidR="00225098">
        <w:rPr>
          <w:rFonts w:cs="Arial"/>
          <w:sz w:val="24"/>
          <w:szCs w:val="24"/>
        </w:rPr>
        <w:t>8</w:t>
      </w:r>
      <w:r w:rsidRPr="00BD42DC">
        <w:rPr>
          <w:rFonts w:cs="Arial"/>
          <w:sz w:val="24"/>
          <w:szCs w:val="24"/>
        </w:rPr>
        <w:t xml:space="preserve"> r. poz.</w:t>
      </w:r>
      <w:r w:rsidR="00225098">
        <w:rPr>
          <w:rFonts w:cs="Arial"/>
          <w:sz w:val="24"/>
          <w:szCs w:val="24"/>
        </w:rPr>
        <w:t>511</w:t>
      </w:r>
      <w:r w:rsidR="0040029C">
        <w:rPr>
          <w:rFonts w:cs="Arial"/>
          <w:sz w:val="24"/>
          <w:szCs w:val="24"/>
        </w:rPr>
        <w:t xml:space="preserve"> z późn.zm.</w:t>
      </w:r>
      <w:r w:rsidRPr="00BD42DC">
        <w:rPr>
          <w:rFonts w:cs="Arial"/>
          <w:sz w:val="24"/>
          <w:szCs w:val="24"/>
        </w:rPr>
        <w:t xml:space="preserve">) zwanej dalej ustawą o rehabilitacji </w:t>
      </w:r>
      <w:r w:rsidR="00CA4D4A" w:rsidRPr="00A85EB5">
        <w:rPr>
          <w:rFonts w:cs="Arial"/>
          <w:sz w:val="24"/>
          <w:szCs w:val="24"/>
        </w:rPr>
        <w:t xml:space="preserve">– </w:t>
      </w:r>
      <w:r w:rsidR="00CA4D4A" w:rsidRPr="00A85EB5">
        <w:rPr>
          <w:rFonts w:cs="Arial"/>
          <w:b/>
          <w:sz w:val="24"/>
          <w:szCs w:val="24"/>
        </w:rPr>
        <w:t>jest prawidłowe.</w:t>
      </w:r>
    </w:p>
    <w:p w:rsidR="00CA4D4A" w:rsidRPr="00A85EB5" w:rsidRDefault="00CA4D4A" w:rsidP="00CA4D4A">
      <w:pPr>
        <w:spacing w:after="0" w:line="360" w:lineRule="auto"/>
        <w:jc w:val="center"/>
        <w:rPr>
          <w:rFonts w:cs="Arial"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lastRenderedPageBreak/>
        <w:t>Uzasadnienie</w:t>
      </w:r>
    </w:p>
    <w:p w:rsidR="00963609" w:rsidRDefault="00BD42DC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Pismem z dnia </w:t>
      </w:r>
      <w:r w:rsidR="00CA4D4A" w:rsidRPr="00A85EB5">
        <w:rPr>
          <w:rFonts w:cs="Arial"/>
          <w:sz w:val="24"/>
          <w:szCs w:val="24"/>
        </w:rPr>
        <w:t>8 stycznia 2016 r</w:t>
      </w:r>
      <w:r w:rsidR="00A85EB5">
        <w:rPr>
          <w:rFonts w:cs="Arial"/>
          <w:sz w:val="24"/>
          <w:szCs w:val="24"/>
        </w:rPr>
        <w:t>.</w:t>
      </w:r>
      <w:r w:rsidR="0021179B">
        <w:rPr>
          <w:rFonts w:cs="Arial"/>
          <w:sz w:val="24"/>
          <w:szCs w:val="24"/>
        </w:rPr>
        <w:t xml:space="preserve"> oraz jego uzupełnieniem z dnia 22 czerwca 2018 r.</w:t>
      </w:r>
      <w:r w:rsidR="00CA4D4A" w:rsidRPr="00A85EB5">
        <w:rPr>
          <w:rFonts w:cs="Arial"/>
          <w:sz w:val="24"/>
          <w:szCs w:val="24"/>
        </w:rPr>
        <w:t xml:space="preserve"> Wnioskodawca skierował do Prezesa Zarządu PFRON wniosek o udzielenie pisemnej interpretacji </w:t>
      </w:r>
      <w:r w:rsidR="00963609">
        <w:rPr>
          <w:rFonts w:cs="Arial"/>
          <w:sz w:val="24"/>
          <w:szCs w:val="24"/>
        </w:rPr>
        <w:t xml:space="preserve">art.33 ust.2 pkt 5 ustawy o rehabilitacji w zakresie </w:t>
      </w:r>
      <w:r w:rsidR="00CA4D4A" w:rsidRPr="00A85EB5">
        <w:rPr>
          <w:rFonts w:cs="Arial"/>
          <w:sz w:val="24"/>
          <w:szCs w:val="24"/>
        </w:rPr>
        <w:t>planowanej likwidacji środka trwałego</w:t>
      </w:r>
      <w:r w:rsidR="00405C81">
        <w:rPr>
          <w:rFonts w:cs="Arial"/>
          <w:sz w:val="24"/>
          <w:szCs w:val="24"/>
        </w:rPr>
        <w:t>.</w:t>
      </w:r>
      <w:r w:rsidR="00CA4D4A" w:rsidRPr="00A85EB5">
        <w:rPr>
          <w:rFonts w:cs="Arial"/>
          <w:sz w:val="24"/>
          <w:szCs w:val="24"/>
        </w:rPr>
        <w:t xml:space="preserve"> </w:t>
      </w:r>
    </w:p>
    <w:p w:rsidR="00CA4D4A" w:rsidRPr="00A85EB5" w:rsidRDefault="005E1E71" w:rsidP="00BD42DC">
      <w:pPr>
        <w:spacing w:after="0" w:line="360" w:lineRule="auto"/>
        <w:jc w:val="both"/>
        <w:rPr>
          <w:rFonts w:cs="Arial"/>
          <w:sz w:val="24"/>
          <w:szCs w:val="24"/>
        </w:rPr>
      </w:pPr>
      <w:r w:rsidRPr="005E1E71">
        <w:rPr>
          <w:rFonts w:cs="Arial"/>
          <w:sz w:val="24"/>
          <w:szCs w:val="24"/>
        </w:rPr>
        <w:t xml:space="preserve">Sprawa była kilkakrotnie rozpatrywana w administracyjnym toku instancji. Decyzją z dnia </w:t>
      </w:r>
      <w:r w:rsidR="00352DD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2</w:t>
      </w:r>
      <w:r w:rsidR="00864F5A">
        <w:rPr>
          <w:rFonts w:cs="Arial"/>
          <w:sz w:val="24"/>
          <w:szCs w:val="24"/>
        </w:rPr>
        <w:t>4 marca 2017 r.</w:t>
      </w:r>
      <w:r>
        <w:rPr>
          <w:rFonts w:cs="Arial"/>
          <w:sz w:val="24"/>
          <w:szCs w:val="24"/>
        </w:rPr>
        <w:t xml:space="preserve"> </w:t>
      </w:r>
      <w:r w:rsidRPr="005E1E71">
        <w:rPr>
          <w:rFonts w:cs="Arial"/>
          <w:sz w:val="24"/>
          <w:szCs w:val="24"/>
        </w:rPr>
        <w:t>znak: WWO.</w:t>
      </w:r>
      <w:r>
        <w:rPr>
          <w:rFonts w:cs="Arial"/>
          <w:sz w:val="24"/>
          <w:szCs w:val="24"/>
        </w:rPr>
        <w:t>050.</w:t>
      </w:r>
      <w:r w:rsidR="00864F5A">
        <w:rPr>
          <w:rFonts w:cs="Arial"/>
          <w:sz w:val="24"/>
          <w:szCs w:val="24"/>
        </w:rPr>
        <w:t>7.2017</w:t>
      </w:r>
      <w:r>
        <w:rPr>
          <w:rFonts w:cs="Arial"/>
          <w:sz w:val="24"/>
          <w:szCs w:val="24"/>
        </w:rPr>
        <w:t>.</w:t>
      </w:r>
      <w:r w:rsidR="00864F5A">
        <w:rPr>
          <w:rFonts w:cs="Arial"/>
          <w:sz w:val="24"/>
          <w:szCs w:val="24"/>
        </w:rPr>
        <w:t>IGR/ DW.89.2017</w:t>
      </w:r>
      <w:r w:rsidRPr="005E1E71">
        <w:rPr>
          <w:rFonts w:cs="Arial"/>
          <w:sz w:val="24"/>
          <w:szCs w:val="24"/>
        </w:rPr>
        <w:t xml:space="preserve"> Prezes Zarządu PFRON </w:t>
      </w:r>
      <w:r>
        <w:rPr>
          <w:rFonts w:cs="Arial"/>
          <w:sz w:val="24"/>
          <w:szCs w:val="24"/>
        </w:rPr>
        <w:t xml:space="preserve">uznał, </w:t>
      </w:r>
      <w:r w:rsidR="0021179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iż stanowisko Wnioskodawcy jest </w:t>
      </w:r>
      <w:r w:rsidR="00864F5A">
        <w:rPr>
          <w:rFonts w:cs="Arial"/>
          <w:sz w:val="24"/>
          <w:szCs w:val="24"/>
        </w:rPr>
        <w:t xml:space="preserve">co do zasady </w:t>
      </w:r>
      <w:r>
        <w:rPr>
          <w:rFonts w:cs="Arial"/>
          <w:sz w:val="24"/>
          <w:szCs w:val="24"/>
        </w:rPr>
        <w:t>prawidłowe</w:t>
      </w:r>
      <w:r w:rsidRPr="005E1E71">
        <w:rPr>
          <w:rFonts w:cs="Arial"/>
          <w:sz w:val="24"/>
          <w:szCs w:val="24"/>
        </w:rPr>
        <w:t xml:space="preserve">. Strona pismem z dnia </w:t>
      </w:r>
      <w:r w:rsidR="0021179B">
        <w:rPr>
          <w:rFonts w:cs="Arial"/>
          <w:sz w:val="24"/>
          <w:szCs w:val="24"/>
        </w:rPr>
        <w:br/>
      </w:r>
      <w:r w:rsidRPr="005E1E71">
        <w:rPr>
          <w:rFonts w:cs="Arial"/>
          <w:sz w:val="24"/>
          <w:szCs w:val="24"/>
        </w:rPr>
        <w:t>1</w:t>
      </w:r>
      <w:r w:rsidR="00864F5A">
        <w:rPr>
          <w:rFonts w:cs="Arial"/>
          <w:sz w:val="24"/>
          <w:szCs w:val="24"/>
        </w:rPr>
        <w:t xml:space="preserve">2 kwietnia 2017 r. </w:t>
      </w:r>
      <w:r w:rsidRPr="005E1E71">
        <w:rPr>
          <w:rFonts w:cs="Arial"/>
          <w:sz w:val="24"/>
          <w:szCs w:val="24"/>
        </w:rPr>
        <w:t xml:space="preserve">wniosła odwołanie od ww. decyzji. Minister Rodziny, Pracy i Polityki Społecznej </w:t>
      </w:r>
      <w:r w:rsidR="00864F5A">
        <w:rPr>
          <w:rFonts w:cs="Arial"/>
          <w:sz w:val="24"/>
          <w:szCs w:val="24"/>
        </w:rPr>
        <w:t>d</w:t>
      </w:r>
      <w:r w:rsidRPr="005E1E71">
        <w:rPr>
          <w:rFonts w:cs="Arial"/>
          <w:sz w:val="24"/>
          <w:szCs w:val="24"/>
        </w:rPr>
        <w:t xml:space="preserve">ecyzją z dnia </w:t>
      </w:r>
      <w:r w:rsidR="00864F5A">
        <w:rPr>
          <w:rFonts w:cs="Arial"/>
          <w:sz w:val="24"/>
          <w:szCs w:val="24"/>
        </w:rPr>
        <w:t xml:space="preserve">16 maja 2018 r. </w:t>
      </w:r>
      <w:r w:rsidRPr="005E1E71">
        <w:rPr>
          <w:rFonts w:cs="Arial"/>
          <w:sz w:val="24"/>
          <w:szCs w:val="24"/>
        </w:rPr>
        <w:t>znak: BON</w:t>
      </w:r>
      <w:r w:rsidR="004E2631">
        <w:rPr>
          <w:rFonts w:cs="Arial"/>
          <w:sz w:val="24"/>
          <w:szCs w:val="24"/>
        </w:rPr>
        <w:t>-</w:t>
      </w:r>
      <w:r w:rsidRPr="005E1E71">
        <w:rPr>
          <w:rFonts w:cs="Arial"/>
          <w:sz w:val="24"/>
          <w:szCs w:val="24"/>
        </w:rPr>
        <w:t>III.5225.</w:t>
      </w:r>
      <w:r w:rsidR="00864F5A">
        <w:rPr>
          <w:rFonts w:cs="Arial"/>
          <w:sz w:val="24"/>
          <w:szCs w:val="24"/>
        </w:rPr>
        <w:t>13</w:t>
      </w:r>
      <w:r w:rsidRPr="005E1E71">
        <w:rPr>
          <w:rFonts w:cs="Arial"/>
          <w:sz w:val="24"/>
          <w:szCs w:val="24"/>
        </w:rPr>
        <w:t>.</w:t>
      </w:r>
      <w:r w:rsidR="004E2631">
        <w:rPr>
          <w:rFonts w:cs="Arial"/>
          <w:sz w:val="24"/>
          <w:szCs w:val="24"/>
        </w:rPr>
        <w:t>5</w:t>
      </w:r>
      <w:r w:rsidRPr="005E1E71">
        <w:rPr>
          <w:rFonts w:cs="Arial"/>
          <w:sz w:val="24"/>
          <w:szCs w:val="24"/>
        </w:rPr>
        <w:t>.201</w:t>
      </w:r>
      <w:r w:rsidR="00864F5A">
        <w:rPr>
          <w:rFonts w:cs="Arial"/>
          <w:sz w:val="24"/>
          <w:szCs w:val="24"/>
        </w:rPr>
        <w:t>7</w:t>
      </w:r>
      <w:r w:rsidRPr="005E1E71">
        <w:rPr>
          <w:rFonts w:cs="Arial"/>
          <w:sz w:val="24"/>
          <w:szCs w:val="24"/>
        </w:rPr>
        <w:t xml:space="preserve">.IN uchylił zaskarżoną decyzję w całości i przekazał sprawę organowi </w:t>
      </w:r>
      <w:r w:rsidR="00D911D8">
        <w:rPr>
          <w:rFonts w:cs="Arial"/>
          <w:sz w:val="24"/>
          <w:szCs w:val="24"/>
        </w:rPr>
        <w:t>I</w:t>
      </w:r>
      <w:r w:rsidRPr="005E1E71">
        <w:rPr>
          <w:rFonts w:cs="Arial"/>
          <w:sz w:val="24"/>
          <w:szCs w:val="24"/>
        </w:rPr>
        <w:t xml:space="preserve"> instancji do ponownego rozpatrzenia.</w:t>
      </w:r>
    </w:p>
    <w:p w:rsidR="00864F5A" w:rsidRDefault="00864F5A" w:rsidP="004E2631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Ustawa o swobodzie działalności </w:t>
      </w:r>
      <w:r w:rsidR="00395CAB">
        <w:rPr>
          <w:rFonts w:ascii="Calibri" w:eastAsia="Times New Roman" w:hAnsi="Calibri" w:cs="Arial"/>
          <w:sz w:val="24"/>
          <w:szCs w:val="24"/>
          <w:lang w:eastAsia="pl-PL"/>
        </w:rPr>
        <w:t xml:space="preserve">gospodarczej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utraciła moc z dniem 30 kwietnia 2018 r. Jednakże w myśl art.196 ust.2 ustawy </w:t>
      </w:r>
      <w:r>
        <w:rPr>
          <w:rFonts w:ascii="Calibri" w:hAnsi="Calibri" w:cs="Arial"/>
          <w:sz w:val="24"/>
          <w:szCs w:val="24"/>
        </w:rPr>
        <w:t xml:space="preserve">Przepisy wprowadzające ustawę – Prawo przedsiębiorców oraz inne ustawy dotyczące działalności gospodarczej – do wniosków </w:t>
      </w:r>
      <w:r w:rsidR="00E4174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o wydanie interpretacji, o których mowa w art.10 ust.1 uchylonej ustawy, w stosunku </w:t>
      </w:r>
      <w:r w:rsidR="00E4174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do których nie wydano interpretacji przed dniem wejścia w życie ustawy Przepisy wprowadzające (…), stosuje się przepisy dotychczasowe. Z tego względu </w:t>
      </w:r>
      <w:r w:rsidR="008115BC">
        <w:rPr>
          <w:rFonts w:ascii="Calibri" w:hAnsi="Calibri" w:cs="Arial"/>
          <w:sz w:val="24"/>
          <w:szCs w:val="24"/>
        </w:rPr>
        <w:t xml:space="preserve">złożony </w:t>
      </w:r>
      <w:r>
        <w:rPr>
          <w:rFonts w:ascii="Calibri" w:hAnsi="Calibri" w:cs="Arial"/>
          <w:sz w:val="24"/>
          <w:szCs w:val="24"/>
        </w:rPr>
        <w:t xml:space="preserve">wniosek został rozpatrzony w oparciu o przepisy ustawy o swobodzie działalności gospodarczej. </w:t>
      </w:r>
    </w:p>
    <w:p w:rsidR="00CA4D4A" w:rsidRPr="00A85EB5" w:rsidRDefault="00CA4D4A" w:rsidP="00E41746">
      <w:pPr>
        <w:spacing w:after="240" w:line="360" w:lineRule="auto"/>
        <w:jc w:val="both"/>
        <w:rPr>
          <w:rFonts w:cs="Arial"/>
          <w:i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Wnioskodawca skierował wniosek na podstawie art.10 i 10a ustawy o swobodzie działalności gospodarczej. Zgodnie z art.10 ust.1 ustawy o swobodzie działalności gospodarczej </w:t>
      </w:r>
      <w:r w:rsidRPr="00A85EB5">
        <w:rPr>
          <w:rFonts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="00352DD3">
        <w:rPr>
          <w:rFonts w:cs="Arial"/>
          <w:i/>
          <w:sz w:val="24"/>
          <w:szCs w:val="24"/>
        </w:rPr>
        <w:br/>
      </w:r>
      <w:r w:rsidRPr="00A85EB5">
        <w:rPr>
          <w:rFonts w:cs="Arial"/>
          <w:i/>
          <w:sz w:val="24"/>
          <w:szCs w:val="24"/>
        </w:rPr>
        <w:t>w jego indywidualnej sprawie.</w:t>
      </w:r>
    </w:p>
    <w:p w:rsidR="00CA4D4A" w:rsidRPr="00A85EB5" w:rsidRDefault="00CA4D4A" w:rsidP="00E4174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 xml:space="preserve">W przedmiotowym wniosku Wnioskodawca przedstawił następujący stan </w:t>
      </w:r>
      <w:r w:rsidR="003B4F7F">
        <w:rPr>
          <w:rFonts w:cs="Arial"/>
          <w:b/>
          <w:sz w:val="24"/>
          <w:szCs w:val="24"/>
        </w:rPr>
        <w:t>przyszły</w:t>
      </w:r>
      <w:r w:rsidRPr="00A85EB5">
        <w:rPr>
          <w:rFonts w:cs="Arial"/>
          <w:b/>
          <w:sz w:val="24"/>
          <w:szCs w:val="24"/>
        </w:rPr>
        <w:t>:</w:t>
      </w:r>
    </w:p>
    <w:p w:rsidR="004B41C0" w:rsidRDefault="004B41C0" w:rsidP="004B41C0">
      <w:pPr>
        <w:spacing w:after="0" w:line="360" w:lineRule="auto"/>
        <w:jc w:val="both"/>
        <w:rPr>
          <w:rFonts w:cs="Arial"/>
          <w:sz w:val="24"/>
          <w:szCs w:val="24"/>
        </w:rPr>
      </w:pPr>
      <w:r w:rsidRPr="008B5771">
        <w:rPr>
          <w:rFonts w:cs="Arial"/>
          <w:sz w:val="24"/>
          <w:szCs w:val="24"/>
        </w:rPr>
        <w:t xml:space="preserve">Firma </w:t>
      </w:r>
      <w:r w:rsidR="000F411E">
        <w:rPr>
          <w:rFonts w:cs="Arial"/>
          <w:sz w:val="24"/>
          <w:szCs w:val="24"/>
        </w:rPr>
        <w:t>XXXXXXXXXXXXXXXXXXXXXXXXXXXXXXXXXXX</w:t>
      </w:r>
      <w:r>
        <w:rPr>
          <w:rFonts w:cs="Arial"/>
          <w:sz w:val="24"/>
          <w:szCs w:val="24"/>
        </w:rPr>
        <w:t xml:space="preserve"> Spółk</w:t>
      </w:r>
      <w:r w:rsidR="0021179B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z o.o. w </w:t>
      </w:r>
      <w:r w:rsidR="000F411E">
        <w:rPr>
          <w:rFonts w:cs="Arial"/>
          <w:sz w:val="24"/>
          <w:szCs w:val="24"/>
        </w:rPr>
        <w:t>XXXXXXXX</w:t>
      </w:r>
      <w:r>
        <w:rPr>
          <w:rFonts w:cs="Arial"/>
          <w:sz w:val="24"/>
          <w:szCs w:val="24"/>
        </w:rPr>
        <w:t xml:space="preserve"> (zwan</w:t>
      </w:r>
      <w:r w:rsidR="002F0A2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dalej </w:t>
      </w:r>
      <w:r w:rsidR="000F411E">
        <w:rPr>
          <w:rFonts w:cs="Arial"/>
          <w:sz w:val="24"/>
          <w:szCs w:val="24"/>
        </w:rPr>
        <w:t>XXXXXXXXXXXXXXXXXXXXXXXX</w:t>
      </w:r>
      <w:r>
        <w:rPr>
          <w:rFonts w:cs="Arial"/>
          <w:sz w:val="24"/>
          <w:szCs w:val="24"/>
        </w:rPr>
        <w:t>)</w:t>
      </w:r>
      <w:r w:rsidRPr="008B5771">
        <w:rPr>
          <w:rFonts w:cs="Arial"/>
          <w:sz w:val="24"/>
          <w:szCs w:val="24"/>
        </w:rPr>
        <w:t xml:space="preserve"> na mocy decyzji Wojewody Lubelskiego utraciła status zakładu pracy chronionej z dniem 1 kwietnia 2014 r. Jednocześnie na podstawie art.33 ust.7b ustawy o rehabilitacji zachowała fundusz rehabilitacji i niewykorzystane środki tego funduszu.</w:t>
      </w:r>
      <w:r>
        <w:rPr>
          <w:rFonts w:cs="Arial"/>
          <w:sz w:val="24"/>
          <w:szCs w:val="24"/>
        </w:rPr>
        <w:t xml:space="preserve"> </w:t>
      </w:r>
      <w:r w:rsidRPr="008B5771">
        <w:rPr>
          <w:rFonts w:cs="Arial"/>
          <w:sz w:val="24"/>
          <w:szCs w:val="24"/>
        </w:rPr>
        <w:t xml:space="preserve">W dniu 30 czerwca 2014 r. doszło do połączenia Wnioskodawcy z Firmą </w:t>
      </w:r>
      <w:r w:rsidR="000F411E">
        <w:rPr>
          <w:rFonts w:cs="Arial"/>
          <w:sz w:val="24"/>
          <w:szCs w:val="24"/>
        </w:rPr>
        <w:lastRenderedPageBreak/>
        <w:t>XXXXXXXXXXX</w:t>
      </w:r>
      <w:r w:rsidRPr="008B5771">
        <w:rPr>
          <w:rFonts w:cs="Arial"/>
          <w:sz w:val="24"/>
          <w:szCs w:val="24"/>
        </w:rPr>
        <w:t xml:space="preserve"> w trybie art. 492 § 1 pkt 1 </w:t>
      </w:r>
      <w:r>
        <w:rPr>
          <w:rFonts w:cs="Arial"/>
          <w:sz w:val="24"/>
          <w:szCs w:val="24"/>
        </w:rPr>
        <w:t xml:space="preserve">ustawy z dnia 15 września 2000 r. </w:t>
      </w:r>
      <w:r w:rsidRPr="00A85EB5">
        <w:rPr>
          <w:rFonts w:cs="Arial"/>
          <w:sz w:val="24"/>
          <w:szCs w:val="24"/>
        </w:rPr>
        <w:t>Kodeksu spółek handlowych</w:t>
      </w:r>
      <w:r>
        <w:rPr>
          <w:rFonts w:cs="Arial"/>
          <w:sz w:val="24"/>
          <w:szCs w:val="24"/>
        </w:rPr>
        <w:t xml:space="preserve"> (Dz.U. z 201</w:t>
      </w:r>
      <w:r w:rsidR="002712A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 poz.157</w:t>
      </w:r>
      <w:r w:rsidR="002712A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z późn.zm.) zwanej dalej </w:t>
      </w:r>
      <w:proofErr w:type="spellStart"/>
      <w:r>
        <w:rPr>
          <w:rFonts w:cs="Arial"/>
          <w:sz w:val="24"/>
          <w:szCs w:val="24"/>
        </w:rPr>
        <w:t>ksh</w:t>
      </w:r>
      <w:proofErr w:type="spellEnd"/>
      <w:r>
        <w:rPr>
          <w:rFonts w:cs="Arial"/>
          <w:sz w:val="24"/>
          <w:szCs w:val="24"/>
        </w:rPr>
        <w:t xml:space="preserve">, poprzez przeniesienie całego majątku Firmy </w:t>
      </w:r>
      <w:r w:rsidR="000F411E">
        <w:rPr>
          <w:rFonts w:cs="Arial"/>
          <w:sz w:val="24"/>
          <w:szCs w:val="24"/>
        </w:rPr>
        <w:t>XXXXXXXXXXXXXXXXXXXX</w:t>
      </w:r>
      <w:r>
        <w:rPr>
          <w:rFonts w:cs="Arial"/>
          <w:sz w:val="24"/>
          <w:szCs w:val="24"/>
        </w:rPr>
        <w:t xml:space="preserve"> na Wnioskodawcę</w:t>
      </w:r>
      <w:r w:rsidR="002F0A2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:rsidR="00CA4D4A" w:rsidRPr="00A85EB5" w:rsidRDefault="00C90A9F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wyniku </w:t>
      </w:r>
      <w:r w:rsidR="00CA4D4A" w:rsidRPr="00A85EB5">
        <w:rPr>
          <w:rFonts w:cs="Arial"/>
          <w:sz w:val="24"/>
          <w:szCs w:val="24"/>
        </w:rPr>
        <w:t>połączeni</w:t>
      </w:r>
      <w:r>
        <w:rPr>
          <w:rFonts w:cs="Arial"/>
          <w:sz w:val="24"/>
          <w:szCs w:val="24"/>
        </w:rPr>
        <w:t>a spółek, Wnio</w:t>
      </w:r>
      <w:r w:rsidR="0095782F">
        <w:rPr>
          <w:rFonts w:cs="Arial"/>
          <w:sz w:val="24"/>
          <w:szCs w:val="24"/>
        </w:rPr>
        <w:t>skodawc</w:t>
      </w:r>
      <w:r>
        <w:rPr>
          <w:rFonts w:cs="Arial"/>
          <w:sz w:val="24"/>
          <w:szCs w:val="24"/>
        </w:rPr>
        <w:t>a</w:t>
      </w:r>
      <w:r w:rsidR="009578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stał się </w:t>
      </w:r>
      <w:r w:rsidR="00464CF7">
        <w:rPr>
          <w:rFonts w:cs="Arial"/>
          <w:sz w:val="24"/>
          <w:szCs w:val="24"/>
        </w:rPr>
        <w:t>w</w:t>
      </w:r>
      <w:r w:rsidR="00CA4D4A" w:rsidRPr="00A85EB5">
        <w:rPr>
          <w:rFonts w:cs="Arial"/>
          <w:sz w:val="24"/>
          <w:szCs w:val="24"/>
        </w:rPr>
        <w:t>łaścicielem następujących nieruchomości:</w:t>
      </w:r>
    </w:p>
    <w:p w:rsidR="00CA4D4A" w:rsidRPr="00A85EB5" w:rsidRDefault="00CA4D4A" w:rsidP="00CA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położonej w </w:t>
      </w:r>
      <w:r w:rsidR="000F411E">
        <w:rPr>
          <w:rFonts w:cs="Arial"/>
          <w:sz w:val="24"/>
          <w:szCs w:val="24"/>
        </w:rPr>
        <w:t>XXXXXXXXXXXXXXXXXXXXXXXX</w:t>
      </w:r>
      <w:r w:rsidRPr="00A85EB5">
        <w:rPr>
          <w:rFonts w:cs="Arial"/>
          <w:sz w:val="24"/>
          <w:szCs w:val="24"/>
        </w:rPr>
        <w:t xml:space="preserve">, zapisanej w księdze wieczystej prowadzonej przez Sąd Rejonowy w </w:t>
      </w:r>
      <w:r w:rsidR="000F411E">
        <w:rPr>
          <w:rFonts w:cs="Arial"/>
          <w:sz w:val="24"/>
          <w:szCs w:val="24"/>
        </w:rPr>
        <w:t>XXXXXXXXXXXXXXXXXXXXXXXX</w:t>
      </w:r>
      <w:r w:rsidRPr="00A85EB5">
        <w:rPr>
          <w:rFonts w:cs="Arial"/>
          <w:sz w:val="24"/>
          <w:szCs w:val="24"/>
        </w:rPr>
        <w:t xml:space="preserve"> pod numerem KW </w:t>
      </w:r>
      <w:r w:rsidR="000F411E">
        <w:rPr>
          <w:rFonts w:cs="Arial"/>
          <w:sz w:val="24"/>
          <w:szCs w:val="24"/>
        </w:rPr>
        <w:t>XXXXXXXXXXXXXX</w:t>
      </w:r>
      <w:r w:rsidRPr="00A85EB5">
        <w:rPr>
          <w:rFonts w:cs="Arial"/>
          <w:sz w:val="24"/>
          <w:szCs w:val="24"/>
        </w:rPr>
        <w:t xml:space="preserve"> oraz </w:t>
      </w:r>
      <w:r w:rsidR="000F411E">
        <w:rPr>
          <w:rFonts w:cs="Arial"/>
          <w:sz w:val="24"/>
          <w:szCs w:val="24"/>
        </w:rPr>
        <w:t>XXXXXXXXXXXXXXX</w:t>
      </w:r>
      <w:r w:rsidRPr="00A85EB5">
        <w:rPr>
          <w:rFonts w:cs="Arial"/>
          <w:sz w:val="24"/>
          <w:szCs w:val="24"/>
        </w:rPr>
        <w:t>;</w:t>
      </w:r>
    </w:p>
    <w:p w:rsidR="00CA4D4A" w:rsidRPr="00A85EB5" w:rsidRDefault="00CA4D4A" w:rsidP="00CA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położonej w </w:t>
      </w:r>
      <w:r w:rsidR="000F411E">
        <w:rPr>
          <w:rFonts w:cs="Arial"/>
          <w:sz w:val="24"/>
          <w:szCs w:val="24"/>
        </w:rPr>
        <w:t>XXXXXXXXXXXXXXXXXXXXXXX</w:t>
      </w:r>
      <w:r w:rsidRPr="00A85EB5">
        <w:rPr>
          <w:rFonts w:cs="Arial"/>
          <w:sz w:val="24"/>
          <w:szCs w:val="24"/>
        </w:rPr>
        <w:t xml:space="preserve">, zapisanej w księdze wieczystej prowadzonej przez Sąd Rejonowy w </w:t>
      </w:r>
      <w:r w:rsidR="000F411E">
        <w:rPr>
          <w:rFonts w:cs="Arial"/>
          <w:sz w:val="24"/>
          <w:szCs w:val="24"/>
        </w:rPr>
        <w:t>XXXXX</w:t>
      </w:r>
      <w:r w:rsidRPr="00A85EB5">
        <w:rPr>
          <w:rFonts w:cs="Arial"/>
          <w:sz w:val="24"/>
          <w:szCs w:val="24"/>
        </w:rPr>
        <w:t xml:space="preserve"> pod numerem KW </w:t>
      </w:r>
      <w:r w:rsidR="000F411E">
        <w:rPr>
          <w:rFonts w:cs="Arial"/>
          <w:sz w:val="24"/>
          <w:szCs w:val="24"/>
        </w:rPr>
        <w:t>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</w:t>
      </w:r>
      <w:r w:rsidRPr="00A85EB5">
        <w:rPr>
          <w:rFonts w:cs="Arial"/>
          <w:sz w:val="24"/>
          <w:szCs w:val="24"/>
        </w:rPr>
        <w:t xml:space="preserve"> oraz </w:t>
      </w:r>
      <w:r w:rsidR="000F411E">
        <w:rPr>
          <w:rFonts w:cs="Arial"/>
          <w:sz w:val="24"/>
          <w:szCs w:val="24"/>
        </w:rPr>
        <w:t>XXXXXXXXXXXXXXXX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</w:t>
      </w:r>
      <w:r w:rsidRPr="00A85EB5">
        <w:rPr>
          <w:rFonts w:cs="Arial"/>
          <w:sz w:val="24"/>
          <w:szCs w:val="24"/>
        </w:rPr>
        <w:t xml:space="preserve">, </w:t>
      </w:r>
      <w:r w:rsidR="000F411E">
        <w:rPr>
          <w:rFonts w:cs="Arial"/>
          <w:sz w:val="24"/>
          <w:szCs w:val="24"/>
        </w:rPr>
        <w:t>XXXXXXXXXXXXXX</w:t>
      </w:r>
      <w:r w:rsidRPr="00A85EB5">
        <w:rPr>
          <w:rFonts w:cs="Arial"/>
          <w:sz w:val="24"/>
          <w:szCs w:val="24"/>
        </w:rPr>
        <w:t>.</w:t>
      </w:r>
    </w:p>
    <w:p w:rsidR="0095782F" w:rsidRDefault="00CA4D4A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Na ww. nieruchomościach wzniesione są budynki, na które przed połączeniem spółek ponoszone były nakłady finansowe ze </w:t>
      </w:r>
      <w:r w:rsidR="0095782F">
        <w:rPr>
          <w:rFonts w:cs="Arial"/>
          <w:sz w:val="24"/>
          <w:szCs w:val="24"/>
        </w:rPr>
        <w:t xml:space="preserve">środków </w:t>
      </w:r>
      <w:r w:rsidR="00395CAB">
        <w:rPr>
          <w:rFonts w:cs="Arial"/>
          <w:sz w:val="24"/>
          <w:szCs w:val="24"/>
        </w:rPr>
        <w:t>zakładowego funduszu rehabilitacji osób niepełnosprawnych (</w:t>
      </w:r>
      <w:proofErr w:type="spellStart"/>
      <w:r w:rsidR="0095782F">
        <w:rPr>
          <w:rFonts w:cs="Arial"/>
          <w:sz w:val="24"/>
          <w:szCs w:val="24"/>
        </w:rPr>
        <w:t>z</w:t>
      </w:r>
      <w:r w:rsidR="00464CF7">
        <w:rPr>
          <w:rFonts w:cs="Arial"/>
          <w:sz w:val="24"/>
          <w:szCs w:val="24"/>
        </w:rPr>
        <w:t>fron</w:t>
      </w:r>
      <w:proofErr w:type="spellEnd"/>
      <w:r w:rsidR="00395CAB">
        <w:rPr>
          <w:rFonts w:cs="Arial"/>
          <w:sz w:val="24"/>
          <w:szCs w:val="24"/>
        </w:rPr>
        <w:t>)</w:t>
      </w:r>
      <w:r w:rsidR="008D3E98">
        <w:rPr>
          <w:rFonts w:cs="Arial"/>
          <w:sz w:val="24"/>
          <w:szCs w:val="24"/>
        </w:rPr>
        <w:t xml:space="preserve">, którego dysponentem była Firma </w:t>
      </w:r>
      <w:r w:rsidR="000F411E">
        <w:rPr>
          <w:rFonts w:cs="Arial"/>
          <w:sz w:val="24"/>
          <w:szCs w:val="24"/>
        </w:rPr>
        <w:t>XXXXXXXXXXXXXXXXXXX</w:t>
      </w:r>
      <w:r w:rsidR="008D3E98">
        <w:rPr>
          <w:rFonts w:cs="Arial"/>
          <w:sz w:val="24"/>
          <w:szCs w:val="24"/>
        </w:rPr>
        <w:t>.</w:t>
      </w:r>
      <w:r w:rsidR="00464CF7">
        <w:rPr>
          <w:rFonts w:cs="Arial"/>
          <w:sz w:val="24"/>
          <w:szCs w:val="24"/>
        </w:rPr>
        <w:t xml:space="preserve"> </w:t>
      </w:r>
      <w:r w:rsidRPr="00A85EB5">
        <w:rPr>
          <w:rFonts w:cs="Arial"/>
          <w:sz w:val="24"/>
          <w:szCs w:val="24"/>
        </w:rPr>
        <w:t xml:space="preserve">Nakłady te zostały tylko częściowo zamortyzowane. Obecnie Wnioskodawca planuje dokonać likwidacji środka trwałego poprzez wyburzenie budynków. </w:t>
      </w:r>
    </w:p>
    <w:p w:rsidR="00DF7C4E" w:rsidRDefault="008F7D7C" w:rsidP="00DF7C4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Wnioskodawca</w:t>
      </w:r>
      <w:r w:rsidR="00DF7C4E">
        <w:rPr>
          <w:rFonts w:cs="Arial"/>
          <w:sz w:val="24"/>
          <w:szCs w:val="24"/>
        </w:rPr>
        <w:t xml:space="preserve"> zarówno przed połączeniem, jak i obecnie, nie posiadał i nie posiada statusu zakładu pracy chronionej, a tym samym własnych środków </w:t>
      </w:r>
      <w:proofErr w:type="spellStart"/>
      <w:r w:rsidR="00DF7C4E">
        <w:rPr>
          <w:rFonts w:cs="Arial"/>
          <w:sz w:val="24"/>
          <w:szCs w:val="24"/>
        </w:rPr>
        <w:t>zfron</w:t>
      </w:r>
      <w:proofErr w:type="spellEnd"/>
      <w:r w:rsidR="00DF7C4E">
        <w:rPr>
          <w:rFonts w:cs="Arial"/>
          <w:sz w:val="24"/>
          <w:szCs w:val="24"/>
        </w:rPr>
        <w:t xml:space="preserve">. Ich dysponentem stał się </w:t>
      </w:r>
      <w:r w:rsidR="00DF7C4E">
        <w:rPr>
          <w:rFonts w:cs="Arial"/>
          <w:sz w:val="24"/>
          <w:szCs w:val="24"/>
        </w:rPr>
        <w:br/>
        <w:t xml:space="preserve">w wyniku połączenia z Firmą </w:t>
      </w:r>
      <w:r w:rsidR="000F411E">
        <w:rPr>
          <w:rFonts w:cs="Arial"/>
          <w:sz w:val="24"/>
          <w:szCs w:val="24"/>
        </w:rPr>
        <w:t>XXXXXXXXXXXXXXXXX</w:t>
      </w:r>
      <w:r w:rsidR="002F0A2E">
        <w:rPr>
          <w:rFonts w:cs="Arial"/>
          <w:sz w:val="24"/>
          <w:szCs w:val="24"/>
        </w:rPr>
        <w:t>.</w:t>
      </w:r>
      <w:r w:rsidR="00DF7C4E">
        <w:rPr>
          <w:rFonts w:cs="Arial"/>
          <w:sz w:val="24"/>
          <w:szCs w:val="24"/>
        </w:rPr>
        <w:t xml:space="preserve">     </w:t>
      </w:r>
    </w:p>
    <w:p w:rsidR="00852F17" w:rsidRDefault="00F31647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Zdaniem Wnioskodawcy przepis art.33 ust.2 pkt 5 ustawy o rehabilitacji nie ma zastosowania w sytuacji likwidacji środka trwałego zakupionego ze środków </w:t>
      </w:r>
      <w:proofErr w:type="spellStart"/>
      <w:r>
        <w:rPr>
          <w:rFonts w:cs="Arial"/>
          <w:sz w:val="24"/>
          <w:szCs w:val="24"/>
        </w:rPr>
        <w:t>zfron</w:t>
      </w:r>
      <w:proofErr w:type="spellEnd"/>
      <w:r>
        <w:rPr>
          <w:rFonts w:cs="Arial"/>
          <w:sz w:val="24"/>
          <w:szCs w:val="24"/>
        </w:rPr>
        <w:t xml:space="preserve">, który mnie został </w:t>
      </w:r>
      <w:r w:rsidR="00352DD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całości zamortyzowany, a w konsekwencji w przedstawionym we wniosku zdarzeniu przyszłym Wnioskodawca nie będzie zobowiązany do przekazania na rzecz </w:t>
      </w:r>
      <w:proofErr w:type="spellStart"/>
      <w:r>
        <w:rPr>
          <w:rFonts w:cs="Arial"/>
          <w:sz w:val="24"/>
          <w:szCs w:val="24"/>
        </w:rPr>
        <w:t>zfron</w:t>
      </w:r>
      <w:proofErr w:type="spellEnd"/>
      <w:r>
        <w:rPr>
          <w:rFonts w:cs="Arial"/>
          <w:sz w:val="24"/>
          <w:szCs w:val="24"/>
        </w:rPr>
        <w:t xml:space="preserve"> środków pieniężnych stanowiących równowartość niezamortyzowanej części wartości budynków, </w:t>
      </w:r>
      <w:r w:rsidR="00352DD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przypadku ich likwidacji polegającej na wyburzeniu.</w:t>
      </w:r>
    </w:p>
    <w:p w:rsidR="00F31647" w:rsidRDefault="00852F17" w:rsidP="00D911D8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treścią ww. przepisu, fundusz rehabilitacji tworzy się ze środków pochodzących </w:t>
      </w:r>
      <w:r w:rsidR="00395CA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ze zbycia środków trwałych zakupionych ze środków funduszu, w części niezamortyzowanej.</w:t>
      </w:r>
      <w:r w:rsidR="00B97FAB">
        <w:rPr>
          <w:rFonts w:cs="Arial"/>
          <w:sz w:val="24"/>
          <w:szCs w:val="24"/>
        </w:rPr>
        <w:t xml:space="preserve"> Ustawa o rehabilitacji nie definiuje pojęcia „zbycia”. Nie było ono także przedmiotem analizy przedstawicieli doktryny i orzecznictwa na gruncie przepisów ustawy o rehabilitacji. Z tego względu, </w:t>
      </w:r>
      <w:r w:rsidR="003B4F7F">
        <w:rPr>
          <w:rFonts w:cs="Arial"/>
          <w:sz w:val="24"/>
          <w:szCs w:val="24"/>
        </w:rPr>
        <w:t xml:space="preserve">interpretując </w:t>
      </w:r>
      <w:r>
        <w:rPr>
          <w:rFonts w:cs="Arial"/>
          <w:sz w:val="24"/>
          <w:szCs w:val="24"/>
        </w:rPr>
        <w:t xml:space="preserve">pojęcie „zbycia środków trwałych” użyte w tym przepisie należy </w:t>
      </w:r>
      <w:r w:rsidR="003B4F7F">
        <w:rPr>
          <w:rFonts w:cs="Arial"/>
          <w:sz w:val="24"/>
          <w:szCs w:val="24"/>
        </w:rPr>
        <w:t xml:space="preserve">posłużyć się wykładnią językową, zgodnie z którą „zbycie” oznacza sprzedaż lub w szerszym </w:t>
      </w:r>
      <w:r w:rsidR="003B4F7F">
        <w:rPr>
          <w:rFonts w:cs="Arial"/>
          <w:sz w:val="24"/>
          <w:szCs w:val="24"/>
        </w:rPr>
        <w:lastRenderedPageBreak/>
        <w:t>znaczeniu – przeniesienie własności pod innym tytułem</w:t>
      </w:r>
      <w:r w:rsidR="00B97FAB">
        <w:rPr>
          <w:rFonts w:cs="Arial"/>
          <w:sz w:val="24"/>
          <w:szCs w:val="24"/>
        </w:rPr>
        <w:t>. W konsekwencji pojęcie „zbycia” nie obejmuje czynności faktycznej polegającej na likwidacji środka trwałego, poprzez jego wyburzenie.</w:t>
      </w:r>
      <w:r w:rsidR="003B4F7F">
        <w:rPr>
          <w:rFonts w:cs="Arial"/>
          <w:sz w:val="24"/>
          <w:szCs w:val="24"/>
        </w:rPr>
        <w:t xml:space="preserve"> Likwidacja środka trwałego nie będzie bowiem prowadzić do przeniesienia prawa własności, a wyłącznie do unicestwienia tego środka trwałego. Nie będzie także skutkować dla Wnioskodawcy uzyskaniem przez niego jakichkolwiek środków pieniężnych. </w:t>
      </w:r>
      <w:r>
        <w:rPr>
          <w:rFonts w:cs="Arial"/>
          <w:sz w:val="24"/>
          <w:szCs w:val="24"/>
        </w:rPr>
        <w:t xml:space="preserve">     </w:t>
      </w:r>
      <w:r w:rsidR="00F31647">
        <w:rPr>
          <w:rFonts w:cs="Arial"/>
          <w:sz w:val="24"/>
          <w:szCs w:val="24"/>
        </w:rPr>
        <w:t xml:space="preserve">  </w:t>
      </w:r>
    </w:p>
    <w:p w:rsidR="00CA4D4A" w:rsidRPr="00A85EB5" w:rsidRDefault="00CA4D4A" w:rsidP="00C90A9F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>W związku z powyższym zadano następujące pytanie:</w:t>
      </w:r>
    </w:p>
    <w:p w:rsidR="00CA4D4A" w:rsidRPr="00A85EB5" w:rsidRDefault="00A96A49" w:rsidP="00352DD3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CA4D4A" w:rsidRPr="00A85EB5">
        <w:rPr>
          <w:rFonts w:cs="Arial"/>
          <w:sz w:val="24"/>
          <w:szCs w:val="24"/>
        </w:rPr>
        <w:t xml:space="preserve">zy przepis art. 33 ust. 2 pkt 5 ustawy o rehabilitacji, który stanowi, że </w:t>
      </w:r>
      <w:proofErr w:type="spellStart"/>
      <w:r w:rsidR="00F31647">
        <w:rPr>
          <w:rFonts w:cs="Arial"/>
          <w:sz w:val="24"/>
          <w:szCs w:val="24"/>
        </w:rPr>
        <w:t>zfron</w:t>
      </w:r>
      <w:proofErr w:type="spellEnd"/>
      <w:r w:rsidR="00CA4D4A" w:rsidRPr="00A85EB5">
        <w:rPr>
          <w:rFonts w:cs="Arial"/>
          <w:sz w:val="24"/>
          <w:szCs w:val="24"/>
        </w:rPr>
        <w:t xml:space="preserve"> tworzy się </w:t>
      </w:r>
      <w:r w:rsidR="00395CAB">
        <w:rPr>
          <w:rFonts w:cs="Arial"/>
          <w:sz w:val="24"/>
          <w:szCs w:val="24"/>
        </w:rPr>
        <w:br/>
      </w:r>
      <w:r w:rsidR="00CA4D4A" w:rsidRPr="00A85EB5">
        <w:rPr>
          <w:rFonts w:cs="Arial"/>
          <w:sz w:val="24"/>
          <w:szCs w:val="24"/>
        </w:rPr>
        <w:t xml:space="preserve">ze środków pochodzących ze zbycia środków trwałych zakupionych ze środków funduszu, </w:t>
      </w:r>
      <w:r w:rsidR="00352DD3">
        <w:rPr>
          <w:rFonts w:cs="Arial"/>
          <w:sz w:val="24"/>
          <w:szCs w:val="24"/>
        </w:rPr>
        <w:br/>
      </w:r>
      <w:r w:rsidR="00CA4D4A" w:rsidRPr="00A85EB5">
        <w:rPr>
          <w:rFonts w:cs="Arial"/>
          <w:sz w:val="24"/>
          <w:szCs w:val="24"/>
        </w:rPr>
        <w:t xml:space="preserve">w części niezamortyzowanej, ma zastosowanie w sytuacji likwidacji środka trwałego zakupionego ze środków funduszu, który nie został w całości zamortyzowany, </w:t>
      </w:r>
      <w:r w:rsidR="00352DD3">
        <w:rPr>
          <w:rFonts w:cs="Arial"/>
          <w:sz w:val="24"/>
          <w:szCs w:val="24"/>
        </w:rPr>
        <w:br/>
      </w:r>
      <w:r w:rsidR="00CA4D4A" w:rsidRPr="00A85EB5">
        <w:rPr>
          <w:rFonts w:cs="Arial"/>
          <w:sz w:val="24"/>
          <w:szCs w:val="24"/>
        </w:rPr>
        <w:t xml:space="preserve">a w konsekwencji, czy w przedstawionym we wniosku zdarzeniu przyszłym Wnioskodawca będzie zobowiązany do przekazania na rzecz </w:t>
      </w:r>
      <w:proofErr w:type="spellStart"/>
      <w:r w:rsidR="00F31647">
        <w:rPr>
          <w:rFonts w:cs="Arial"/>
          <w:sz w:val="24"/>
          <w:szCs w:val="24"/>
        </w:rPr>
        <w:t>zfron</w:t>
      </w:r>
      <w:proofErr w:type="spellEnd"/>
      <w:r w:rsidR="00CA4D4A" w:rsidRPr="00A85EB5">
        <w:rPr>
          <w:rFonts w:cs="Arial"/>
          <w:sz w:val="24"/>
          <w:szCs w:val="24"/>
        </w:rPr>
        <w:t xml:space="preserve"> środków pieniężnych stanowiących równowartość niezamortyzowanej części wartości budynków, w przypadku ich likwidacji polegającej na wyburzeniu?</w:t>
      </w:r>
    </w:p>
    <w:p w:rsidR="00CA4D4A" w:rsidRPr="00A85EB5" w:rsidRDefault="00CA4D4A" w:rsidP="00CA4D4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 xml:space="preserve">Na tle przedstawionego stanu </w:t>
      </w:r>
      <w:r w:rsidR="003B4F7F">
        <w:rPr>
          <w:rFonts w:cs="Arial"/>
          <w:b/>
          <w:sz w:val="24"/>
          <w:szCs w:val="24"/>
        </w:rPr>
        <w:t>przyszłego</w:t>
      </w:r>
      <w:r w:rsidRPr="00A85EB5">
        <w:rPr>
          <w:rFonts w:cs="Arial"/>
          <w:b/>
          <w:sz w:val="24"/>
          <w:szCs w:val="24"/>
        </w:rPr>
        <w:t>, stwierdzam co następuje:</w:t>
      </w:r>
    </w:p>
    <w:p w:rsidR="00CA4D4A" w:rsidRPr="00A85EB5" w:rsidRDefault="0040029C" w:rsidP="00CA4D4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Na podstawie</w:t>
      </w:r>
      <w:r w:rsidR="00CA4D4A" w:rsidRPr="00A85EB5">
        <w:rPr>
          <w:rFonts w:cs="Arial"/>
          <w:sz w:val="24"/>
          <w:szCs w:val="24"/>
        </w:rPr>
        <w:t xml:space="preserve"> art.10 ust.1 ustawy o swobodzie działalności gospodarczej </w:t>
      </w:r>
      <w:r w:rsidR="00CA4D4A" w:rsidRPr="00A85EB5">
        <w:rPr>
          <w:rFonts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E41746" w:rsidRDefault="00895408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Wnioskodawca nie posiadał i nie posiada statusu zakładu pracy chronionej, a tym samym własnych środków zakładowego funduszu rehabilitacji osób niepełnosprawnych. S</w:t>
      </w:r>
      <w:r w:rsidR="00395CAB">
        <w:rPr>
          <w:rFonts w:cs="Arial"/>
          <w:sz w:val="24"/>
          <w:szCs w:val="24"/>
        </w:rPr>
        <w:t>tał się ich</w:t>
      </w:r>
      <w:r>
        <w:rPr>
          <w:rFonts w:cs="Arial"/>
          <w:sz w:val="24"/>
          <w:szCs w:val="24"/>
        </w:rPr>
        <w:t xml:space="preserve"> dysponentem w </w:t>
      </w:r>
      <w:r w:rsidR="0082058D">
        <w:rPr>
          <w:rFonts w:cs="Arial"/>
          <w:sz w:val="24"/>
          <w:szCs w:val="24"/>
        </w:rPr>
        <w:t xml:space="preserve">wyniku </w:t>
      </w:r>
      <w:r>
        <w:rPr>
          <w:rFonts w:cs="Arial"/>
          <w:sz w:val="24"/>
          <w:szCs w:val="24"/>
        </w:rPr>
        <w:t>połączeni</w:t>
      </w:r>
      <w:r w:rsidR="0082058D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z Firmą Cukierniczą „Solidarność”</w:t>
      </w:r>
      <w:r w:rsidR="00DB3D20">
        <w:rPr>
          <w:rFonts w:cs="Arial"/>
          <w:sz w:val="24"/>
          <w:szCs w:val="24"/>
        </w:rPr>
        <w:t xml:space="preserve">, regulowanego </w:t>
      </w:r>
      <w:r w:rsidR="00395CAB">
        <w:rPr>
          <w:rFonts w:cs="Arial"/>
          <w:sz w:val="24"/>
          <w:szCs w:val="24"/>
        </w:rPr>
        <w:t>p</w:t>
      </w:r>
      <w:r w:rsidR="00DB3D20">
        <w:rPr>
          <w:rFonts w:cs="Arial"/>
          <w:sz w:val="24"/>
          <w:szCs w:val="24"/>
        </w:rPr>
        <w:t xml:space="preserve">rzepisami </w:t>
      </w:r>
      <w:proofErr w:type="spellStart"/>
      <w:r w:rsidR="00DB3D20">
        <w:rPr>
          <w:rFonts w:cs="Arial"/>
          <w:sz w:val="24"/>
          <w:szCs w:val="24"/>
        </w:rPr>
        <w:t>ksh</w:t>
      </w:r>
      <w:proofErr w:type="spellEnd"/>
      <w:r w:rsidR="0082058D">
        <w:rPr>
          <w:rFonts w:cs="Arial"/>
          <w:sz w:val="24"/>
          <w:szCs w:val="24"/>
        </w:rPr>
        <w:t xml:space="preserve">. Przejęta spółka – jako były zakład pracy chronionej - zachowała </w:t>
      </w:r>
      <w:r w:rsidR="00395CAB">
        <w:rPr>
          <w:rFonts w:cs="Arial"/>
          <w:sz w:val="24"/>
          <w:szCs w:val="24"/>
        </w:rPr>
        <w:t>n</w:t>
      </w:r>
      <w:r w:rsidR="0082058D">
        <w:rPr>
          <w:rFonts w:cs="Arial"/>
          <w:sz w:val="24"/>
          <w:szCs w:val="24"/>
        </w:rPr>
        <w:t xml:space="preserve">iewykorzystane środki tego funduszu w związku ze spełnianiem warunków określonych </w:t>
      </w:r>
      <w:r w:rsidR="00395CAB">
        <w:rPr>
          <w:rFonts w:cs="Arial"/>
          <w:sz w:val="24"/>
          <w:szCs w:val="24"/>
        </w:rPr>
        <w:br/>
      </w:r>
      <w:r w:rsidR="0082058D">
        <w:rPr>
          <w:rFonts w:cs="Arial"/>
          <w:sz w:val="24"/>
          <w:szCs w:val="24"/>
        </w:rPr>
        <w:t>w art.33 ust.7b ustawy o rehabilitacji</w:t>
      </w:r>
      <w:r w:rsidR="00E41746">
        <w:rPr>
          <w:rFonts w:cs="Arial"/>
          <w:sz w:val="24"/>
          <w:szCs w:val="24"/>
        </w:rPr>
        <w:t xml:space="preserve">. </w:t>
      </w:r>
    </w:p>
    <w:p w:rsidR="00C90A9F" w:rsidRDefault="00B4700F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>Zgodnie z art.</w:t>
      </w:r>
      <w:r w:rsidR="00813FDE" w:rsidRPr="00A85EB5">
        <w:rPr>
          <w:rFonts w:cs="Arial"/>
          <w:sz w:val="24"/>
          <w:szCs w:val="24"/>
        </w:rPr>
        <w:t>33 ust.2 pkt</w:t>
      </w:r>
      <w:r w:rsidR="0082058D">
        <w:rPr>
          <w:rFonts w:cs="Arial"/>
          <w:sz w:val="24"/>
          <w:szCs w:val="24"/>
        </w:rPr>
        <w:t xml:space="preserve"> </w:t>
      </w:r>
      <w:r w:rsidR="00813FDE" w:rsidRPr="00A85EB5">
        <w:rPr>
          <w:rFonts w:cs="Arial"/>
          <w:sz w:val="24"/>
          <w:szCs w:val="24"/>
        </w:rPr>
        <w:t xml:space="preserve">5 ustawy o </w:t>
      </w:r>
      <w:r w:rsidR="00813FDE" w:rsidRPr="003B4F7F">
        <w:rPr>
          <w:rFonts w:cs="Arial"/>
          <w:sz w:val="24"/>
          <w:szCs w:val="24"/>
        </w:rPr>
        <w:t xml:space="preserve">rehabilitacji </w:t>
      </w:r>
      <w:r w:rsidR="003B4F7F" w:rsidRPr="003B4F7F">
        <w:rPr>
          <w:rFonts w:cs="Arial"/>
          <w:sz w:val="24"/>
          <w:szCs w:val="24"/>
        </w:rPr>
        <w:t>-</w:t>
      </w:r>
      <w:r w:rsidR="00813FDE" w:rsidRPr="003B4F7F">
        <w:rPr>
          <w:rFonts w:cs="Arial"/>
          <w:sz w:val="24"/>
          <w:szCs w:val="24"/>
        </w:rPr>
        <w:t xml:space="preserve">  fundusz rehabilitacji </w:t>
      </w:r>
      <w:r w:rsidR="003B4F7F" w:rsidRPr="003B4F7F">
        <w:rPr>
          <w:rFonts w:cs="Arial"/>
          <w:sz w:val="24"/>
          <w:szCs w:val="24"/>
        </w:rPr>
        <w:t xml:space="preserve">- </w:t>
      </w:r>
      <w:r w:rsidR="00813FDE" w:rsidRPr="003B4F7F">
        <w:rPr>
          <w:rFonts w:cs="Arial"/>
          <w:sz w:val="24"/>
          <w:szCs w:val="24"/>
        </w:rPr>
        <w:t xml:space="preserve">tworzy się </w:t>
      </w:r>
      <w:r w:rsidR="00352DD3">
        <w:rPr>
          <w:rFonts w:cs="Arial"/>
          <w:sz w:val="24"/>
          <w:szCs w:val="24"/>
        </w:rPr>
        <w:br/>
      </w:r>
      <w:r w:rsidR="00813FDE" w:rsidRPr="003B4F7F">
        <w:rPr>
          <w:rFonts w:cs="Arial"/>
          <w:sz w:val="24"/>
          <w:szCs w:val="24"/>
        </w:rPr>
        <w:t xml:space="preserve">ze środków pochodzących ze zbycia środków trwałych zakupionych ze środków funduszu, </w:t>
      </w:r>
      <w:r w:rsidR="00352DD3">
        <w:rPr>
          <w:rFonts w:cs="Arial"/>
          <w:sz w:val="24"/>
          <w:szCs w:val="24"/>
        </w:rPr>
        <w:br/>
      </w:r>
      <w:r w:rsidR="00813FDE" w:rsidRPr="003B4F7F">
        <w:rPr>
          <w:rFonts w:cs="Arial"/>
          <w:sz w:val="24"/>
          <w:szCs w:val="24"/>
        </w:rPr>
        <w:t>w części niezamortyzowanej</w:t>
      </w:r>
      <w:r w:rsidR="00AC2D39" w:rsidRPr="003B4F7F">
        <w:rPr>
          <w:rFonts w:cs="Arial"/>
          <w:sz w:val="24"/>
          <w:szCs w:val="24"/>
        </w:rPr>
        <w:t xml:space="preserve">. </w:t>
      </w:r>
    </w:p>
    <w:p w:rsidR="0082058D" w:rsidRDefault="00C90A9F" w:rsidP="00DB3D20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="004D46D5">
        <w:rPr>
          <w:rFonts w:cs="Arial"/>
          <w:sz w:val="24"/>
          <w:szCs w:val="24"/>
        </w:rPr>
        <w:t xml:space="preserve">łusznie zauważył Wnioskodawca, </w:t>
      </w:r>
      <w:r>
        <w:rPr>
          <w:rFonts w:cs="Arial"/>
          <w:sz w:val="24"/>
          <w:szCs w:val="24"/>
        </w:rPr>
        <w:t xml:space="preserve">iż </w:t>
      </w:r>
      <w:r w:rsidR="004D46D5">
        <w:rPr>
          <w:rFonts w:cs="Arial"/>
          <w:sz w:val="24"/>
          <w:szCs w:val="24"/>
        </w:rPr>
        <w:t>ustawa o rehabilitacji nie zawiera definicji pojęcia „zbycia”</w:t>
      </w:r>
      <w:r w:rsidR="005716BB">
        <w:rPr>
          <w:rFonts w:cs="Arial"/>
          <w:sz w:val="24"/>
          <w:szCs w:val="24"/>
        </w:rPr>
        <w:t>, jak również wskazał na potrzebę zastosowania w takim przypadku wykładni językowej</w:t>
      </w:r>
      <w:r w:rsidR="004D46D5">
        <w:rPr>
          <w:rFonts w:cs="Arial"/>
          <w:sz w:val="24"/>
          <w:szCs w:val="24"/>
        </w:rPr>
        <w:t xml:space="preserve">. </w:t>
      </w:r>
      <w:r w:rsidR="005716BB">
        <w:rPr>
          <w:rFonts w:cs="Arial"/>
          <w:sz w:val="24"/>
          <w:szCs w:val="24"/>
        </w:rPr>
        <w:t>Powszechnie akceptowaną w orzecznictwie i piśmiennictwie jest zasada pierwszeństwa wykładni językowej przy analizowaniu treści aktów prawnych</w:t>
      </w:r>
      <w:r w:rsidR="0040029C">
        <w:rPr>
          <w:rFonts w:cs="Arial"/>
          <w:sz w:val="24"/>
          <w:szCs w:val="24"/>
        </w:rPr>
        <w:t xml:space="preserve"> (w</w:t>
      </w:r>
      <w:r w:rsidR="005716BB">
        <w:rPr>
          <w:rFonts w:cs="Arial"/>
          <w:sz w:val="24"/>
          <w:szCs w:val="24"/>
        </w:rPr>
        <w:t>ykładnia systemowa i funkcjonalna mają charakter jedynie pomocniczy</w:t>
      </w:r>
      <w:r w:rsidR="0040029C">
        <w:rPr>
          <w:rFonts w:cs="Arial"/>
          <w:sz w:val="24"/>
          <w:szCs w:val="24"/>
        </w:rPr>
        <w:t>)</w:t>
      </w:r>
      <w:r w:rsidR="005716BB">
        <w:rPr>
          <w:rFonts w:cs="Arial"/>
          <w:sz w:val="24"/>
          <w:szCs w:val="24"/>
        </w:rPr>
        <w:t xml:space="preserve">. Odstępstwo od </w:t>
      </w:r>
      <w:r w:rsidR="0040029C">
        <w:rPr>
          <w:rFonts w:cs="Arial"/>
          <w:sz w:val="24"/>
          <w:szCs w:val="24"/>
        </w:rPr>
        <w:t xml:space="preserve">tej zasady jest </w:t>
      </w:r>
      <w:r w:rsidR="005716BB">
        <w:rPr>
          <w:rFonts w:cs="Arial"/>
          <w:sz w:val="24"/>
          <w:szCs w:val="24"/>
        </w:rPr>
        <w:t>dopuszcza</w:t>
      </w:r>
      <w:r w:rsidR="0040029C">
        <w:rPr>
          <w:rFonts w:cs="Arial"/>
          <w:sz w:val="24"/>
          <w:szCs w:val="24"/>
        </w:rPr>
        <w:t>lne</w:t>
      </w:r>
      <w:r w:rsidR="005716BB">
        <w:rPr>
          <w:rFonts w:cs="Arial"/>
          <w:sz w:val="24"/>
          <w:szCs w:val="24"/>
        </w:rPr>
        <w:t xml:space="preserve"> dopiero wtedy, gdy </w:t>
      </w:r>
      <w:r w:rsidR="0040029C">
        <w:rPr>
          <w:rFonts w:cs="Arial"/>
          <w:sz w:val="24"/>
          <w:szCs w:val="24"/>
        </w:rPr>
        <w:t xml:space="preserve">w wyniku jej </w:t>
      </w:r>
      <w:r w:rsidR="005716BB">
        <w:rPr>
          <w:rFonts w:cs="Arial"/>
          <w:sz w:val="24"/>
          <w:szCs w:val="24"/>
        </w:rPr>
        <w:t>zastosowani</w:t>
      </w:r>
      <w:r w:rsidR="0040029C">
        <w:rPr>
          <w:rFonts w:cs="Arial"/>
          <w:sz w:val="24"/>
          <w:szCs w:val="24"/>
        </w:rPr>
        <w:t>a</w:t>
      </w:r>
      <w:r w:rsidR="005716BB">
        <w:rPr>
          <w:rFonts w:cs="Arial"/>
          <w:sz w:val="24"/>
          <w:szCs w:val="24"/>
        </w:rPr>
        <w:t xml:space="preserve"> dochodziłoby do rażąco niesprawiedliwych wniosków. W drodze wykładni nie można nadać określonemu przepisowi prawa innego znaczenia niż to, które wynika z jego treści</w:t>
      </w:r>
      <w:r w:rsidR="00A96A49">
        <w:rPr>
          <w:rFonts w:cs="Arial"/>
          <w:sz w:val="24"/>
          <w:szCs w:val="24"/>
        </w:rPr>
        <w:t>.</w:t>
      </w:r>
      <w:r w:rsidR="005716BB">
        <w:rPr>
          <w:rFonts w:cs="Arial"/>
          <w:sz w:val="24"/>
          <w:szCs w:val="24"/>
        </w:rPr>
        <w:t xml:space="preserve"> Zastosowanie w określonym przypadku wykładni odbiegającej od podstawowego, bezpośredniego znaczenia językowego przepisu może być tylko wyjątkowo uzasadnione oczekiwaniami adresatów norm prawnych.  </w:t>
      </w:r>
      <w:r w:rsidR="00A53203">
        <w:rPr>
          <w:rFonts w:cs="Arial"/>
          <w:sz w:val="24"/>
          <w:szCs w:val="24"/>
        </w:rPr>
        <w:t>Z</w:t>
      </w:r>
      <w:r w:rsidR="000C4263">
        <w:rPr>
          <w:rFonts w:cs="Arial"/>
          <w:sz w:val="24"/>
          <w:szCs w:val="24"/>
        </w:rPr>
        <w:t>godnie z regułami wykładni językowej należy się odwołać do znaczenia jakie nadaje temu pojęciu język polski.</w:t>
      </w:r>
    </w:p>
    <w:p w:rsidR="00DB3D20" w:rsidRDefault="000C4263" w:rsidP="00BE2EDA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Zby</w:t>
      </w:r>
      <w:r w:rsidR="003A14CD">
        <w:rPr>
          <w:rFonts w:cs="Arial"/>
          <w:sz w:val="24"/>
          <w:szCs w:val="24"/>
        </w:rPr>
        <w:t>ć</w:t>
      </w:r>
      <w:r>
        <w:rPr>
          <w:rFonts w:cs="Arial"/>
          <w:sz w:val="24"/>
          <w:szCs w:val="24"/>
        </w:rPr>
        <w:t xml:space="preserve"> to </w:t>
      </w:r>
      <w:r w:rsidR="003A14CD">
        <w:rPr>
          <w:rFonts w:cs="Arial"/>
          <w:sz w:val="24"/>
          <w:szCs w:val="24"/>
        </w:rPr>
        <w:t>sprzedać, odstąpić coś za pieniądze, pozbyć się czegoś przez sprzedaż</w:t>
      </w:r>
      <w:r w:rsidR="00BE2EDA">
        <w:rPr>
          <w:rFonts w:cs="Arial"/>
          <w:sz w:val="24"/>
          <w:szCs w:val="24"/>
        </w:rPr>
        <w:t xml:space="preserve">. </w:t>
      </w:r>
      <w:r w:rsidR="00BE2EDA">
        <w:rPr>
          <w:rFonts w:cs="Arial"/>
          <w:sz w:val="24"/>
          <w:szCs w:val="24"/>
        </w:rPr>
        <w:br/>
        <w:t xml:space="preserve">W piśmiennictwie można również odnotować pogląd dopuszczający w tym zakresie szerszą kategorię czynności – </w:t>
      </w:r>
      <w:r w:rsidR="008115BC">
        <w:rPr>
          <w:rFonts w:cs="Arial"/>
          <w:sz w:val="24"/>
          <w:szCs w:val="24"/>
        </w:rPr>
        <w:t xml:space="preserve">tj. </w:t>
      </w:r>
      <w:r w:rsidR="00BE2EDA">
        <w:rPr>
          <w:rFonts w:cs="Arial"/>
          <w:sz w:val="24"/>
          <w:szCs w:val="24"/>
        </w:rPr>
        <w:t xml:space="preserve">powodujących przeniesienie praw zbywalnych, </w:t>
      </w:r>
      <w:r w:rsidR="00395CAB">
        <w:rPr>
          <w:rFonts w:cs="Arial"/>
          <w:sz w:val="24"/>
          <w:szCs w:val="24"/>
        </w:rPr>
        <w:t xml:space="preserve">czyli takich praw co do których istnieje </w:t>
      </w:r>
      <w:r w:rsidR="00BE2EDA">
        <w:rPr>
          <w:rFonts w:cs="Arial"/>
          <w:sz w:val="24"/>
          <w:szCs w:val="24"/>
        </w:rPr>
        <w:t xml:space="preserve">możliwość przeniesienia w drodze czynności prawnej na inny podmiot. </w:t>
      </w:r>
      <w:r w:rsidR="008115BC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związku z takim rozumieniem tego pojęcia, zbyciem środka trwałego</w:t>
      </w:r>
      <w:r w:rsidR="006758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będzie</w:t>
      </w:r>
      <w:r w:rsidR="00DB3D20">
        <w:rPr>
          <w:rFonts w:cs="Arial"/>
          <w:sz w:val="24"/>
          <w:szCs w:val="24"/>
        </w:rPr>
        <w:t xml:space="preserve"> np.</w:t>
      </w:r>
      <w:r>
        <w:rPr>
          <w:rFonts w:cs="Arial"/>
          <w:sz w:val="24"/>
          <w:szCs w:val="24"/>
        </w:rPr>
        <w:t xml:space="preserve"> </w:t>
      </w:r>
      <w:r w:rsidR="00675827">
        <w:rPr>
          <w:rFonts w:cs="Arial"/>
          <w:sz w:val="24"/>
          <w:szCs w:val="24"/>
        </w:rPr>
        <w:t>jego sprzedaż</w:t>
      </w:r>
      <w:r w:rsidR="00DB3D20">
        <w:rPr>
          <w:rFonts w:cs="Arial"/>
          <w:sz w:val="24"/>
          <w:szCs w:val="24"/>
        </w:rPr>
        <w:t xml:space="preserve"> </w:t>
      </w:r>
      <w:r w:rsidR="00BE2EDA">
        <w:rPr>
          <w:rFonts w:cs="Arial"/>
          <w:sz w:val="24"/>
          <w:szCs w:val="24"/>
        </w:rPr>
        <w:t xml:space="preserve">czy </w:t>
      </w:r>
      <w:r w:rsidR="0014683D">
        <w:rPr>
          <w:rFonts w:cs="Arial"/>
          <w:sz w:val="24"/>
          <w:szCs w:val="24"/>
        </w:rPr>
        <w:t>wniesienie aportem</w:t>
      </w:r>
      <w:r w:rsidR="003642E0">
        <w:rPr>
          <w:rFonts w:cs="Arial"/>
          <w:sz w:val="24"/>
          <w:szCs w:val="24"/>
        </w:rPr>
        <w:t>.</w:t>
      </w:r>
      <w:r w:rsidR="00E91CE2">
        <w:rPr>
          <w:rFonts w:cs="Arial"/>
          <w:sz w:val="24"/>
          <w:szCs w:val="24"/>
        </w:rPr>
        <w:t xml:space="preserve"> </w:t>
      </w:r>
      <w:r w:rsidR="003642E0" w:rsidRPr="003642E0">
        <w:rPr>
          <w:rFonts w:cs="Arial"/>
          <w:sz w:val="24"/>
          <w:szCs w:val="24"/>
        </w:rPr>
        <w:t>W konsekwencji pojęcie „zbycia</w:t>
      </w:r>
      <w:r w:rsidR="008F7D7C">
        <w:rPr>
          <w:rFonts w:cs="Arial"/>
          <w:sz w:val="24"/>
          <w:szCs w:val="24"/>
        </w:rPr>
        <w:t xml:space="preserve"> środka trwałego</w:t>
      </w:r>
      <w:r w:rsidR="003642E0" w:rsidRPr="003642E0">
        <w:rPr>
          <w:rFonts w:cs="Arial"/>
          <w:sz w:val="24"/>
          <w:szCs w:val="24"/>
        </w:rPr>
        <w:t xml:space="preserve">” nie obejmuje czynności faktycznej polegającej na </w:t>
      </w:r>
      <w:r w:rsidR="00DB3D20">
        <w:rPr>
          <w:rFonts w:cs="Arial"/>
          <w:sz w:val="24"/>
          <w:szCs w:val="24"/>
        </w:rPr>
        <w:t xml:space="preserve">fizycznej </w:t>
      </w:r>
      <w:r w:rsidR="003642E0" w:rsidRPr="003642E0">
        <w:rPr>
          <w:rFonts w:cs="Arial"/>
          <w:sz w:val="24"/>
          <w:szCs w:val="24"/>
        </w:rPr>
        <w:t xml:space="preserve">likwidacji </w:t>
      </w:r>
      <w:r w:rsidR="008F7D7C">
        <w:rPr>
          <w:rFonts w:cs="Arial"/>
          <w:sz w:val="24"/>
          <w:szCs w:val="24"/>
        </w:rPr>
        <w:t>tego ś</w:t>
      </w:r>
      <w:r w:rsidR="003642E0" w:rsidRPr="003642E0">
        <w:rPr>
          <w:rFonts w:cs="Arial"/>
          <w:sz w:val="24"/>
          <w:szCs w:val="24"/>
        </w:rPr>
        <w:t>rodka</w:t>
      </w:r>
      <w:r w:rsidR="008F7D7C">
        <w:rPr>
          <w:rFonts w:cs="Arial"/>
          <w:sz w:val="24"/>
          <w:szCs w:val="24"/>
        </w:rPr>
        <w:t>.</w:t>
      </w:r>
    </w:p>
    <w:p w:rsidR="003642E0" w:rsidRPr="003642E0" w:rsidRDefault="003642E0" w:rsidP="00DB3D20">
      <w:pPr>
        <w:spacing w:after="120" w:line="360" w:lineRule="auto"/>
        <w:jc w:val="both"/>
        <w:rPr>
          <w:rFonts w:cs="Arial"/>
          <w:sz w:val="24"/>
          <w:szCs w:val="24"/>
        </w:rPr>
      </w:pPr>
      <w:r w:rsidRPr="003642E0">
        <w:rPr>
          <w:rFonts w:cs="Arial"/>
          <w:sz w:val="24"/>
          <w:szCs w:val="24"/>
        </w:rPr>
        <w:t xml:space="preserve">Środki trwałe, które utraciły swoją przydatność i które w związku z tym nie mogą być wykorzystywane w prowadzonej działalności są wycofywane z używania, co z kolei stanowi podstawę do postawienia ich w stan likwidacji. Zarówno samo postawienie środka trwałego w stan likwidacji, jak i jego fizyczną likwidację należy prawidłowo udokumentować. </w:t>
      </w:r>
    </w:p>
    <w:p w:rsidR="003642E0" w:rsidRPr="003642E0" w:rsidRDefault="003642E0" w:rsidP="00DB3D20">
      <w:pPr>
        <w:spacing w:after="120" w:line="360" w:lineRule="auto"/>
        <w:jc w:val="both"/>
        <w:rPr>
          <w:rFonts w:cs="Arial"/>
          <w:sz w:val="24"/>
          <w:szCs w:val="24"/>
        </w:rPr>
      </w:pPr>
      <w:r w:rsidRPr="003642E0">
        <w:rPr>
          <w:rFonts w:cs="Arial"/>
          <w:sz w:val="24"/>
          <w:szCs w:val="24"/>
        </w:rPr>
        <w:t xml:space="preserve">Zdarzenie gospodarcze, jakim jest wycofanie środka trwałego z używania i postawienie go </w:t>
      </w:r>
      <w:r w:rsidR="00DF7C4E">
        <w:rPr>
          <w:rFonts w:cs="Arial"/>
          <w:sz w:val="24"/>
          <w:szCs w:val="24"/>
        </w:rPr>
        <w:br/>
      </w:r>
      <w:r w:rsidRPr="003642E0">
        <w:rPr>
          <w:rFonts w:cs="Arial"/>
          <w:sz w:val="24"/>
          <w:szCs w:val="24"/>
        </w:rPr>
        <w:t xml:space="preserve">w stan likwidacji, może zostać udokumentowane dowodem wewnętrznym "LT - Likwidacja środka trwałego". Podstawą do jego wystawienia może być inny dokument wewnętrzny, np. pisemna decyzja kierownika jednostki o postawieniu środka trwałego w stan likwidacji </w:t>
      </w:r>
      <w:r w:rsidR="00DF7C4E">
        <w:rPr>
          <w:rFonts w:cs="Arial"/>
          <w:sz w:val="24"/>
          <w:szCs w:val="24"/>
        </w:rPr>
        <w:br/>
      </w:r>
      <w:r w:rsidRPr="003642E0">
        <w:rPr>
          <w:rFonts w:cs="Arial"/>
          <w:sz w:val="24"/>
          <w:szCs w:val="24"/>
        </w:rPr>
        <w:t xml:space="preserve">lub protokół komisji likwidacyjnej zatwierdzony przez kierownika jednostki. Fizyczną likwidację środka trwałego (postawionego wcześniej w stan likwidacji) wskazane jest udokumentować stosownym protokołem, potwierdzającym fakt zakończenia likwidacji. </w:t>
      </w:r>
      <w:r w:rsidR="00DF7C4E">
        <w:rPr>
          <w:rFonts w:cs="Arial"/>
          <w:sz w:val="24"/>
          <w:szCs w:val="24"/>
        </w:rPr>
        <w:br/>
      </w:r>
      <w:r w:rsidRPr="003642E0">
        <w:rPr>
          <w:rFonts w:cs="Arial"/>
          <w:sz w:val="24"/>
          <w:szCs w:val="24"/>
        </w:rPr>
        <w:t>Z dokumentu tego powinno jednoznacznie wynikać, iż środek trwały został zlikwidowany.</w:t>
      </w:r>
      <w:r w:rsidR="00DF7C4E">
        <w:rPr>
          <w:rFonts w:cs="Arial"/>
          <w:sz w:val="24"/>
          <w:szCs w:val="24"/>
        </w:rPr>
        <w:t xml:space="preserve"> </w:t>
      </w:r>
      <w:r w:rsidRPr="003642E0">
        <w:rPr>
          <w:rFonts w:cs="Arial"/>
          <w:sz w:val="24"/>
          <w:szCs w:val="24"/>
        </w:rPr>
        <w:lastRenderedPageBreak/>
        <w:t xml:space="preserve">Protokół fizycznej likwidacji środka trwałego sporządzany jest przez komisję likwidacyjną, </w:t>
      </w:r>
      <w:r w:rsidR="00DF7C4E">
        <w:rPr>
          <w:rFonts w:cs="Arial"/>
          <w:sz w:val="24"/>
          <w:szCs w:val="24"/>
        </w:rPr>
        <w:br/>
      </w:r>
      <w:r w:rsidRPr="003642E0">
        <w:rPr>
          <w:rFonts w:cs="Arial"/>
          <w:sz w:val="24"/>
          <w:szCs w:val="24"/>
        </w:rPr>
        <w:t xml:space="preserve">a podstawą jego sporządzenia jest wniosek komisji likwidacyjnej oraz decyzja kierownika jednostki. </w:t>
      </w:r>
    </w:p>
    <w:p w:rsidR="003642E0" w:rsidRPr="003642E0" w:rsidRDefault="003642E0" w:rsidP="00DF7C4E">
      <w:pPr>
        <w:spacing w:after="120" w:line="360" w:lineRule="auto"/>
        <w:jc w:val="both"/>
        <w:rPr>
          <w:rFonts w:cs="Arial"/>
          <w:sz w:val="24"/>
          <w:szCs w:val="24"/>
        </w:rPr>
      </w:pPr>
      <w:r w:rsidRPr="003642E0">
        <w:rPr>
          <w:rFonts w:cs="Arial"/>
          <w:sz w:val="24"/>
          <w:szCs w:val="24"/>
        </w:rPr>
        <w:t xml:space="preserve">Z literalnego brzmienia </w:t>
      </w:r>
      <w:r w:rsidR="00DB3D20">
        <w:rPr>
          <w:rFonts w:cs="Arial"/>
          <w:sz w:val="24"/>
          <w:szCs w:val="24"/>
        </w:rPr>
        <w:t>interpretowanego</w:t>
      </w:r>
      <w:r w:rsidRPr="003642E0">
        <w:rPr>
          <w:rFonts w:cs="Arial"/>
          <w:sz w:val="24"/>
          <w:szCs w:val="24"/>
        </w:rPr>
        <w:t xml:space="preserve"> przepisu wynika, że prowadzący zakład pracy chronionej ma obowiązek przekazania na </w:t>
      </w:r>
      <w:proofErr w:type="spellStart"/>
      <w:r w:rsidRPr="003642E0">
        <w:rPr>
          <w:rFonts w:cs="Arial"/>
          <w:sz w:val="24"/>
          <w:szCs w:val="24"/>
        </w:rPr>
        <w:t>zfron</w:t>
      </w:r>
      <w:proofErr w:type="spellEnd"/>
      <w:r w:rsidRPr="003642E0">
        <w:rPr>
          <w:rFonts w:cs="Arial"/>
          <w:sz w:val="24"/>
          <w:szCs w:val="24"/>
        </w:rPr>
        <w:t xml:space="preserve"> kwot, które otrzymał ze zbycia środka trwałego w części niezamortyzowanej. Oznacza to tyle, iż prowadzący zakład pracy chronionej ma obowiązek przekazania wyłącznie tej kwoty, która pochodzi ze zbycia tego środka, a nie z jakichkolwiek innych środków prowadzącego zakład pracy chronionej.</w:t>
      </w:r>
    </w:p>
    <w:p w:rsidR="003642E0" w:rsidRPr="00DB3D20" w:rsidRDefault="003642E0" w:rsidP="00DF7C4E">
      <w:pPr>
        <w:spacing w:after="100" w:afterAutospacing="1" w:line="360" w:lineRule="auto"/>
        <w:jc w:val="both"/>
        <w:rPr>
          <w:rFonts w:cs="Arial"/>
          <w:sz w:val="24"/>
          <w:szCs w:val="24"/>
        </w:rPr>
      </w:pPr>
      <w:r w:rsidRPr="00DB3D20">
        <w:rPr>
          <w:rFonts w:cs="Arial"/>
          <w:bCs/>
          <w:sz w:val="24"/>
          <w:szCs w:val="24"/>
        </w:rPr>
        <w:t>Z tego względu</w:t>
      </w:r>
      <w:r w:rsidR="008F7D7C">
        <w:rPr>
          <w:rFonts w:cs="Arial"/>
          <w:bCs/>
          <w:sz w:val="24"/>
          <w:szCs w:val="24"/>
        </w:rPr>
        <w:t xml:space="preserve"> </w:t>
      </w:r>
      <w:r w:rsidRPr="00DB3D20">
        <w:rPr>
          <w:rFonts w:cs="Arial"/>
          <w:bCs/>
          <w:sz w:val="24"/>
          <w:szCs w:val="24"/>
        </w:rPr>
        <w:t xml:space="preserve">w przypadku, gdy środek trwały sfinansowany wcześniej ze środków </w:t>
      </w:r>
      <w:proofErr w:type="spellStart"/>
      <w:r w:rsidRPr="00DB3D20">
        <w:rPr>
          <w:rFonts w:cs="Arial"/>
          <w:bCs/>
          <w:sz w:val="24"/>
          <w:szCs w:val="24"/>
        </w:rPr>
        <w:t>zfron</w:t>
      </w:r>
      <w:proofErr w:type="spellEnd"/>
      <w:r w:rsidRPr="00DB3D20">
        <w:rPr>
          <w:rFonts w:cs="Arial"/>
          <w:bCs/>
          <w:sz w:val="24"/>
          <w:szCs w:val="24"/>
        </w:rPr>
        <w:t xml:space="preserve"> zostanie zlikwidowany poprzez jego wyburzenie</w:t>
      </w:r>
      <w:r w:rsidR="008F7D7C">
        <w:rPr>
          <w:rFonts w:cs="Arial"/>
          <w:bCs/>
          <w:sz w:val="24"/>
          <w:szCs w:val="24"/>
        </w:rPr>
        <w:t xml:space="preserve"> -</w:t>
      </w:r>
      <w:r w:rsidRPr="00DB3D20">
        <w:rPr>
          <w:rFonts w:cs="Arial"/>
          <w:bCs/>
          <w:sz w:val="24"/>
          <w:szCs w:val="24"/>
        </w:rPr>
        <w:t xml:space="preserve"> nie powstanie obowiązek przekazania wartości niezamortyzowanej tego środka trwałego na fundusz rehabilitacji, bowiem nie będzie tu miało miejsce zbycie, lecz fizyczne unicestwienie środka trwałego.</w:t>
      </w:r>
    </w:p>
    <w:p w:rsidR="0014683D" w:rsidRDefault="00E428A5" w:rsidP="00DF7C4E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Jeżeli jednak w wyniku likwidacji środka trwałego powstaną ewentualne odzyski przedstawiające wartość handlową (np. złom), które </w:t>
      </w:r>
      <w:r w:rsidR="008F7D7C">
        <w:rPr>
          <w:rFonts w:cs="Arial"/>
          <w:sz w:val="24"/>
          <w:szCs w:val="24"/>
        </w:rPr>
        <w:t>Wnioskodawca</w:t>
      </w:r>
      <w:r>
        <w:rPr>
          <w:rFonts w:cs="Arial"/>
          <w:sz w:val="24"/>
          <w:szCs w:val="24"/>
        </w:rPr>
        <w:t xml:space="preserve"> odsprzeda, to środki uzyskane </w:t>
      </w:r>
      <w:r w:rsidR="003D2C8E">
        <w:rPr>
          <w:rFonts w:cs="Arial"/>
          <w:sz w:val="24"/>
          <w:szCs w:val="24"/>
        </w:rPr>
        <w:t xml:space="preserve">z tej sprzedaży powinien przekazać na rachunek </w:t>
      </w:r>
      <w:proofErr w:type="spellStart"/>
      <w:r w:rsidR="003D2C8E">
        <w:rPr>
          <w:rFonts w:cs="Arial"/>
          <w:sz w:val="24"/>
          <w:szCs w:val="24"/>
        </w:rPr>
        <w:t>zfron</w:t>
      </w:r>
      <w:proofErr w:type="spellEnd"/>
      <w:r w:rsidR="003D2C8E">
        <w:rPr>
          <w:rFonts w:cs="Arial"/>
          <w:sz w:val="24"/>
          <w:szCs w:val="24"/>
        </w:rPr>
        <w:t>, oczywiście do wysokości części niezamortyzowanej środka trwałego.</w:t>
      </w:r>
      <w:r>
        <w:rPr>
          <w:rFonts w:cs="Arial"/>
          <w:sz w:val="24"/>
          <w:szCs w:val="24"/>
        </w:rPr>
        <w:t xml:space="preserve">      </w:t>
      </w:r>
      <w:r w:rsidR="0014683D">
        <w:rPr>
          <w:rFonts w:cs="Arial"/>
          <w:sz w:val="24"/>
          <w:szCs w:val="24"/>
        </w:rPr>
        <w:t xml:space="preserve"> </w:t>
      </w:r>
    </w:p>
    <w:p w:rsidR="00AE6FF4" w:rsidRDefault="00DE1509" w:rsidP="009A1921">
      <w:pPr>
        <w:spacing w:after="120" w:line="360" w:lineRule="auto"/>
        <w:jc w:val="both"/>
        <w:rPr>
          <w:rFonts w:cs="Arial"/>
          <w:sz w:val="24"/>
          <w:szCs w:val="24"/>
        </w:rPr>
      </w:pPr>
      <w:r w:rsidRPr="00DE1509">
        <w:rPr>
          <w:rFonts w:cs="Arial"/>
          <w:sz w:val="24"/>
          <w:szCs w:val="24"/>
        </w:rPr>
        <w:t xml:space="preserve">Mając powyższe na uwadze, stanowisko </w:t>
      </w:r>
      <w:r w:rsidR="000F411E">
        <w:rPr>
          <w:rFonts w:cs="Arial"/>
          <w:sz w:val="24"/>
          <w:szCs w:val="24"/>
        </w:rPr>
        <w:t>XXXXXXXXXXX</w:t>
      </w:r>
      <w:r>
        <w:rPr>
          <w:rFonts w:cs="Arial"/>
          <w:sz w:val="24"/>
          <w:szCs w:val="24"/>
        </w:rPr>
        <w:t xml:space="preserve"> Spółki z o.o. </w:t>
      </w:r>
      <w:r w:rsidR="00443EE5">
        <w:rPr>
          <w:rFonts w:cs="Arial"/>
          <w:sz w:val="24"/>
          <w:szCs w:val="24"/>
        </w:rPr>
        <w:t xml:space="preserve">z siedzibą w </w:t>
      </w:r>
      <w:r w:rsidR="000F411E">
        <w:rPr>
          <w:rFonts w:cs="Arial"/>
          <w:sz w:val="24"/>
          <w:szCs w:val="24"/>
        </w:rPr>
        <w:t>XXXXXXXXX</w:t>
      </w:r>
      <w:r w:rsidR="00443E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DE1509">
        <w:rPr>
          <w:rFonts w:cs="Arial"/>
          <w:sz w:val="24"/>
          <w:szCs w:val="24"/>
        </w:rPr>
        <w:t>yrażone w piśmie</w:t>
      </w:r>
      <w:r>
        <w:rPr>
          <w:rFonts w:cs="Arial"/>
          <w:sz w:val="24"/>
          <w:szCs w:val="24"/>
        </w:rPr>
        <w:t xml:space="preserve"> </w:t>
      </w:r>
      <w:r w:rsidRPr="00DE1509">
        <w:rPr>
          <w:rFonts w:cs="Arial"/>
          <w:sz w:val="24"/>
          <w:szCs w:val="24"/>
        </w:rPr>
        <w:t xml:space="preserve">z dnia </w:t>
      </w:r>
      <w:r>
        <w:rPr>
          <w:rFonts w:cs="Arial"/>
          <w:sz w:val="24"/>
          <w:szCs w:val="24"/>
        </w:rPr>
        <w:t xml:space="preserve">8 stycznia 2016 r. </w:t>
      </w:r>
      <w:r w:rsidR="00DF7C4E">
        <w:rPr>
          <w:rFonts w:cs="Arial"/>
          <w:sz w:val="24"/>
          <w:szCs w:val="24"/>
        </w:rPr>
        <w:t>oraz jego uzupełnieni</w:t>
      </w:r>
      <w:r w:rsidR="00395CAB">
        <w:rPr>
          <w:rFonts w:cs="Arial"/>
          <w:sz w:val="24"/>
          <w:szCs w:val="24"/>
        </w:rPr>
        <w:t>u</w:t>
      </w:r>
      <w:r w:rsidR="00DF7C4E">
        <w:rPr>
          <w:rFonts w:cs="Arial"/>
          <w:sz w:val="24"/>
          <w:szCs w:val="24"/>
        </w:rPr>
        <w:t xml:space="preserve"> z dnia 22 czerwca </w:t>
      </w:r>
      <w:r w:rsidR="00DF7C4E">
        <w:rPr>
          <w:rFonts w:cs="Arial"/>
          <w:sz w:val="24"/>
          <w:szCs w:val="24"/>
        </w:rPr>
        <w:br/>
        <w:t xml:space="preserve">2018 r. w </w:t>
      </w:r>
      <w:r w:rsidRPr="00DE1509">
        <w:rPr>
          <w:rFonts w:cs="Arial"/>
          <w:sz w:val="24"/>
          <w:szCs w:val="24"/>
        </w:rPr>
        <w:t xml:space="preserve">sprawie </w:t>
      </w:r>
      <w:r>
        <w:rPr>
          <w:rFonts w:cs="Arial"/>
          <w:sz w:val="24"/>
          <w:szCs w:val="24"/>
        </w:rPr>
        <w:t>interpretacji art.33 ust.2 pkt 5 ustawy o rehabilitacji</w:t>
      </w:r>
      <w:r w:rsidR="00D911D8">
        <w:rPr>
          <w:rFonts w:cs="Arial"/>
          <w:sz w:val="24"/>
          <w:szCs w:val="24"/>
        </w:rPr>
        <w:t xml:space="preserve"> </w:t>
      </w:r>
      <w:r w:rsidR="00DF7C4E">
        <w:rPr>
          <w:rFonts w:cs="Arial"/>
          <w:sz w:val="24"/>
          <w:szCs w:val="24"/>
        </w:rPr>
        <w:t xml:space="preserve">w zakresie </w:t>
      </w:r>
      <w:r w:rsidR="00AE6FF4">
        <w:rPr>
          <w:rFonts w:cs="Arial"/>
          <w:sz w:val="24"/>
          <w:szCs w:val="24"/>
        </w:rPr>
        <w:t>planowan</w:t>
      </w:r>
      <w:r w:rsidR="00DF7C4E">
        <w:rPr>
          <w:rFonts w:cs="Arial"/>
          <w:sz w:val="24"/>
          <w:szCs w:val="24"/>
        </w:rPr>
        <w:t>ej</w:t>
      </w:r>
      <w:r w:rsidR="00AE6FF4">
        <w:rPr>
          <w:rFonts w:cs="Arial"/>
          <w:sz w:val="24"/>
          <w:szCs w:val="24"/>
        </w:rPr>
        <w:t xml:space="preserve"> likwidacj</w:t>
      </w:r>
      <w:r w:rsidR="00DF7C4E">
        <w:rPr>
          <w:rFonts w:cs="Arial"/>
          <w:sz w:val="24"/>
          <w:szCs w:val="24"/>
        </w:rPr>
        <w:t>i</w:t>
      </w:r>
      <w:r w:rsidR="00AE6FF4">
        <w:rPr>
          <w:rFonts w:cs="Arial"/>
          <w:sz w:val="24"/>
          <w:szCs w:val="24"/>
        </w:rPr>
        <w:t xml:space="preserve"> środka trwałego – </w:t>
      </w:r>
      <w:r w:rsidR="00443EE5">
        <w:rPr>
          <w:rFonts w:cs="Arial"/>
          <w:sz w:val="24"/>
          <w:szCs w:val="24"/>
        </w:rPr>
        <w:t xml:space="preserve">jest </w:t>
      </w:r>
      <w:r w:rsidR="00AE6FF4">
        <w:rPr>
          <w:rFonts w:cs="Arial"/>
          <w:sz w:val="24"/>
          <w:szCs w:val="24"/>
        </w:rPr>
        <w:t>prawidłowe.</w:t>
      </w:r>
    </w:p>
    <w:p w:rsidR="00CA4D4A" w:rsidRPr="00A85EB5" w:rsidRDefault="00CA4D4A" w:rsidP="009A1921">
      <w:pPr>
        <w:spacing w:after="12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>W związku z powyższym postanowiono, jak w sentencji.</w:t>
      </w:r>
    </w:p>
    <w:p w:rsidR="000E4D8B" w:rsidRPr="007D3C37" w:rsidRDefault="000E4D8B" w:rsidP="009A1921">
      <w:pPr>
        <w:spacing w:after="24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</w:t>
      </w:r>
      <w:r>
        <w:rPr>
          <w:rFonts w:ascii="Calibri" w:eastAsia="Times New Roman" w:hAnsi="Calibri" w:cs="Arial"/>
          <w:sz w:val="20"/>
          <w:szCs w:val="20"/>
          <w:lang w:eastAsia="pl-PL"/>
        </w:rPr>
        <w:t>r</w:t>
      </w: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zeczywistością (wyrok Wojewódzkiego Sądu Administracyjnego w Gorzowie Wlkp. z dnia 16 lipca 2009 r., </w:t>
      </w:r>
      <w:r w:rsidR="00DF7C4E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sygn. akt II SAB/Go 8/09).      </w:t>
      </w:r>
    </w:p>
    <w:p w:rsidR="004A73B3" w:rsidRDefault="004A73B3" w:rsidP="00E41746">
      <w:pPr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0E4D8B" w:rsidRPr="00E010A6" w:rsidRDefault="000E4D8B" w:rsidP="00E41746">
      <w:pPr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10A6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Pouczenie:</w:t>
      </w:r>
    </w:p>
    <w:p w:rsidR="000E4D8B" w:rsidRPr="00E010A6" w:rsidRDefault="000E4D8B" w:rsidP="000E4D8B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Od niniejszej decyzji przysługuje Stronie, za pośrednictwem Prezesa Zarządu PFRON odwołanie do Ministra Rodziny, Pracy i Polityki Społecznej w terminie 14 dni od dnia jej doręczenia.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W trakcie biegu terminu do wniesienia odwołania Strona może zrzec się prawa do jego wniesienia. Z dniem doręczenia </w:t>
      </w: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Prezesowi Zarządu PFRON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oświadczenia o zrzeczeniu się prawa do wniesienia odwołania przez Stronę, decyzja staje się ostateczna i prawomocna</w:t>
      </w:r>
      <w:r w:rsidR="0025469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702C63" w:rsidRPr="00A85EB5" w:rsidRDefault="00702C63">
      <w:pPr>
        <w:spacing w:after="0" w:line="360" w:lineRule="auto"/>
        <w:jc w:val="both"/>
        <w:rPr>
          <w:sz w:val="24"/>
          <w:szCs w:val="24"/>
        </w:rPr>
      </w:pPr>
    </w:p>
    <w:sectPr w:rsidR="00702C63" w:rsidRPr="00A85EB5" w:rsidSect="00702C6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4C" w:rsidRDefault="00F3044C">
      <w:pPr>
        <w:spacing w:after="0" w:line="240" w:lineRule="auto"/>
      </w:pPr>
      <w:r>
        <w:separator/>
      </w:r>
    </w:p>
  </w:endnote>
  <w:endnote w:type="continuationSeparator" w:id="0">
    <w:p w:rsidR="00F3044C" w:rsidRDefault="00F3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629093"/>
      <w:docPartObj>
        <w:docPartGallery w:val="Page Numbers (Bottom of Page)"/>
        <w:docPartUnique/>
      </w:docPartObj>
    </w:sdtPr>
    <w:sdtContent>
      <w:p w:rsidR="004A4653" w:rsidRDefault="00F1411F">
        <w:pPr>
          <w:pStyle w:val="Stopka"/>
          <w:jc w:val="center"/>
        </w:pPr>
        <w:r>
          <w:fldChar w:fldCharType="begin"/>
        </w:r>
        <w:r w:rsidR="00616E7E">
          <w:instrText>PAGE   \* MERGEFORMAT</w:instrText>
        </w:r>
        <w:r>
          <w:fldChar w:fldCharType="separate"/>
        </w:r>
        <w:r w:rsidR="00A83195">
          <w:rPr>
            <w:noProof/>
          </w:rPr>
          <w:t>1</w:t>
        </w:r>
        <w:r>
          <w:fldChar w:fldCharType="end"/>
        </w:r>
      </w:p>
    </w:sdtContent>
  </w:sdt>
  <w:p w:rsidR="004A4653" w:rsidRDefault="00F30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4C" w:rsidRDefault="00F3044C">
      <w:pPr>
        <w:spacing w:after="0" w:line="240" w:lineRule="auto"/>
      </w:pPr>
      <w:r>
        <w:separator/>
      </w:r>
    </w:p>
  </w:footnote>
  <w:footnote w:type="continuationSeparator" w:id="0">
    <w:p w:rsidR="00F3044C" w:rsidRDefault="00F3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DBB"/>
    <w:multiLevelType w:val="hybridMultilevel"/>
    <w:tmpl w:val="1EC0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4A"/>
    <w:rsid w:val="000838C5"/>
    <w:rsid w:val="000A7497"/>
    <w:rsid w:val="000C4263"/>
    <w:rsid w:val="000E4D8B"/>
    <w:rsid w:val="000F411E"/>
    <w:rsid w:val="00120330"/>
    <w:rsid w:val="0012670F"/>
    <w:rsid w:val="0014183B"/>
    <w:rsid w:val="0014683D"/>
    <w:rsid w:val="0021179B"/>
    <w:rsid w:val="00225098"/>
    <w:rsid w:val="0023292F"/>
    <w:rsid w:val="00254697"/>
    <w:rsid w:val="00270397"/>
    <w:rsid w:val="002712A6"/>
    <w:rsid w:val="002A7A01"/>
    <w:rsid w:val="002F0A2E"/>
    <w:rsid w:val="00327BE4"/>
    <w:rsid w:val="00352DD3"/>
    <w:rsid w:val="003642E0"/>
    <w:rsid w:val="00395CAB"/>
    <w:rsid w:val="003A14CD"/>
    <w:rsid w:val="003B4F7F"/>
    <w:rsid w:val="003D2C8E"/>
    <w:rsid w:val="0040029C"/>
    <w:rsid w:val="00405C81"/>
    <w:rsid w:val="00425612"/>
    <w:rsid w:val="00443EE5"/>
    <w:rsid w:val="00464CF7"/>
    <w:rsid w:val="004757DF"/>
    <w:rsid w:val="004A00CA"/>
    <w:rsid w:val="004A73B3"/>
    <w:rsid w:val="004B41C0"/>
    <w:rsid w:val="004D46D5"/>
    <w:rsid w:val="004E2631"/>
    <w:rsid w:val="00506253"/>
    <w:rsid w:val="005716BB"/>
    <w:rsid w:val="005E1E71"/>
    <w:rsid w:val="00616E7E"/>
    <w:rsid w:val="00647073"/>
    <w:rsid w:val="00675827"/>
    <w:rsid w:val="006900EB"/>
    <w:rsid w:val="006D3F0A"/>
    <w:rsid w:val="00702C63"/>
    <w:rsid w:val="00796375"/>
    <w:rsid w:val="007F5786"/>
    <w:rsid w:val="007F59B8"/>
    <w:rsid w:val="008115BC"/>
    <w:rsid w:val="00813FDE"/>
    <w:rsid w:val="0082058D"/>
    <w:rsid w:val="00852F17"/>
    <w:rsid w:val="00864F5A"/>
    <w:rsid w:val="00895408"/>
    <w:rsid w:val="008B5771"/>
    <w:rsid w:val="008C66F3"/>
    <w:rsid w:val="008D3E98"/>
    <w:rsid w:val="008F7D7C"/>
    <w:rsid w:val="0095782F"/>
    <w:rsid w:val="00960A30"/>
    <w:rsid w:val="00963609"/>
    <w:rsid w:val="009A1921"/>
    <w:rsid w:val="009B3F69"/>
    <w:rsid w:val="009E6A9A"/>
    <w:rsid w:val="00A53203"/>
    <w:rsid w:val="00A60BC8"/>
    <w:rsid w:val="00A83195"/>
    <w:rsid w:val="00A85EB5"/>
    <w:rsid w:val="00A902DF"/>
    <w:rsid w:val="00A96A49"/>
    <w:rsid w:val="00AC2D39"/>
    <w:rsid w:val="00AE6FF4"/>
    <w:rsid w:val="00B17A2C"/>
    <w:rsid w:val="00B41F2C"/>
    <w:rsid w:val="00B4700F"/>
    <w:rsid w:val="00B70AB1"/>
    <w:rsid w:val="00B97FAB"/>
    <w:rsid w:val="00BD42DC"/>
    <w:rsid w:val="00BE2EDA"/>
    <w:rsid w:val="00C1649D"/>
    <w:rsid w:val="00C64998"/>
    <w:rsid w:val="00C80476"/>
    <w:rsid w:val="00C90A9F"/>
    <w:rsid w:val="00CA4D4A"/>
    <w:rsid w:val="00D23FB9"/>
    <w:rsid w:val="00D42212"/>
    <w:rsid w:val="00D911D8"/>
    <w:rsid w:val="00DB3D20"/>
    <w:rsid w:val="00DB71CD"/>
    <w:rsid w:val="00DE1509"/>
    <w:rsid w:val="00DF7C4E"/>
    <w:rsid w:val="00E129B0"/>
    <w:rsid w:val="00E41746"/>
    <w:rsid w:val="00E428A5"/>
    <w:rsid w:val="00E65B9D"/>
    <w:rsid w:val="00E91CE2"/>
    <w:rsid w:val="00EF1A22"/>
    <w:rsid w:val="00F0223F"/>
    <w:rsid w:val="00F1411F"/>
    <w:rsid w:val="00F3044C"/>
    <w:rsid w:val="00F31647"/>
    <w:rsid w:val="00F66B03"/>
    <w:rsid w:val="00FC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D4A"/>
  </w:style>
  <w:style w:type="paragraph" w:styleId="Tekstdymka">
    <w:name w:val="Balloon Text"/>
    <w:basedOn w:val="Normalny"/>
    <w:link w:val="TekstdymkaZnak"/>
    <w:uiPriority w:val="99"/>
    <w:semiHidden/>
    <w:unhideWhenUsed/>
    <w:rsid w:val="006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D4A"/>
  </w:style>
  <w:style w:type="paragraph" w:styleId="Tekstdymka">
    <w:name w:val="Balloon Text"/>
    <w:basedOn w:val="Normalny"/>
    <w:link w:val="TekstdymkaZnak"/>
    <w:uiPriority w:val="99"/>
    <w:semiHidden/>
    <w:unhideWhenUsed/>
    <w:rsid w:val="006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0E84-6BFE-4CEF-8592-0977C4BD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4</cp:revision>
  <cp:lastPrinted>2018-07-06T12:09:00Z</cp:lastPrinted>
  <dcterms:created xsi:type="dcterms:W3CDTF">2018-07-17T07:06:00Z</dcterms:created>
  <dcterms:modified xsi:type="dcterms:W3CDTF">2018-07-19T11:25:00Z</dcterms:modified>
</cp:coreProperties>
</file>