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1D7A2" w14:textId="0846F71E" w:rsidR="00DC1770" w:rsidRDefault="00026DF3" w:rsidP="00DC1770">
      <w:pPr>
        <w:jc w:val="both"/>
        <w:rPr>
          <w:rFonts w:cs="Calibri"/>
          <w:sz w:val="24"/>
          <w:szCs w:val="24"/>
        </w:rPr>
      </w:pPr>
      <w:r>
        <w:rPr>
          <w:rFonts w:cs="Calibri"/>
          <w:sz w:val="24"/>
          <w:szCs w:val="24"/>
        </w:rPr>
        <w:t xml:space="preserve">   </w:t>
      </w:r>
      <w:r w:rsidR="003754F7">
        <w:rPr>
          <w:rFonts w:cs="Calibri"/>
          <w:sz w:val="24"/>
          <w:szCs w:val="24"/>
        </w:rPr>
        <w:t xml:space="preserve">  </w:t>
      </w:r>
    </w:p>
    <w:p w14:paraId="6A7A3206" w14:textId="77777777" w:rsidR="00DC1770" w:rsidRDefault="00DC1770" w:rsidP="00DC1770">
      <w:pPr>
        <w:jc w:val="both"/>
        <w:rPr>
          <w:rFonts w:cs="Calibri"/>
          <w:sz w:val="24"/>
          <w:szCs w:val="24"/>
        </w:rPr>
      </w:pPr>
    </w:p>
    <w:p w14:paraId="6CDDF7A7" w14:textId="77777777" w:rsidR="00DC1770" w:rsidRDefault="00DC1770" w:rsidP="00DC1770">
      <w:pPr>
        <w:jc w:val="both"/>
        <w:rPr>
          <w:rFonts w:cs="Calibri"/>
          <w:sz w:val="24"/>
          <w:szCs w:val="24"/>
        </w:rPr>
      </w:pPr>
    </w:p>
    <w:p w14:paraId="51AAA1C9" w14:textId="77777777" w:rsidR="00340835" w:rsidRDefault="00DC1770" w:rsidP="00DC1770">
      <w:pPr>
        <w:jc w:val="both"/>
        <w:rPr>
          <w:rFonts w:cs="Calibri"/>
          <w:sz w:val="24"/>
          <w:szCs w:val="24"/>
        </w:rPr>
      </w:pPr>
      <w:r>
        <w:rPr>
          <w:rFonts w:cs="Calibri"/>
          <w:sz w:val="24"/>
          <w:szCs w:val="24"/>
        </w:rPr>
        <w:t>DW.</w:t>
      </w:r>
      <w:r w:rsidR="007A04B5">
        <w:rPr>
          <w:rFonts w:cs="Calibri"/>
          <w:sz w:val="24"/>
          <w:szCs w:val="24"/>
        </w:rPr>
        <w:t>400</w:t>
      </w:r>
      <w:r>
        <w:rPr>
          <w:rFonts w:cs="Calibri"/>
          <w:sz w:val="24"/>
          <w:szCs w:val="24"/>
        </w:rPr>
        <w:t>.</w:t>
      </w:r>
      <w:r w:rsidR="00842846">
        <w:rPr>
          <w:rFonts w:cs="Calibri"/>
          <w:sz w:val="24"/>
          <w:szCs w:val="24"/>
        </w:rPr>
        <w:t>6</w:t>
      </w:r>
      <w:r w:rsidR="007A04B5">
        <w:rPr>
          <w:rFonts w:cs="Calibri"/>
          <w:sz w:val="24"/>
          <w:szCs w:val="24"/>
        </w:rPr>
        <w:t>.</w:t>
      </w:r>
      <w:r>
        <w:rPr>
          <w:rFonts w:cs="Calibri"/>
          <w:sz w:val="24"/>
          <w:szCs w:val="24"/>
        </w:rPr>
        <w:t>20</w:t>
      </w:r>
      <w:r w:rsidR="006534B2">
        <w:rPr>
          <w:rFonts w:cs="Calibri"/>
          <w:sz w:val="24"/>
          <w:szCs w:val="24"/>
        </w:rPr>
        <w:t>20</w:t>
      </w:r>
      <w:r>
        <w:rPr>
          <w:rFonts w:cs="Calibri"/>
          <w:sz w:val="24"/>
          <w:szCs w:val="24"/>
        </w:rPr>
        <w:t>.IGR</w:t>
      </w:r>
      <w:r>
        <w:rPr>
          <w:rFonts w:cs="Calibri"/>
          <w:sz w:val="24"/>
          <w:szCs w:val="24"/>
        </w:rPr>
        <w:tab/>
      </w:r>
      <w:r>
        <w:rPr>
          <w:rFonts w:cs="Calibri"/>
          <w:sz w:val="24"/>
          <w:szCs w:val="24"/>
        </w:rPr>
        <w:tab/>
        <w:t xml:space="preserve">                           </w:t>
      </w:r>
      <w:r>
        <w:rPr>
          <w:rFonts w:cs="Calibri"/>
          <w:sz w:val="24"/>
          <w:szCs w:val="24"/>
        </w:rPr>
        <w:tab/>
        <w:t xml:space="preserve"> Warszawa, dnia</w:t>
      </w:r>
      <w:r w:rsidR="00340835">
        <w:rPr>
          <w:rFonts w:cs="Calibri"/>
          <w:sz w:val="24"/>
          <w:szCs w:val="24"/>
        </w:rPr>
        <w:t xml:space="preserve"> 22.06.2020 r.</w:t>
      </w:r>
    </w:p>
    <w:p w14:paraId="1A72BBF4" w14:textId="3B8C0FC3" w:rsidR="00DC1770" w:rsidRDefault="00340835" w:rsidP="00DC1770">
      <w:pPr>
        <w:jc w:val="both"/>
        <w:rPr>
          <w:rFonts w:cs="Calibri"/>
          <w:sz w:val="24"/>
          <w:szCs w:val="24"/>
        </w:rPr>
      </w:pPr>
      <w:r>
        <w:rPr>
          <w:rFonts w:cs="Calibri"/>
          <w:sz w:val="24"/>
          <w:szCs w:val="24"/>
        </w:rPr>
        <w:t>DW.81.2020</w:t>
      </w:r>
      <w:r w:rsidR="00DC1770">
        <w:rPr>
          <w:rFonts w:cs="Calibri"/>
          <w:sz w:val="24"/>
          <w:szCs w:val="24"/>
        </w:rPr>
        <w:t xml:space="preserve"> </w:t>
      </w:r>
    </w:p>
    <w:p w14:paraId="4A8C5864" w14:textId="77777777" w:rsidR="00D47504" w:rsidRDefault="00D47504" w:rsidP="00DC1770">
      <w:pPr>
        <w:spacing w:after="0" w:line="360" w:lineRule="auto"/>
        <w:ind w:left="4248" w:firstLine="708"/>
        <w:jc w:val="both"/>
        <w:rPr>
          <w:rFonts w:cs="Calibri"/>
          <w:b/>
          <w:sz w:val="24"/>
          <w:szCs w:val="24"/>
        </w:rPr>
      </w:pPr>
    </w:p>
    <w:p w14:paraId="4BB6BA9A" w14:textId="77777777" w:rsidR="00DC1770" w:rsidRDefault="00DC1770" w:rsidP="00DC1770">
      <w:pPr>
        <w:spacing w:after="0" w:line="360" w:lineRule="auto"/>
        <w:ind w:left="4248" w:firstLine="708"/>
        <w:jc w:val="both"/>
        <w:rPr>
          <w:rFonts w:cs="Calibri"/>
          <w:b/>
          <w:sz w:val="24"/>
          <w:szCs w:val="24"/>
        </w:rPr>
      </w:pPr>
    </w:p>
    <w:p w14:paraId="2C63FB75" w14:textId="77777777" w:rsidR="00F05866" w:rsidRPr="00FF396F" w:rsidRDefault="00F05866" w:rsidP="00F05866">
      <w:pPr>
        <w:spacing w:after="0" w:line="240" w:lineRule="auto"/>
        <w:ind w:left="3540" w:firstLine="708"/>
        <w:rPr>
          <w:rFonts w:cs="Calibri"/>
          <w:b/>
          <w:i/>
          <w:iCs/>
          <w:sz w:val="24"/>
          <w:szCs w:val="24"/>
        </w:rPr>
      </w:pPr>
      <w:bookmarkStart w:id="0" w:name="_Hlk39652584"/>
      <w:r w:rsidRPr="00FF396F">
        <w:rPr>
          <w:rFonts w:cs="Calibri"/>
          <w:b/>
          <w:i/>
          <w:iCs/>
          <w:sz w:val="24"/>
          <w:szCs w:val="24"/>
        </w:rPr>
        <w:t>(dane zanonimizowane)</w:t>
      </w:r>
    </w:p>
    <w:bookmarkEnd w:id="0"/>
    <w:p w14:paraId="3C2B6791" w14:textId="0527D0DE" w:rsidR="00726AFE" w:rsidRDefault="00726AFE" w:rsidP="00726AFE">
      <w:pPr>
        <w:spacing w:after="0" w:line="360" w:lineRule="auto"/>
        <w:jc w:val="both"/>
        <w:rPr>
          <w:rFonts w:ascii="Calibri" w:eastAsia="Times New Roman" w:hAnsi="Calibri" w:cs="Arial"/>
          <w:b/>
          <w:sz w:val="24"/>
          <w:szCs w:val="24"/>
        </w:rPr>
      </w:pPr>
    </w:p>
    <w:p w14:paraId="638494A3" w14:textId="07458861" w:rsidR="00D47504" w:rsidRDefault="00D47504" w:rsidP="00726AFE">
      <w:pPr>
        <w:spacing w:after="0" w:line="360" w:lineRule="auto"/>
        <w:jc w:val="both"/>
        <w:rPr>
          <w:rFonts w:ascii="Calibri" w:eastAsia="Times New Roman" w:hAnsi="Calibri" w:cs="Arial"/>
          <w:b/>
          <w:sz w:val="24"/>
          <w:szCs w:val="24"/>
        </w:rPr>
      </w:pPr>
    </w:p>
    <w:p w14:paraId="118DB13B" w14:textId="77777777" w:rsidR="00340835" w:rsidRPr="00726AFE" w:rsidRDefault="00340835" w:rsidP="00726AFE">
      <w:pPr>
        <w:spacing w:after="0" w:line="360" w:lineRule="auto"/>
        <w:jc w:val="both"/>
        <w:rPr>
          <w:rFonts w:ascii="Calibri" w:eastAsia="Times New Roman" w:hAnsi="Calibri" w:cs="Arial"/>
          <w:b/>
          <w:sz w:val="24"/>
          <w:szCs w:val="24"/>
        </w:rPr>
      </w:pPr>
    </w:p>
    <w:p w14:paraId="68310C8D" w14:textId="77777777" w:rsidR="00726AFE" w:rsidRPr="00726AFE" w:rsidRDefault="00726AFE" w:rsidP="00726AFE">
      <w:pPr>
        <w:spacing w:after="0"/>
        <w:jc w:val="both"/>
        <w:rPr>
          <w:rFonts w:ascii="Calibri" w:eastAsia="Times New Roman" w:hAnsi="Calibri" w:cs="Arial"/>
          <w:b/>
          <w:sz w:val="24"/>
          <w:szCs w:val="24"/>
        </w:rPr>
      </w:pPr>
      <w:r w:rsidRPr="00726AFE">
        <w:rPr>
          <w:rFonts w:ascii="Calibri" w:eastAsia="Times New Roman" w:hAnsi="Calibri" w:cs="Arial"/>
          <w:b/>
          <w:sz w:val="24"/>
          <w:szCs w:val="24"/>
        </w:rPr>
        <w:tab/>
      </w:r>
      <w:r w:rsidRPr="00726AFE">
        <w:rPr>
          <w:rFonts w:ascii="Calibri" w:eastAsia="Times New Roman" w:hAnsi="Calibri" w:cs="Arial"/>
          <w:b/>
          <w:sz w:val="24"/>
          <w:szCs w:val="24"/>
        </w:rPr>
        <w:tab/>
      </w:r>
      <w:r w:rsidRPr="00726AFE">
        <w:rPr>
          <w:rFonts w:ascii="Calibri" w:eastAsia="Times New Roman" w:hAnsi="Calibri" w:cs="Arial"/>
          <w:b/>
          <w:sz w:val="24"/>
          <w:szCs w:val="24"/>
        </w:rPr>
        <w:tab/>
      </w:r>
      <w:r w:rsidRPr="00726AFE">
        <w:rPr>
          <w:rFonts w:ascii="Calibri" w:eastAsia="Times New Roman" w:hAnsi="Calibri" w:cs="Arial"/>
          <w:b/>
          <w:sz w:val="24"/>
          <w:szCs w:val="24"/>
        </w:rPr>
        <w:tab/>
      </w:r>
      <w:r w:rsidRPr="00726AFE">
        <w:rPr>
          <w:rFonts w:ascii="Calibri" w:eastAsia="Times New Roman" w:hAnsi="Calibri" w:cs="Arial"/>
          <w:b/>
          <w:sz w:val="24"/>
          <w:szCs w:val="24"/>
        </w:rPr>
        <w:tab/>
      </w:r>
      <w:r w:rsidRPr="00726AFE">
        <w:rPr>
          <w:rFonts w:ascii="Calibri" w:eastAsia="Times New Roman" w:hAnsi="Calibri" w:cs="Arial"/>
          <w:b/>
          <w:sz w:val="24"/>
          <w:szCs w:val="24"/>
        </w:rPr>
        <w:tab/>
        <w:t>reprezentowana przez:</w:t>
      </w:r>
    </w:p>
    <w:p w14:paraId="0687895D" w14:textId="39788CE7" w:rsidR="00F05866" w:rsidRPr="00FF396F" w:rsidRDefault="00F05866" w:rsidP="00F05866">
      <w:pPr>
        <w:spacing w:after="0" w:line="240" w:lineRule="auto"/>
        <w:ind w:left="3540" w:firstLine="708"/>
        <w:rPr>
          <w:rFonts w:cs="Calibri"/>
          <w:b/>
          <w:i/>
          <w:iCs/>
          <w:sz w:val="24"/>
          <w:szCs w:val="24"/>
        </w:rPr>
      </w:pPr>
      <w:r w:rsidRPr="00FF396F">
        <w:rPr>
          <w:rFonts w:cs="Calibri"/>
          <w:b/>
          <w:i/>
          <w:iCs/>
          <w:sz w:val="24"/>
          <w:szCs w:val="24"/>
        </w:rPr>
        <w:t>(dane zanonimizowane)</w:t>
      </w:r>
    </w:p>
    <w:p w14:paraId="7AF567D1" w14:textId="03D4DC8F" w:rsidR="00726AFE" w:rsidRDefault="00726AFE" w:rsidP="00F05866">
      <w:pPr>
        <w:spacing w:after="0"/>
        <w:jc w:val="both"/>
        <w:rPr>
          <w:rFonts w:ascii="Calibri" w:eastAsia="Times New Roman" w:hAnsi="Calibri" w:cs="Arial"/>
          <w:b/>
          <w:sz w:val="24"/>
          <w:szCs w:val="24"/>
        </w:rPr>
      </w:pPr>
    </w:p>
    <w:p w14:paraId="181E0F4D" w14:textId="543DBD09" w:rsidR="00340835" w:rsidRDefault="00340835" w:rsidP="00F05866">
      <w:pPr>
        <w:spacing w:after="0"/>
        <w:jc w:val="both"/>
        <w:rPr>
          <w:rFonts w:ascii="Calibri" w:eastAsia="Times New Roman" w:hAnsi="Calibri" w:cs="Arial"/>
          <w:b/>
          <w:sz w:val="24"/>
          <w:szCs w:val="24"/>
        </w:rPr>
      </w:pPr>
    </w:p>
    <w:p w14:paraId="5F89E7B9" w14:textId="77777777" w:rsidR="00340835" w:rsidRPr="00726AFE" w:rsidRDefault="00340835" w:rsidP="00F05866">
      <w:pPr>
        <w:spacing w:after="0"/>
        <w:jc w:val="both"/>
        <w:rPr>
          <w:rFonts w:ascii="Calibri" w:eastAsia="Times New Roman" w:hAnsi="Calibri" w:cs="Arial"/>
          <w:b/>
          <w:sz w:val="24"/>
          <w:szCs w:val="24"/>
        </w:rPr>
      </w:pPr>
    </w:p>
    <w:p w14:paraId="4DEFF2BE" w14:textId="5A7926CA" w:rsidR="00DC1770" w:rsidRDefault="00DC1770" w:rsidP="00DC1770">
      <w:pPr>
        <w:spacing w:after="0" w:line="240" w:lineRule="auto"/>
        <w:ind w:left="4956"/>
        <w:rPr>
          <w:rFonts w:cs="Calibri"/>
          <w:b/>
          <w:sz w:val="24"/>
          <w:szCs w:val="24"/>
        </w:rPr>
      </w:pPr>
    </w:p>
    <w:p w14:paraId="74D1F3D0" w14:textId="77777777" w:rsidR="00340835" w:rsidRDefault="00340835" w:rsidP="00DC1770">
      <w:pPr>
        <w:spacing w:after="0" w:line="240" w:lineRule="auto"/>
        <w:ind w:left="4956"/>
        <w:rPr>
          <w:rFonts w:cs="Calibri"/>
          <w:b/>
          <w:sz w:val="24"/>
          <w:szCs w:val="24"/>
        </w:rPr>
      </w:pPr>
    </w:p>
    <w:p w14:paraId="34ED59AF" w14:textId="77777777" w:rsidR="00DC1770" w:rsidRDefault="00DC1770" w:rsidP="00DC1770">
      <w:pPr>
        <w:spacing w:after="0" w:line="360" w:lineRule="auto"/>
        <w:ind w:left="2124" w:firstLine="708"/>
        <w:jc w:val="both"/>
        <w:rPr>
          <w:rFonts w:cs="Calibri"/>
          <w:b/>
          <w:sz w:val="24"/>
          <w:szCs w:val="24"/>
        </w:rPr>
      </w:pPr>
    </w:p>
    <w:p w14:paraId="10965D07" w14:textId="77777777" w:rsidR="00DC1770" w:rsidRDefault="00DC1770" w:rsidP="00DC1770">
      <w:pPr>
        <w:spacing w:after="0" w:line="360" w:lineRule="auto"/>
        <w:ind w:left="2124" w:firstLine="708"/>
        <w:jc w:val="both"/>
        <w:rPr>
          <w:rFonts w:cs="Calibri"/>
          <w:b/>
          <w:sz w:val="24"/>
          <w:szCs w:val="24"/>
        </w:rPr>
      </w:pPr>
      <w:r>
        <w:rPr>
          <w:rFonts w:cs="Calibri"/>
          <w:b/>
          <w:sz w:val="24"/>
          <w:szCs w:val="24"/>
        </w:rPr>
        <w:t>Decyzja w sprawie interpretacji</w:t>
      </w:r>
    </w:p>
    <w:p w14:paraId="737B8FD6" w14:textId="164989C9" w:rsidR="00DC1770" w:rsidRDefault="00DC1770" w:rsidP="00DC1770">
      <w:pPr>
        <w:spacing w:after="0" w:line="360" w:lineRule="auto"/>
        <w:jc w:val="center"/>
        <w:rPr>
          <w:rFonts w:cs="Calibri"/>
          <w:b/>
          <w:sz w:val="24"/>
          <w:szCs w:val="24"/>
        </w:rPr>
      </w:pPr>
      <w:r>
        <w:rPr>
          <w:rFonts w:cs="Calibri"/>
          <w:b/>
          <w:sz w:val="24"/>
          <w:szCs w:val="24"/>
        </w:rPr>
        <w:t xml:space="preserve">art.33 </w:t>
      </w:r>
      <w:r w:rsidR="00F70C23">
        <w:rPr>
          <w:rFonts w:cs="Calibri"/>
          <w:b/>
          <w:sz w:val="24"/>
          <w:szCs w:val="24"/>
        </w:rPr>
        <w:t>ust.</w:t>
      </w:r>
      <w:r w:rsidR="00726AFE">
        <w:rPr>
          <w:rFonts w:cs="Calibri"/>
          <w:b/>
          <w:sz w:val="24"/>
          <w:szCs w:val="24"/>
        </w:rPr>
        <w:t>7</w:t>
      </w:r>
      <w:r w:rsidR="00F70C23">
        <w:rPr>
          <w:rFonts w:cs="Calibri"/>
          <w:b/>
          <w:sz w:val="24"/>
          <w:szCs w:val="24"/>
        </w:rPr>
        <w:t xml:space="preserve"> </w:t>
      </w:r>
      <w:r>
        <w:rPr>
          <w:rFonts w:cs="Calibri"/>
          <w:b/>
          <w:sz w:val="24"/>
          <w:szCs w:val="24"/>
        </w:rPr>
        <w:t>ustawy o rehabilitacji zawodowej i  społecznej oraz zatrudnianiu osób niepełnosprawnych</w:t>
      </w:r>
    </w:p>
    <w:p w14:paraId="6649EAB8" w14:textId="77777777" w:rsidR="00DC1770" w:rsidRDefault="00DC1770" w:rsidP="00DC1770">
      <w:pPr>
        <w:spacing w:after="0" w:line="360" w:lineRule="auto"/>
        <w:jc w:val="both"/>
        <w:rPr>
          <w:rFonts w:cs="Calibri"/>
          <w:sz w:val="24"/>
          <w:szCs w:val="24"/>
        </w:rPr>
      </w:pPr>
    </w:p>
    <w:p w14:paraId="7C0E8917" w14:textId="1A93CD6D" w:rsidR="00D7108A" w:rsidRDefault="00DC1770" w:rsidP="00DC1770">
      <w:pPr>
        <w:spacing w:after="0" w:line="360" w:lineRule="auto"/>
        <w:jc w:val="both"/>
        <w:rPr>
          <w:rFonts w:cs="Calibri"/>
          <w:b/>
          <w:sz w:val="24"/>
          <w:szCs w:val="24"/>
        </w:rPr>
      </w:pPr>
      <w:r>
        <w:rPr>
          <w:rFonts w:cs="Calibri"/>
          <w:sz w:val="24"/>
          <w:szCs w:val="24"/>
        </w:rPr>
        <w:t xml:space="preserve">Na podstawie art.34 ustawy z dnia 6 marca 2018 r. Prawo przedsiębiorców </w:t>
      </w:r>
      <w:r>
        <w:rPr>
          <w:rFonts w:cs="Calibri"/>
          <w:sz w:val="24"/>
          <w:szCs w:val="24"/>
        </w:rPr>
        <w:br/>
        <w:t>(Dz. U. z 2019 r. poz. 1292</w:t>
      </w:r>
      <w:r w:rsidR="00D47504">
        <w:rPr>
          <w:rFonts w:cs="Calibri"/>
          <w:sz w:val="24"/>
          <w:szCs w:val="24"/>
        </w:rPr>
        <w:t xml:space="preserve"> z późm.zm.</w:t>
      </w:r>
      <w:r>
        <w:rPr>
          <w:rFonts w:cs="Calibri"/>
          <w:sz w:val="24"/>
          <w:szCs w:val="24"/>
        </w:rPr>
        <w:t xml:space="preserve">) zwanej dalej ustawą, Prezes Państwowego Funduszu Rehabilitacji Osób Niepełnosprawnych </w:t>
      </w:r>
      <w:r w:rsidR="00D27EE4">
        <w:rPr>
          <w:rFonts w:cs="Calibri"/>
          <w:sz w:val="24"/>
          <w:szCs w:val="24"/>
        </w:rPr>
        <w:t xml:space="preserve">(dalej również jako PFRON) </w:t>
      </w:r>
      <w:r>
        <w:rPr>
          <w:rFonts w:cs="Calibri"/>
          <w:sz w:val="24"/>
          <w:szCs w:val="24"/>
        </w:rPr>
        <w:t xml:space="preserve">stwierdza, że stanowisko </w:t>
      </w:r>
      <w:r w:rsidR="00F70C23">
        <w:rPr>
          <w:rFonts w:cs="Calibri"/>
          <w:sz w:val="24"/>
          <w:szCs w:val="24"/>
        </w:rPr>
        <w:t xml:space="preserve"> </w:t>
      </w:r>
      <w:r w:rsidR="00340835" w:rsidRPr="00883C4D">
        <w:rPr>
          <w:rFonts w:cstheme="minorHAnsi"/>
          <w:bCs/>
          <w:i/>
          <w:iCs/>
          <w:sz w:val="24"/>
          <w:szCs w:val="24"/>
        </w:rPr>
        <w:t>(dane zanonimizowane)</w:t>
      </w:r>
      <w:r w:rsidR="00340835">
        <w:rPr>
          <w:rStyle w:val="Odwoaniedokomentarza"/>
          <w:sz w:val="24"/>
          <w:szCs w:val="24"/>
        </w:rPr>
        <w:t xml:space="preserve"> </w:t>
      </w:r>
      <w:r>
        <w:rPr>
          <w:rStyle w:val="Odwoaniedokomentarza"/>
          <w:sz w:val="24"/>
          <w:szCs w:val="24"/>
        </w:rPr>
        <w:t>(</w:t>
      </w:r>
      <w:r>
        <w:rPr>
          <w:rFonts w:cs="Calibri"/>
          <w:sz w:val="24"/>
          <w:szCs w:val="24"/>
        </w:rPr>
        <w:t>zwane</w:t>
      </w:r>
      <w:r w:rsidR="00726AFE">
        <w:rPr>
          <w:rFonts w:cs="Calibri"/>
          <w:sz w:val="24"/>
          <w:szCs w:val="24"/>
        </w:rPr>
        <w:t>j</w:t>
      </w:r>
      <w:r>
        <w:rPr>
          <w:rFonts w:cs="Calibri"/>
          <w:sz w:val="24"/>
          <w:szCs w:val="24"/>
        </w:rPr>
        <w:t xml:space="preserve"> dalej Wnioskodawcą) zaprezentowane we wniosku z </w:t>
      </w:r>
      <w:bookmarkStart w:id="1" w:name="_Hlk43394545"/>
      <w:r>
        <w:rPr>
          <w:rFonts w:cs="Calibri"/>
          <w:sz w:val="24"/>
          <w:szCs w:val="24"/>
        </w:rPr>
        <w:t xml:space="preserve">dnia </w:t>
      </w:r>
      <w:r w:rsidR="00726AFE">
        <w:rPr>
          <w:rFonts w:cs="Calibri"/>
          <w:sz w:val="24"/>
          <w:szCs w:val="24"/>
        </w:rPr>
        <w:t xml:space="preserve">25 listopada 2019 r., </w:t>
      </w:r>
      <w:r w:rsidR="00EC4819" w:rsidRPr="00966A97">
        <w:rPr>
          <w:rFonts w:cs="Calibri"/>
          <w:sz w:val="24"/>
          <w:szCs w:val="24"/>
        </w:rPr>
        <w:t xml:space="preserve">uzupełnionym </w:t>
      </w:r>
      <w:r w:rsidR="003B0230">
        <w:rPr>
          <w:rFonts w:cs="Calibri"/>
          <w:sz w:val="24"/>
          <w:szCs w:val="24"/>
        </w:rPr>
        <w:t>pism</w:t>
      </w:r>
      <w:r w:rsidR="003000BF">
        <w:rPr>
          <w:rFonts w:cs="Calibri"/>
          <w:sz w:val="24"/>
          <w:szCs w:val="24"/>
        </w:rPr>
        <w:t>ami z dnia</w:t>
      </w:r>
      <w:r w:rsidR="00D47504">
        <w:rPr>
          <w:rFonts w:cs="Calibri"/>
          <w:sz w:val="24"/>
          <w:szCs w:val="24"/>
        </w:rPr>
        <w:t>:</w:t>
      </w:r>
      <w:r w:rsidR="003000BF">
        <w:rPr>
          <w:rFonts w:cs="Calibri"/>
          <w:sz w:val="24"/>
          <w:szCs w:val="24"/>
        </w:rPr>
        <w:t xml:space="preserve"> </w:t>
      </w:r>
      <w:bookmarkStart w:id="2" w:name="_Hlk18061826"/>
      <w:r w:rsidR="00B037DC">
        <w:rPr>
          <w:rFonts w:cs="Calibri"/>
          <w:sz w:val="24"/>
          <w:szCs w:val="24"/>
        </w:rPr>
        <w:t xml:space="preserve">19 grudnia </w:t>
      </w:r>
      <w:r w:rsidR="006D045F">
        <w:rPr>
          <w:rFonts w:cs="Calibri"/>
          <w:sz w:val="24"/>
          <w:szCs w:val="24"/>
        </w:rPr>
        <w:t>2019 r.</w:t>
      </w:r>
      <w:r w:rsidR="0033245B">
        <w:rPr>
          <w:rFonts w:cs="Calibri"/>
          <w:sz w:val="24"/>
          <w:szCs w:val="24"/>
        </w:rPr>
        <w:t>,</w:t>
      </w:r>
      <w:bookmarkEnd w:id="2"/>
      <w:r w:rsidR="00B037DC">
        <w:rPr>
          <w:rFonts w:cs="Calibri"/>
          <w:sz w:val="24"/>
          <w:szCs w:val="24"/>
        </w:rPr>
        <w:t xml:space="preserve"> 6 lutego 2020 r.</w:t>
      </w:r>
      <w:r w:rsidR="0033245B">
        <w:rPr>
          <w:rFonts w:cs="Calibri"/>
          <w:sz w:val="24"/>
          <w:szCs w:val="24"/>
        </w:rPr>
        <w:t xml:space="preserve"> oraz 31 marca 2020 r. </w:t>
      </w:r>
      <w:r>
        <w:rPr>
          <w:rFonts w:cs="Calibri"/>
          <w:sz w:val="24"/>
          <w:szCs w:val="24"/>
        </w:rPr>
        <w:t xml:space="preserve">o udzielenie pisemnej interpretacji przepisów prawa w zakresie stosowania przepisów art.33 </w:t>
      </w:r>
      <w:r w:rsidR="006D045F">
        <w:rPr>
          <w:rFonts w:cs="Calibri"/>
          <w:sz w:val="24"/>
          <w:szCs w:val="24"/>
        </w:rPr>
        <w:t>ust.</w:t>
      </w:r>
      <w:r w:rsidR="00B037DC">
        <w:rPr>
          <w:rFonts w:cs="Calibri"/>
          <w:sz w:val="24"/>
          <w:szCs w:val="24"/>
        </w:rPr>
        <w:t>7</w:t>
      </w:r>
      <w:r>
        <w:rPr>
          <w:rFonts w:cs="Calibri"/>
          <w:sz w:val="24"/>
          <w:szCs w:val="24"/>
        </w:rPr>
        <w:t xml:space="preserve"> ustawy z dnia 27 sierpnia 1997 r. o rehabilitacji zawodowej i  społecznej oraz </w:t>
      </w:r>
      <w:r w:rsidR="00D27EE4">
        <w:rPr>
          <w:rFonts w:cs="Calibri"/>
          <w:sz w:val="24"/>
          <w:szCs w:val="24"/>
        </w:rPr>
        <w:t>z</w:t>
      </w:r>
      <w:r>
        <w:rPr>
          <w:rFonts w:cs="Calibri"/>
          <w:sz w:val="24"/>
          <w:szCs w:val="24"/>
        </w:rPr>
        <w:t>atrudnianiu osób niepełnosprawnych (Dz.U. z 20</w:t>
      </w:r>
      <w:r w:rsidR="0033245B">
        <w:rPr>
          <w:rFonts w:cs="Calibri"/>
          <w:sz w:val="24"/>
          <w:szCs w:val="24"/>
        </w:rPr>
        <w:t>20</w:t>
      </w:r>
      <w:r>
        <w:rPr>
          <w:rFonts w:cs="Calibri"/>
          <w:sz w:val="24"/>
          <w:szCs w:val="24"/>
        </w:rPr>
        <w:t xml:space="preserve"> r. poz.</w:t>
      </w:r>
      <w:r w:rsidR="0033245B">
        <w:rPr>
          <w:rFonts w:cs="Calibri"/>
          <w:sz w:val="24"/>
          <w:szCs w:val="24"/>
        </w:rPr>
        <w:t>426</w:t>
      </w:r>
      <w:r w:rsidR="006D045F">
        <w:rPr>
          <w:rFonts w:cs="Calibri"/>
          <w:sz w:val="24"/>
          <w:szCs w:val="24"/>
        </w:rPr>
        <w:t xml:space="preserve"> </w:t>
      </w:r>
      <w:r w:rsidR="007B02BA">
        <w:rPr>
          <w:rFonts w:cs="Calibri"/>
          <w:sz w:val="24"/>
          <w:szCs w:val="24"/>
        </w:rPr>
        <w:t>z późn.zm.</w:t>
      </w:r>
      <w:r>
        <w:rPr>
          <w:rFonts w:cs="Calibri"/>
          <w:sz w:val="24"/>
          <w:szCs w:val="24"/>
        </w:rPr>
        <w:t>) zwanej dalej ustawą</w:t>
      </w:r>
      <w:r w:rsidR="00B037DC">
        <w:rPr>
          <w:rFonts w:cs="Calibri"/>
          <w:sz w:val="24"/>
          <w:szCs w:val="24"/>
        </w:rPr>
        <w:t xml:space="preserve"> </w:t>
      </w:r>
      <w:r w:rsidR="00A46F4B">
        <w:rPr>
          <w:rFonts w:cs="Calibri"/>
          <w:sz w:val="24"/>
          <w:szCs w:val="24"/>
        </w:rPr>
        <w:t>o</w:t>
      </w:r>
      <w:r>
        <w:rPr>
          <w:rFonts w:cs="Calibri"/>
          <w:sz w:val="24"/>
          <w:szCs w:val="24"/>
        </w:rPr>
        <w:t xml:space="preserve"> rehabilitacji </w:t>
      </w:r>
      <w:r w:rsidR="00C65DB5" w:rsidRPr="00A46F4B">
        <w:rPr>
          <w:rFonts w:cs="Calibri"/>
          <w:b/>
          <w:sz w:val="24"/>
          <w:szCs w:val="24"/>
        </w:rPr>
        <w:t xml:space="preserve"> jest nieprawidłowe</w:t>
      </w:r>
      <w:r w:rsidR="00E95486" w:rsidRPr="00A46F4B">
        <w:rPr>
          <w:rFonts w:cs="Calibri"/>
          <w:b/>
          <w:sz w:val="24"/>
          <w:szCs w:val="24"/>
        </w:rPr>
        <w:t>.</w:t>
      </w:r>
      <w:bookmarkEnd w:id="1"/>
    </w:p>
    <w:p w14:paraId="333C9EEC" w14:textId="77777777" w:rsidR="00340835" w:rsidRPr="00A46F4B" w:rsidRDefault="00340835" w:rsidP="00DC1770">
      <w:pPr>
        <w:spacing w:after="0" w:line="360" w:lineRule="auto"/>
        <w:jc w:val="both"/>
        <w:rPr>
          <w:rFonts w:cs="Calibri"/>
          <w:b/>
          <w:sz w:val="24"/>
          <w:szCs w:val="24"/>
        </w:rPr>
      </w:pPr>
    </w:p>
    <w:p w14:paraId="44D47F08" w14:textId="76B18AEC" w:rsidR="00DC1770" w:rsidRDefault="00DC1770" w:rsidP="00DC1770">
      <w:pPr>
        <w:spacing w:after="0" w:line="360" w:lineRule="auto"/>
        <w:jc w:val="center"/>
        <w:rPr>
          <w:rFonts w:cs="Calibri"/>
          <w:b/>
          <w:sz w:val="24"/>
          <w:szCs w:val="24"/>
        </w:rPr>
      </w:pPr>
      <w:r>
        <w:rPr>
          <w:rFonts w:cs="Calibri"/>
          <w:b/>
          <w:sz w:val="24"/>
          <w:szCs w:val="24"/>
        </w:rPr>
        <w:lastRenderedPageBreak/>
        <w:t>Uzasadnienie:</w:t>
      </w:r>
    </w:p>
    <w:p w14:paraId="352CA16E" w14:textId="77777777" w:rsidR="003E636D" w:rsidRDefault="00DC1770" w:rsidP="007B02BA">
      <w:pPr>
        <w:spacing w:after="120" w:line="360" w:lineRule="auto"/>
        <w:jc w:val="both"/>
        <w:rPr>
          <w:rFonts w:cs="Calibri"/>
          <w:sz w:val="24"/>
          <w:szCs w:val="24"/>
        </w:rPr>
      </w:pPr>
      <w:r>
        <w:rPr>
          <w:rFonts w:cs="Calibri"/>
          <w:sz w:val="24"/>
          <w:szCs w:val="24"/>
        </w:rPr>
        <w:t xml:space="preserve">Pismem z dnia </w:t>
      </w:r>
      <w:r w:rsidR="00EC501E">
        <w:rPr>
          <w:rFonts w:cs="Calibri"/>
          <w:sz w:val="24"/>
          <w:szCs w:val="24"/>
        </w:rPr>
        <w:t xml:space="preserve">25 listopada 2019 r., </w:t>
      </w:r>
      <w:r w:rsidR="00EC4819" w:rsidRPr="00966A97">
        <w:rPr>
          <w:rFonts w:cs="Calibri"/>
          <w:sz w:val="24"/>
          <w:szCs w:val="24"/>
        </w:rPr>
        <w:t xml:space="preserve">uzupełnionym </w:t>
      </w:r>
      <w:r w:rsidR="00EC4819">
        <w:rPr>
          <w:rFonts w:cs="Calibri"/>
          <w:sz w:val="24"/>
          <w:szCs w:val="24"/>
        </w:rPr>
        <w:t>pism</w:t>
      </w:r>
      <w:r w:rsidR="00EC501E">
        <w:rPr>
          <w:rFonts w:cs="Calibri"/>
          <w:sz w:val="24"/>
          <w:szCs w:val="24"/>
        </w:rPr>
        <w:t>ami z</w:t>
      </w:r>
      <w:r w:rsidR="00EC4819" w:rsidRPr="00966A97">
        <w:rPr>
          <w:rFonts w:cs="Calibri"/>
          <w:sz w:val="24"/>
          <w:szCs w:val="24"/>
        </w:rPr>
        <w:t xml:space="preserve"> dni</w:t>
      </w:r>
      <w:r w:rsidR="00EC4819">
        <w:rPr>
          <w:rFonts w:cs="Calibri"/>
          <w:sz w:val="24"/>
          <w:szCs w:val="24"/>
        </w:rPr>
        <w:t>a</w:t>
      </w:r>
      <w:r w:rsidR="003E636D">
        <w:rPr>
          <w:rFonts w:cs="Calibri"/>
          <w:sz w:val="24"/>
          <w:szCs w:val="24"/>
        </w:rPr>
        <w:t>:</w:t>
      </w:r>
      <w:r w:rsidR="00EC4819" w:rsidRPr="00966A97">
        <w:rPr>
          <w:rFonts w:cs="Calibri"/>
          <w:sz w:val="24"/>
          <w:szCs w:val="24"/>
        </w:rPr>
        <w:t xml:space="preserve"> </w:t>
      </w:r>
      <w:r w:rsidR="00EC501E">
        <w:rPr>
          <w:rFonts w:cs="Calibri"/>
          <w:sz w:val="24"/>
          <w:szCs w:val="24"/>
        </w:rPr>
        <w:t>19 grudnia 2019 r.</w:t>
      </w:r>
      <w:r w:rsidR="003E636D">
        <w:rPr>
          <w:rFonts w:cs="Calibri"/>
          <w:sz w:val="24"/>
          <w:szCs w:val="24"/>
        </w:rPr>
        <w:t xml:space="preserve">, </w:t>
      </w:r>
      <w:r w:rsidR="00EC501E">
        <w:rPr>
          <w:rFonts w:cs="Calibri"/>
          <w:sz w:val="24"/>
          <w:szCs w:val="24"/>
        </w:rPr>
        <w:t>6 lutego 2020 r.</w:t>
      </w:r>
      <w:r w:rsidR="003E636D">
        <w:rPr>
          <w:rFonts w:cs="Calibri"/>
          <w:sz w:val="24"/>
          <w:szCs w:val="24"/>
        </w:rPr>
        <w:t xml:space="preserve"> oraz 31 marca 2020 r.</w:t>
      </w:r>
      <w:r w:rsidR="00A46F4B">
        <w:rPr>
          <w:rFonts w:cs="Calibri"/>
          <w:sz w:val="24"/>
          <w:szCs w:val="24"/>
        </w:rPr>
        <w:t>,</w:t>
      </w:r>
      <w:r w:rsidR="003B0230">
        <w:rPr>
          <w:rFonts w:cs="Calibri"/>
          <w:sz w:val="24"/>
          <w:szCs w:val="24"/>
        </w:rPr>
        <w:t xml:space="preserve"> </w:t>
      </w:r>
      <w:r w:rsidR="006D045F">
        <w:rPr>
          <w:rFonts w:cs="Calibri"/>
          <w:sz w:val="24"/>
          <w:szCs w:val="24"/>
        </w:rPr>
        <w:t>Wn</w:t>
      </w:r>
      <w:r>
        <w:rPr>
          <w:rFonts w:cs="Calibri"/>
          <w:sz w:val="24"/>
          <w:szCs w:val="24"/>
        </w:rPr>
        <w:t xml:space="preserve">ioskodawca skierował do Prezesa Zarządu PFRON wniosek o udzielenie pisemnej interpretacji co do zakresu i sposobu zastosowania przepisów art.33 </w:t>
      </w:r>
      <w:r w:rsidR="006D045F">
        <w:rPr>
          <w:rFonts w:cs="Calibri"/>
          <w:sz w:val="24"/>
          <w:szCs w:val="24"/>
        </w:rPr>
        <w:t>ust.</w:t>
      </w:r>
      <w:r w:rsidR="00EC501E">
        <w:rPr>
          <w:rFonts w:cs="Calibri"/>
          <w:sz w:val="24"/>
          <w:szCs w:val="24"/>
        </w:rPr>
        <w:t>7</w:t>
      </w:r>
      <w:r>
        <w:rPr>
          <w:rFonts w:cs="Calibri"/>
          <w:sz w:val="24"/>
          <w:szCs w:val="24"/>
        </w:rPr>
        <w:t xml:space="preserve"> ustawy o rehabilitacji. </w:t>
      </w:r>
    </w:p>
    <w:p w14:paraId="271A261E" w14:textId="68343044" w:rsidR="00DC1770" w:rsidRDefault="00DC1770" w:rsidP="007B02BA">
      <w:pPr>
        <w:spacing w:after="120" w:line="360" w:lineRule="auto"/>
        <w:jc w:val="both"/>
        <w:rPr>
          <w:rFonts w:cs="Calibri"/>
          <w:i/>
          <w:sz w:val="24"/>
          <w:szCs w:val="24"/>
        </w:rPr>
      </w:pPr>
      <w:r>
        <w:rPr>
          <w:rFonts w:cs="Calibri"/>
          <w:sz w:val="24"/>
          <w:szCs w:val="24"/>
        </w:rPr>
        <w:t xml:space="preserve">Wniosek swój Wnioskodawca skierował na podstawie art.34 ustawy. Zgodnie z art.34 ust.1 ustawy </w:t>
      </w:r>
      <w:r>
        <w:rPr>
          <w:rFonts w:cs="Calibri"/>
          <w:i/>
          <w:sz w:val="24"/>
          <w:szCs w:val="24"/>
        </w:rPr>
        <w:t>przedsiębiorca może złożyć do właściwego organu lub właściwej państwowej jednostki organizacyjnej wniosek o wydanie wyjaśnienia co do zakresu i sposobu zastosowania przepisów, z których wynika obowiązek świadczenia przez przedsiębiorcę daniny publicznej lub składek na ubezpieczenia społeczne lub zdrowotne, w jego indywidualnej sprawie (interpretacja indywidualna).</w:t>
      </w:r>
    </w:p>
    <w:p w14:paraId="5ECE55D2" w14:textId="65B7670B" w:rsidR="00DC1770" w:rsidRPr="001F4D71" w:rsidRDefault="00DC1770" w:rsidP="007B02BA">
      <w:pPr>
        <w:spacing w:after="0" w:line="360" w:lineRule="auto"/>
        <w:jc w:val="both"/>
        <w:rPr>
          <w:rFonts w:eastAsia="Times New Roman" w:cs="Arial"/>
          <w:b/>
          <w:sz w:val="24"/>
          <w:szCs w:val="24"/>
        </w:rPr>
      </w:pPr>
      <w:r w:rsidRPr="001F4D71">
        <w:rPr>
          <w:rFonts w:cs="Arial"/>
          <w:b/>
          <w:sz w:val="24"/>
          <w:szCs w:val="24"/>
        </w:rPr>
        <w:t>W przedmiotowym wniosku Wnioskodawca przedstawił następujący</w:t>
      </w:r>
      <w:r w:rsidR="00323FBC">
        <w:rPr>
          <w:rFonts w:cs="Arial"/>
          <w:b/>
          <w:sz w:val="24"/>
          <w:szCs w:val="24"/>
        </w:rPr>
        <w:t xml:space="preserve"> zdarzenie przyszłe</w:t>
      </w:r>
      <w:r w:rsidRPr="001F4D71">
        <w:rPr>
          <w:rFonts w:cs="Arial"/>
          <w:b/>
          <w:sz w:val="24"/>
          <w:szCs w:val="24"/>
        </w:rPr>
        <w:t>:</w:t>
      </w:r>
    </w:p>
    <w:p w14:paraId="21E31333" w14:textId="50132709" w:rsidR="00256DF5" w:rsidRDefault="00545221" w:rsidP="00DC1770">
      <w:pPr>
        <w:spacing w:after="0" w:line="360" w:lineRule="auto"/>
        <w:jc w:val="both"/>
        <w:rPr>
          <w:rFonts w:cs="Arial"/>
          <w:sz w:val="24"/>
          <w:szCs w:val="24"/>
        </w:rPr>
      </w:pPr>
      <w:bookmarkStart w:id="3" w:name="_Hlk43376892"/>
      <w:r>
        <w:rPr>
          <w:rFonts w:cs="Arial"/>
          <w:sz w:val="24"/>
          <w:szCs w:val="24"/>
        </w:rPr>
        <w:t xml:space="preserve">Wnioskodawca jest </w:t>
      </w:r>
      <w:r w:rsidR="008808DD">
        <w:rPr>
          <w:rFonts w:cs="Arial"/>
          <w:sz w:val="24"/>
          <w:szCs w:val="24"/>
        </w:rPr>
        <w:t xml:space="preserve">dwuosobową </w:t>
      </w:r>
      <w:r>
        <w:rPr>
          <w:rFonts w:cs="Arial"/>
          <w:sz w:val="24"/>
          <w:szCs w:val="24"/>
        </w:rPr>
        <w:t>spółką jawną</w:t>
      </w:r>
      <w:r w:rsidR="008808DD">
        <w:rPr>
          <w:rFonts w:cs="Arial"/>
          <w:sz w:val="24"/>
          <w:szCs w:val="24"/>
        </w:rPr>
        <w:t>.</w:t>
      </w:r>
      <w:r>
        <w:rPr>
          <w:rFonts w:cs="Arial"/>
          <w:sz w:val="24"/>
          <w:szCs w:val="24"/>
        </w:rPr>
        <w:t xml:space="preserve"> Jednocześnie jest </w:t>
      </w:r>
      <w:r w:rsidR="00EC501E">
        <w:rPr>
          <w:rFonts w:cs="Arial"/>
          <w:sz w:val="24"/>
          <w:szCs w:val="24"/>
        </w:rPr>
        <w:t xml:space="preserve">pracodawcą posiadającym status </w:t>
      </w:r>
      <w:r w:rsidR="00DC1770" w:rsidRPr="001F4D71">
        <w:rPr>
          <w:rFonts w:cs="Arial"/>
          <w:sz w:val="24"/>
          <w:szCs w:val="24"/>
        </w:rPr>
        <w:t>zakładu pracy chronionej.</w:t>
      </w:r>
      <w:r w:rsidR="0067454A">
        <w:rPr>
          <w:rFonts w:cs="Arial"/>
          <w:sz w:val="24"/>
          <w:szCs w:val="24"/>
        </w:rPr>
        <w:t xml:space="preserve"> Jeden ze wspólników wypowiedział umowę spółki, co n</w:t>
      </w:r>
      <w:r w:rsidR="008808DD">
        <w:rPr>
          <w:rFonts w:cs="Arial"/>
          <w:sz w:val="24"/>
          <w:szCs w:val="24"/>
        </w:rPr>
        <w:t xml:space="preserve">a podstawie art.58 </w:t>
      </w:r>
      <w:r w:rsidR="008808DD">
        <w:rPr>
          <w:rFonts w:cstheme="minorHAnsi"/>
          <w:sz w:val="24"/>
          <w:szCs w:val="24"/>
        </w:rPr>
        <w:t>§</w:t>
      </w:r>
      <w:r w:rsidR="008808DD">
        <w:rPr>
          <w:rFonts w:cs="Arial"/>
          <w:sz w:val="24"/>
          <w:szCs w:val="24"/>
        </w:rPr>
        <w:t>1</w:t>
      </w:r>
      <w:r w:rsidR="0067454A">
        <w:rPr>
          <w:rFonts w:cs="Arial"/>
          <w:sz w:val="24"/>
          <w:szCs w:val="24"/>
        </w:rPr>
        <w:t xml:space="preserve"> pkt 5 </w:t>
      </w:r>
      <w:r w:rsidR="008808DD">
        <w:rPr>
          <w:rFonts w:cs="Arial"/>
          <w:sz w:val="24"/>
          <w:szCs w:val="24"/>
        </w:rPr>
        <w:t xml:space="preserve">Kodeksu spółek handlowych (dalej również </w:t>
      </w:r>
      <w:r w:rsidR="0067454A">
        <w:rPr>
          <w:rFonts w:cs="Arial"/>
          <w:sz w:val="24"/>
          <w:szCs w:val="24"/>
        </w:rPr>
        <w:t xml:space="preserve">jako </w:t>
      </w:r>
      <w:r w:rsidR="008808DD">
        <w:rPr>
          <w:rFonts w:cs="Arial"/>
          <w:sz w:val="24"/>
          <w:szCs w:val="24"/>
        </w:rPr>
        <w:t xml:space="preserve">KSH) </w:t>
      </w:r>
      <w:r w:rsidR="0067454A">
        <w:rPr>
          <w:rFonts w:cs="Arial"/>
          <w:sz w:val="24"/>
          <w:szCs w:val="24"/>
        </w:rPr>
        <w:t xml:space="preserve">powoduje  rozwiązanie spółki. </w:t>
      </w:r>
      <w:r w:rsidR="00EC501E">
        <w:rPr>
          <w:rFonts w:cs="Arial"/>
          <w:sz w:val="24"/>
          <w:szCs w:val="24"/>
        </w:rPr>
        <w:t>Wspólnicy zamierzają zakończyć działalność</w:t>
      </w:r>
      <w:r>
        <w:rPr>
          <w:rFonts w:cs="Arial"/>
          <w:sz w:val="24"/>
          <w:szCs w:val="24"/>
        </w:rPr>
        <w:t xml:space="preserve"> </w:t>
      </w:r>
      <w:r w:rsidR="0067454A">
        <w:rPr>
          <w:rFonts w:cs="Arial"/>
          <w:sz w:val="24"/>
          <w:szCs w:val="24"/>
        </w:rPr>
        <w:t>s</w:t>
      </w:r>
      <w:r>
        <w:rPr>
          <w:rFonts w:cs="Arial"/>
          <w:sz w:val="24"/>
          <w:szCs w:val="24"/>
        </w:rPr>
        <w:t>półki</w:t>
      </w:r>
      <w:r w:rsidR="00EC501E">
        <w:rPr>
          <w:rFonts w:cs="Arial"/>
          <w:sz w:val="24"/>
          <w:szCs w:val="24"/>
        </w:rPr>
        <w:t xml:space="preserve"> bez przeprowadzania postępowania likwidacyjnego</w:t>
      </w:r>
      <w:r w:rsidR="002B00A2">
        <w:rPr>
          <w:rFonts w:cs="Arial"/>
          <w:sz w:val="24"/>
          <w:szCs w:val="24"/>
        </w:rPr>
        <w:t xml:space="preserve">. </w:t>
      </w:r>
      <w:r w:rsidR="00323FBC">
        <w:rPr>
          <w:rFonts w:cs="Arial"/>
          <w:sz w:val="24"/>
          <w:szCs w:val="24"/>
        </w:rPr>
        <w:t>W</w:t>
      </w:r>
      <w:r>
        <w:rPr>
          <w:rFonts w:cs="Arial"/>
          <w:sz w:val="24"/>
          <w:szCs w:val="24"/>
        </w:rPr>
        <w:t xml:space="preserve"> </w:t>
      </w:r>
      <w:r w:rsidR="00323FBC">
        <w:rPr>
          <w:rFonts w:cs="Arial"/>
          <w:sz w:val="24"/>
          <w:szCs w:val="24"/>
        </w:rPr>
        <w:t xml:space="preserve">planowanym </w:t>
      </w:r>
      <w:r>
        <w:rPr>
          <w:rFonts w:cs="Arial"/>
          <w:sz w:val="24"/>
          <w:szCs w:val="24"/>
        </w:rPr>
        <w:t xml:space="preserve">porozumieniu zdecydują o przejęciu </w:t>
      </w:r>
      <w:r w:rsidR="00323FBC">
        <w:rPr>
          <w:rFonts w:cs="Arial"/>
          <w:sz w:val="24"/>
          <w:szCs w:val="24"/>
        </w:rPr>
        <w:t xml:space="preserve">przez jednego z nich </w:t>
      </w:r>
      <w:r>
        <w:rPr>
          <w:rFonts w:cs="Arial"/>
          <w:sz w:val="24"/>
          <w:szCs w:val="24"/>
        </w:rPr>
        <w:t xml:space="preserve">całego majątku </w:t>
      </w:r>
      <w:r w:rsidR="00323FBC">
        <w:rPr>
          <w:rFonts w:cs="Arial"/>
          <w:sz w:val="24"/>
          <w:szCs w:val="24"/>
        </w:rPr>
        <w:t>s</w:t>
      </w:r>
      <w:r>
        <w:rPr>
          <w:rFonts w:cs="Arial"/>
          <w:sz w:val="24"/>
          <w:szCs w:val="24"/>
        </w:rPr>
        <w:t>półki</w:t>
      </w:r>
      <w:r w:rsidR="00323FBC">
        <w:rPr>
          <w:rFonts w:cs="Arial"/>
          <w:sz w:val="24"/>
          <w:szCs w:val="24"/>
        </w:rPr>
        <w:t xml:space="preserve"> wraz z</w:t>
      </w:r>
      <w:r>
        <w:rPr>
          <w:rFonts w:cs="Arial"/>
          <w:sz w:val="24"/>
          <w:szCs w:val="24"/>
        </w:rPr>
        <w:t xml:space="preserve"> jej </w:t>
      </w:r>
      <w:r w:rsidR="00323FBC">
        <w:rPr>
          <w:rFonts w:cs="Arial"/>
          <w:sz w:val="24"/>
          <w:szCs w:val="24"/>
        </w:rPr>
        <w:t>zobowiązaniami.</w:t>
      </w:r>
      <w:r>
        <w:rPr>
          <w:rFonts w:cs="Arial"/>
          <w:sz w:val="24"/>
          <w:szCs w:val="24"/>
        </w:rPr>
        <w:t xml:space="preserve"> Dotychczasowa umowa</w:t>
      </w:r>
      <w:r w:rsidR="00323FBC">
        <w:rPr>
          <w:rFonts w:cs="Arial"/>
          <w:sz w:val="24"/>
          <w:szCs w:val="24"/>
        </w:rPr>
        <w:t xml:space="preserve"> s</w:t>
      </w:r>
      <w:r>
        <w:rPr>
          <w:rFonts w:cs="Arial"/>
          <w:sz w:val="24"/>
          <w:szCs w:val="24"/>
        </w:rPr>
        <w:t xml:space="preserve">półki </w:t>
      </w:r>
      <w:r w:rsidR="00323FBC">
        <w:rPr>
          <w:rFonts w:cs="Arial"/>
          <w:sz w:val="24"/>
          <w:szCs w:val="24"/>
        </w:rPr>
        <w:t xml:space="preserve">nie przewiduje </w:t>
      </w:r>
      <w:r>
        <w:rPr>
          <w:rFonts w:cs="Arial"/>
          <w:sz w:val="24"/>
          <w:szCs w:val="24"/>
        </w:rPr>
        <w:t xml:space="preserve">takiego </w:t>
      </w:r>
      <w:r w:rsidR="00323FBC">
        <w:rPr>
          <w:rFonts w:cs="Arial"/>
          <w:sz w:val="24"/>
          <w:szCs w:val="24"/>
        </w:rPr>
        <w:t xml:space="preserve">sposobu </w:t>
      </w:r>
      <w:r>
        <w:rPr>
          <w:rFonts w:cs="Arial"/>
          <w:sz w:val="24"/>
          <w:szCs w:val="24"/>
        </w:rPr>
        <w:t xml:space="preserve">rozwiązania </w:t>
      </w:r>
      <w:r w:rsidR="00323FBC">
        <w:rPr>
          <w:rFonts w:cs="Arial"/>
          <w:sz w:val="24"/>
          <w:szCs w:val="24"/>
        </w:rPr>
        <w:t>spółki.</w:t>
      </w:r>
      <w:r>
        <w:rPr>
          <w:rFonts w:cs="Arial"/>
          <w:sz w:val="24"/>
          <w:szCs w:val="24"/>
        </w:rPr>
        <w:t xml:space="preserve"> </w:t>
      </w:r>
      <w:r w:rsidR="00323FBC">
        <w:rPr>
          <w:rFonts w:cs="Arial"/>
          <w:sz w:val="24"/>
          <w:szCs w:val="24"/>
        </w:rPr>
        <w:t>Dlatego j</w:t>
      </w:r>
      <w:r>
        <w:rPr>
          <w:rFonts w:cs="Arial"/>
          <w:sz w:val="24"/>
          <w:szCs w:val="24"/>
        </w:rPr>
        <w:t xml:space="preserve">est ono obecnie jedynie zgodnym zamiarem wspólników. </w:t>
      </w:r>
      <w:r w:rsidR="002B00A2">
        <w:rPr>
          <w:rFonts w:cs="Arial"/>
          <w:sz w:val="24"/>
          <w:szCs w:val="24"/>
        </w:rPr>
        <w:t xml:space="preserve"> </w:t>
      </w:r>
    </w:p>
    <w:bookmarkEnd w:id="3"/>
    <w:p w14:paraId="64BA3684" w14:textId="7DCA29BB" w:rsidR="00545221" w:rsidRDefault="00256DF5" w:rsidP="00DC1770">
      <w:pPr>
        <w:spacing w:after="0" w:line="360" w:lineRule="auto"/>
        <w:jc w:val="both"/>
        <w:rPr>
          <w:rFonts w:cs="Arial"/>
          <w:sz w:val="24"/>
          <w:szCs w:val="24"/>
        </w:rPr>
      </w:pPr>
      <w:r>
        <w:rPr>
          <w:rFonts w:cs="Arial"/>
          <w:sz w:val="24"/>
          <w:szCs w:val="24"/>
        </w:rPr>
        <w:t xml:space="preserve">Wspólnik przejmujący będzie kontynuował działalność przedsiębiorstwa </w:t>
      </w:r>
      <w:r w:rsidR="00323FBC">
        <w:rPr>
          <w:rFonts w:cs="Arial"/>
          <w:sz w:val="24"/>
          <w:szCs w:val="24"/>
        </w:rPr>
        <w:t>s</w:t>
      </w:r>
      <w:r>
        <w:rPr>
          <w:rFonts w:cs="Arial"/>
          <w:sz w:val="24"/>
          <w:szCs w:val="24"/>
        </w:rPr>
        <w:t xml:space="preserve">półki </w:t>
      </w:r>
      <w:r w:rsidR="00323FBC">
        <w:rPr>
          <w:rFonts w:cs="Arial"/>
          <w:sz w:val="24"/>
          <w:szCs w:val="24"/>
        </w:rPr>
        <w:t xml:space="preserve">jawnej </w:t>
      </w:r>
      <w:r w:rsidR="00D27EE4">
        <w:rPr>
          <w:rFonts w:cs="Arial"/>
          <w:sz w:val="24"/>
          <w:szCs w:val="24"/>
        </w:rPr>
        <w:br/>
      </w:r>
      <w:r>
        <w:rPr>
          <w:rFonts w:cs="Arial"/>
          <w:sz w:val="24"/>
          <w:szCs w:val="24"/>
        </w:rPr>
        <w:t xml:space="preserve">w ramach swojej indywidualnej działalności gospodarczej. </w:t>
      </w:r>
      <w:r w:rsidR="00CE0AA8">
        <w:rPr>
          <w:rFonts w:cs="Arial"/>
          <w:sz w:val="24"/>
          <w:szCs w:val="24"/>
        </w:rPr>
        <w:t xml:space="preserve">Zamiarem tego wspólnika </w:t>
      </w:r>
      <w:r>
        <w:rPr>
          <w:rFonts w:cs="Arial"/>
          <w:sz w:val="24"/>
          <w:szCs w:val="24"/>
        </w:rPr>
        <w:t xml:space="preserve">jest przejęcie wszystkich pracowników zatrudnianych przez </w:t>
      </w:r>
      <w:r w:rsidR="00323FBC">
        <w:rPr>
          <w:rFonts w:cs="Arial"/>
          <w:sz w:val="24"/>
          <w:szCs w:val="24"/>
        </w:rPr>
        <w:t>s</w:t>
      </w:r>
      <w:r>
        <w:rPr>
          <w:rFonts w:cs="Arial"/>
          <w:sz w:val="24"/>
          <w:szCs w:val="24"/>
        </w:rPr>
        <w:t xml:space="preserve">półkę </w:t>
      </w:r>
      <w:r w:rsidR="00D27EE4">
        <w:rPr>
          <w:rFonts w:cs="Arial"/>
          <w:sz w:val="24"/>
          <w:szCs w:val="24"/>
        </w:rPr>
        <w:t xml:space="preserve">jawną </w:t>
      </w:r>
      <w:r>
        <w:rPr>
          <w:rFonts w:cs="Arial"/>
          <w:sz w:val="24"/>
          <w:szCs w:val="24"/>
        </w:rPr>
        <w:t>w chwili zawierania porozumienia</w:t>
      </w:r>
      <w:r w:rsidR="00CE0AA8">
        <w:rPr>
          <w:rFonts w:cs="Arial"/>
          <w:sz w:val="24"/>
          <w:szCs w:val="24"/>
        </w:rPr>
        <w:t xml:space="preserve">. </w:t>
      </w:r>
      <w:r>
        <w:rPr>
          <w:rFonts w:cs="Arial"/>
          <w:sz w:val="24"/>
          <w:szCs w:val="24"/>
        </w:rPr>
        <w:t xml:space="preserve">Liczba zatrudnionych osób niepełnosprawnych będzie pozwalała na </w:t>
      </w:r>
      <w:r w:rsidR="002E74EB">
        <w:rPr>
          <w:rFonts w:cs="Arial"/>
          <w:sz w:val="24"/>
          <w:szCs w:val="24"/>
        </w:rPr>
        <w:t xml:space="preserve">zachowanie przez niego jako pracodawcy wskaźników określonych w art.28 ust.1 pkt 1 ustawy o rehabilitacji. Jednocześnie z uwagi na przejęcie całego majątku i infrastruktury </w:t>
      </w:r>
      <w:r w:rsidR="00323FBC">
        <w:rPr>
          <w:rFonts w:cs="Arial"/>
          <w:sz w:val="24"/>
          <w:szCs w:val="24"/>
        </w:rPr>
        <w:t>s</w:t>
      </w:r>
      <w:r w:rsidR="002E74EB">
        <w:rPr>
          <w:rFonts w:cs="Arial"/>
          <w:sz w:val="24"/>
          <w:szCs w:val="24"/>
        </w:rPr>
        <w:t>półki</w:t>
      </w:r>
      <w:r w:rsidR="00D27EE4">
        <w:rPr>
          <w:rFonts w:cs="Arial"/>
          <w:sz w:val="24"/>
          <w:szCs w:val="24"/>
        </w:rPr>
        <w:t xml:space="preserve"> jawnej</w:t>
      </w:r>
      <w:r w:rsidR="002E74EB">
        <w:rPr>
          <w:rFonts w:cs="Arial"/>
          <w:sz w:val="24"/>
          <w:szCs w:val="24"/>
        </w:rPr>
        <w:t xml:space="preserve">, wspólnik ten jako pracodawca będzie także spełniał pozostałe warunki wskazane w art.28 ust.2 i 3 ustawy o rehabilitacji. Będzie on również spełniał wymóg prowadzenia działalności gospodarczej przez co najmniej 12 miesięcy, gdyż prowadzi ją jako przedsiębiorca indywidualny od 2001 r., niezależnie od statusu wspólnika spółki jawnej.  </w:t>
      </w:r>
      <w:r>
        <w:rPr>
          <w:rFonts w:cs="Arial"/>
          <w:sz w:val="24"/>
          <w:szCs w:val="24"/>
        </w:rPr>
        <w:t xml:space="preserve">  </w:t>
      </w:r>
      <w:r w:rsidR="00EC501E">
        <w:rPr>
          <w:rFonts w:cs="Arial"/>
          <w:sz w:val="24"/>
          <w:szCs w:val="24"/>
        </w:rPr>
        <w:t xml:space="preserve"> </w:t>
      </w:r>
    </w:p>
    <w:p w14:paraId="766B0A8E" w14:textId="77777777" w:rsidR="00D91F5B" w:rsidRDefault="00D91F5B" w:rsidP="00DC1770">
      <w:pPr>
        <w:spacing w:after="0" w:line="360" w:lineRule="auto"/>
        <w:jc w:val="both"/>
        <w:rPr>
          <w:rFonts w:cs="Arial"/>
          <w:sz w:val="24"/>
          <w:szCs w:val="24"/>
        </w:rPr>
      </w:pPr>
    </w:p>
    <w:p w14:paraId="22B08F81" w14:textId="20FEF58B" w:rsidR="00DC1770" w:rsidRPr="00BA3632" w:rsidRDefault="00DC1770" w:rsidP="00DC1770">
      <w:pPr>
        <w:spacing w:after="120" w:line="360" w:lineRule="auto"/>
        <w:jc w:val="both"/>
        <w:rPr>
          <w:rFonts w:eastAsia="Times New Roman" w:cs="Arial"/>
          <w:b/>
          <w:sz w:val="24"/>
          <w:szCs w:val="24"/>
          <w:u w:val="single"/>
          <w:lang w:eastAsia="en-US"/>
        </w:rPr>
      </w:pPr>
      <w:r w:rsidRPr="00BA3632">
        <w:rPr>
          <w:rFonts w:cs="Arial"/>
          <w:b/>
          <w:sz w:val="24"/>
          <w:szCs w:val="24"/>
          <w:u w:val="single"/>
        </w:rPr>
        <w:lastRenderedPageBreak/>
        <w:t>W związku z powyższym zadano następujące pytani</w:t>
      </w:r>
      <w:r w:rsidR="00861459">
        <w:rPr>
          <w:rFonts w:cs="Arial"/>
          <w:b/>
          <w:sz w:val="24"/>
          <w:szCs w:val="24"/>
          <w:u w:val="single"/>
        </w:rPr>
        <w:t>e</w:t>
      </w:r>
      <w:r w:rsidRPr="00BA3632">
        <w:rPr>
          <w:rFonts w:cs="Arial"/>
          <w:b/>
          <w:sz w:val="24"/>
          <w:szCs w:val="24"/>
          <w:u w:val="single"/>
        </w:rPr>
        <w:t>:</w:t>
      </w:r>
    </w:p>
    <w:p w14:paraId="07444EEB" w14:textId="4FAFE06C" w:rsidR="00861459" w:rsidRDefault="00861459" w:rsidP="00905B73">
      <w:pPr>
        <w:spacing w:after="120" w:line="360" w:lineRule="auto"/>
        <w:jc w:val="both"/>
        <w:rPr>
          <w:rFonts w:cs="Arial"/>
          <w:sz w:val="24"/>
          <w:szCs w:val="24"/>
        </w:rPr>
      </w:pPr>
      <w:bookmarkStart w:id="4" w:name="_Hlk18485244"/>
      <w:r>
        <w:rPr>
          <w:rFonts w:cs="Arial"/>
          <w:sz w:val="24"/>
          <w:szCs w:val="24"/>
        </w:rPr>
        <w:t xml:space="preserve">Czy planowane przez wspólników spółki jawnej przejęcie przez jednego z nich całości majątku </w:t>
      </w:r>
      <w:r w:rsidR="00323FBC">
        <w:rPr>
          <w:rFonts w:cs="Arial"/>
          <w:sz w:val="24"/>
          <w:szCs w:val="24"/>
        </w:rPr>
        <w:t>s</w:t>
      </w:r>
      <w:r>
        <w:rPr>
          <w:rFonts w:cs="Arial"/>
          <w:sz w:val="24"/>
          <w:szCs w:val="24"/>
        </w:rPr>
        <w:t xml:space="preserve">półki prowadzącej zakład pracy chronionej, w oparciu o art.67 </w:t>
      </w:r>
      <w:r>
        <w:rPr>
          <w:rFonts w:cstheme="minorHAnsi"/>
          <w:sz w:val="24"/>
          <w:szCs w:val="24"/>
        </w:rPr>
        <w:t>§</w:t>
      </w:r>
      <w:r>
        <w:rPr>
          <w:rFonts w:cs="Arial"/>
          <w:sz w:val="24"/>
          <w:szCs w:val="24"/>
        </w:rPr>
        <w:t>1 K</w:t>
      </w:r>
      <w:r w:rsidR="00323FBC">
        <w:rPr>
          <w:rFonts w:cs="Arial"/>
          <w:sz w:val="24"/>
          <w:szCs w:val="24"/>
        </w:rPr>
        <w:t>SH</w:t>
      </w:r>
      <w:r>
        <w:rPr>
          <w:rFonts w:cs="Arial"/>
          <w:sz w:val="24"/>
          <w:szCs w:val="24"/>
        </w:rPr>
        <w:t xml:space="preserve"> w związku z art.66 </w:t>
      </w:r>
      <w:r w:rsidR="00323FBC">
        <w:rPr>
          <w:rFonts w:cs="Arial"/>
          <w:sz w:val="24"/>
          <w:szCs w:val="24"/>
        </w:rPr>
        <w:t>KSH</w:t>
      </w:r>
      <w:r>
        <w:rPr>
          <w:rFonts w:cs="Arial"/>
          <w:sz w:val="24"/>
          <w:szCs w:val="24"/>
        </w:rPr>
        <w:t xml:space="preserve">, skutkujące sukcesją generalną ogółu praw i obowiązków </w:t>
      </w:r>
      <w:r w:rsidR="00323FBC">
        <w:rPr>
          <w:rFonts w:cs="Arial"/>
          <w:sz w:val="24"/>
          <w:szCs w:val="24"/>
        </w:rPr>
        <w:t>s</w:t>
      </w:r>
      <w:r>
        <w:rPr>
          <w:rFonts w:cs="Arial"/>
          <w:sz w:val="24"/>
          <w:szCs w:val="24"/>
        </w:rPr>
        <w:t>półki</w:t>
      </w:r>
      <w:r w:rsidR="00D91F5B">
        <w:rPr>
          <w:rFonts w:cs="Arial"/>
          <w:sz w:val="24"/>
          <w:szCs w:val="24"/>
        </w:rPr>
        <w:t>,</w:t>
      </w:r>
      <w:r>
        <w:rPr>
          <w:rFonts w:cs="Arial"/>
          <w:sz w:val="24"/>
          <w:szCs w:val="24"/>
        </w:rPr>
        <w:t xml:space="preserve"> może być traktowane jako przypadek likwidacji zakładu pracy chronionej, o którym mowa w art.33 ust.7 ustawy </w:t>
      </w:r>
      <w:r w:rsidR="00D27EE4">
        <w:rPr>
          <w:rFonts w:cs="Arial"/>
          <w:sz w:val="24"/>
          <w:szCs w:val="24"/>
        </w:rPr>
        <w:br/>
      </w:r>
      <w:r>
        <w:rPr>
          <w:rFonts w:cs="Arial"/>
          <w:sz w:val="24"/>
          <w:szCs w:val="24"/>
        </w:rPr>
        <w:t>o rehabilitacji</w:t>
      </w:r>
      <w:r w:rsidR="00D91F5B">
        <w:rPr>
          <w:rFonts w:cs="Arial"/>
          <w:sz w:val="24"/>
          <w:szCs w:val="24"/>
        </w:rPr>
        <w:t>,</w:t>
      </w:r>
      <w:r>
        <w:rPr>
          <w:rFonts w:cs="Arial"/>
          <w:sz w:val="24"/>
          <w:szCs w:val="24"/>
        </w:rPr>
        <w:t xml:space="preserve"> skutkujący obowiązkiem wpłaty </w:t>
      </w:r>
      <w:r w:rsidR="00D91F5B">
        <w:rPr>
          <w:rFonts w:cs="Arial"/>
          <w:sz w:val="24"/>
          <w:szCs w:val="24"/>
        </w:rPr>
        <w:t>do</w:t>
      </w:r>
      <w:r>
        <w:rPr>
          <w:rFonts w:cs="Arial"/>
          <w:sz w:val="24"/>
          <w:szCs w:val="24"/>
        </w:rPr>
        <w:t xml:space="preserve"> PFRON niewykorzystanych środków zakładowego funduszu rehabilitacji osób niepełnosprawnych (dalej </w:t>
      </w:r>
      <w:r w:rsidR="00323FBC">
        <w:rPr>
          <w:rFonts w:cs="Arial"/>
          <w:sz w:val="24"/>
          <w:szCs w:val="24"/>
        </w:rPr>
        <w:t xml:space="preserve">również </w:t>
      </w:r>
      <w:r>
        <w:rPr>
          <w:rFonts w:cs="Arial"/>
          <w:sz w:val="24"/>
          <w:szCs w:val="24"/>
        </w:rPr>
        <w:t xml:space="preserve">jako ZFRON) </w:t>
      </w:r>
      <w:r w:rsidR="00323FBC">
        <w:rPr>
          <w:rFonts w:cs="Arial"/>
          <w:sz w:val="24"/>
          <w:szCs w:val="24"/>
        </w:rPr>
        <w:t>s</w:t>
      </w:r>
      <w:r>
        <w:rPr>
          <w:rFonts w:cs="Arial"/>
          <w:sz w:val="24"/>
          <w:szCs w:val="24"/>
        </w:rPr>
        <w:t>półki</w:t>
      </w:r>
      <w:r w:rsidR="00323FBC">
        <w:rPr>
          <w:rFonts w:cs="Arial"/>
          <w:sz w:val="24"/>
          <w:szCs w:val="24"/>
        </w:rPr>
        <w:t xml:space="preserve"> jawnej</w:t>
      </w:r>
      <w:r>
        <w:rPr>
          <w:rFonts w:cs="Arial"/>
          <w:sz w:val="24"/>
          <w:szCs w:val="24"/>
        </w:rPr>
        <w:t xml:space="preserve">?    </w:t>
      </w:r>
    </w:p>
    <w:bookmarkEnd w:id="4"/>
    <w:p w14:paraId="02105CC0" w14:textId="6C7D4F52" w:rsidR="00DC1770" w:rsidRDefault="00DC1770" w:rsidP="00DC1770">
      <w:pPr>
        <w:spacing w:after="0" w:line="360" w:lineRule="auto"/>
        <w:jc w:val="both"/>
        <w:rPr>
          <w:rFonts w:cs="Calibri"/>
          <w:b/>
          <w:color w:val="000000" w:themeColor="text1"/>
          <w:sz w:val="24"/>
          <w:szCs w:val="24"/>
        </w:rPr>
      </w:pPr>
      <w:r w:rsidRPr="002B3597">
        <w:rPr>
          <w:rFonts w:cs="Calibri"/>
          <w:b/>
          <w:color w:val="000000" w:themeColor="text1"/>
          <w:sz w:val="24"/>
          <w:szCs w:val="24"/>
        </w:rPr>
        <w:t>Stanowisko Wnioskodawcy:</w:t>
      </w:r>
    </w:p>
    <w:p w14:paraId="3CAE105B" w14:textId="0DA16F0F" w:rsidR="003A00A5" w:rsidRDefault="003A00A5" w:rsidP="00DC1770">
      <w:pPr>
        <w:spacing w:after="0" w:line="360" w:lineRule="auto"/>
        <w:jc w:val="both"/>
        <w:rPr>
          <w:rFonts w:cs="Calibri"/>
          <w:color w:val="000000" w:themeColor="text1"/>
          <w:sz w:val="24"/>
          <w:szCs w:val="24"/>
        </w:rPr>
      </w:pPr>
      <w:r>
        <w:rPr>
          <w:rFonts w:cs="Calibri"/>
          <w:color w:val="000000" w:themeColor="text1"/>
          <w:sz w:val="24"/>
          <w:szCs w:val="24"/>
        </w:rPr>
        <w:t xml:space="preserve">Zgodnie z art.33 ust.7 ustawy o rehabilitacji w razie likwidacji, upadłości albo wykreślenia </w:t>
      </w:r>
      <w:r w:rsidR="00C873DA">
        <w:rPr>
          <w:rFonts w:cs="Calibri"/>
          <w:color w:val="000000" w:themeColor="text1"/>
          <w:sz w:val="24"/>
          <w:szCs w:val="24"/>
        </w:rPr>
        <w:br/>
        <w:t>z</w:t>
      </w:r>
      <w:r>
        <w:rPr>
          <w:rFonts w:cs="Calibri"/>
          <w:color w:val="000000" w:themeColor="text1"/>
          <w:sz w:val="24"/>
          <w:szCs w:val="24"/>
        </w:rPr>
        <w:t xml:space="preserve"> ewidencji działalności gospodarczej prowadzonego przez pracodawcę zakładu pracy chronionej lub utraty statusu zakładu pracy chronionej niewykorzystane według stanu </w:t>
      </w:r>
      <w:r w:rsidR="00C873DA">
        <w:rPr>
          <w:rFonts w:cs="Calibri"/>
          <w:color w:val="000000" w:themeColor="text1"/>
          <w:sz w:val="24"/>
          <w:szCs w:val="24"/>
        </w:rPr>
        <w:br/>
      </w:r>
      <w:r>
        <w:rPr>
          <w:rFonts w:cs="Calibri"/>
          <w:color w:val="000000" w:themeColor="text1"/>
          <w:sz w:val="24"/>
          <w:szCs w:val="24"/>
        </w:rPr>
        <w:t>na dzień likwidacji, upadłości lub utraty statusu zakładu pracy chronionej środki ZFRON podlegają niezwłocznej wpłacie do PFRON, z zastrzeżeniem ust.7a i 7b.</w:t>
      </w:r>
    </w:p>
    <w:p w14:paraId="03875CDB" w14:textId="453407F5" w:rsidR="00D91F5B" w:rsidRDefault="00D91F5B" w:rsidP="00DC1770">
      <w:pPr>
        <w:spacing w:after="0" w:line="360" w:lineRule="auto"/>
        <w:jc w:val="both"/>
        <w:rPr>
          <w:rFonts w:cs="Calibri"/>
          <w:color w:val="000000" w:themeColor="text1"/>
          <w:sz w:val="24"/>
          <w:szCs w:val="24"/>
        </w:rPr>
      </w:pPr>
      <w:r>
        <w:rPr>
          <w:rFonts w:cs="Calibri"/>
          <w:color w:val="000000" w:themeColor="text1"/>
          <w:sz w:val="24"/>
          <w:szCs w:val="24"/>
        </w:rPr>
        <w:t>Przedstawiony przez Wnioskodawcę sposób zakończenia działalności spółki jawnej prowadzącej zakład pracy chronionej, tj. przej</w:t>
      </w:r>
      <w:r w:rsidR="00F3171F">
        <w:rPr>
          <w:rFonts w:cs="Calibri"/>
          <w:color w:val="000000" w:themeColor="text1"/>
          <w:sz w:val="24"/>
          <w:szCs w:val="24"/>
        </w:rPr>
        <w:t>ę</w:t>
      </w:r>
      <w:r>
        <w:rPr>
          <w:rFonts w:cs="Calibri"/>
          <w:color w:val="000000" w:themeColor="text1"/>
          <w:sz w:val="24"/>
          <w:szCs w:val="24"/>
        </w:rPr>
        <w:t xml:space="preserve">cie całości majątku przez jednego </w:t>
      </w:r>
      <w:r w:rsidR="00D27EE4">
        <w:rPr>
          <w:rFonts w:cs="Calibri"/>
          <w:color w:val="000000" w:themeColor="text1"/>
          <w:sz w:val="24"/>
          <w:szCs w:val="24"/>
        </w:rPr>
        <w:br/>
      </w:r>
      <w:r>
        <w:rPr>
          <w:rFonts w:cs="Calibri"/>
          <w:color w:val="000000" w:themeColor="text1"/>
          <w:sz w:val="24"/>
          <w:szCs w:val="24"/>
        </w:rPr>
        <w:t>ze wspólników, prowadzić będzie do jej likwidacji i wykreślenia z rejestru przedsiębiorców Krajowego Rejestru Sądowego.</w:t>
      </w:r>
    </w:p>
    <w:p w14:paraId="13E4DF51" w14:textId="64468F21" w:rsidR="00D91F5B" w:rsidRDefault="00D91F5B" w:rsidP="00DC1770">
      <w:pPr>
        <w:spacing w:after="0" w:line="360" w:lineRule="auto"/>
        <w:jc w:val="both"/>
        <w:rPr>
          <w:rFonts w:cs="Calibri"/>
          <w:color w:val="000000" w:themeColor="text1"/>
          <w:sz w:val="24"/>
          <w:szCs w:val="24"/>
        </w:rPr>
      </w:pPr>
      <w:r>
        <w:rPr>
          <w:rFonts w:cs="Calibri"/>
          <w:color w:val="000000" w:themeColor="text1"/>
          <w:sz w:val="24"/>
          <w:szCs w:val="24"/>
        </w:rPr>
        <w:t xml:space="preserve"> W ocenie Wnioskodawcy, pomimo tego nie powstanie obowiązek wpłaty do </w:t>
      </w:r>
      <w:r w:rsidR="00BD513F">
        <w:rPr>
          <w:rFonts w:cs="Calibri"/>
          <w:color w:val="000000" w:themeColor="text1"/>
          <w:sz w:val="24"/>
          <w:szCs w:val="24"/>
        </w:rPr>
        <w:t>PFRON środków zg</w:t>
      </w:r>
      <w:r w:rsidR="00B3096B">
        <w:rPr>
          <w:rFonts w:cs="Calibri"/>
          <w:color w:val="000000" w:themeColor="text1"/>
          <w:sz w:val="24"/>
          <w:szCs w:val="24"/>
        </w:rPr>
        <w:t>roma</w:t>
      </w:r>
      <w:r w:rsidR="00BD513F">
        <w:rPr>
          <w:rFonts w:cs="Calibri"/>
          <w:color w:val="000000" w:themeColor="text1"/>
          <w:sz w:val="24"/>
          <w:szCs w:val="24"/>
        </w:rPr>
        <w:t>dzonych na ZFRON</w:t>
      </w:r>
      <w:r w:rsidR="005A380D">
        <w:rPr>
          <w:rFonts w:cs="Calibri"/>
          <w:color w:val="000000" w:themeColor="text1"/>
          <w:sz w:val="24"/>
          <w:szCs w:val="24"/>
        </w:rPr>
        <w:t>.</w:t>
      </w:r>
      <w:r w:rsidR="00BD513F">
        <w:rPr>
          <w:rFonts w:cs="Calibri"/>
          <w:color w:val="000000" w:themeColor="text1"/>
          <w:sz w:val="24"/>
          <w:szCs w:val="24"/>
        </w:rPr>
        <w:t xml:space="preserve"> Z uwagi bowiem na to, </w:t>
      </w:r>
      <w:r w:rsidR="00A82025">
        <w:rPr>
          <w:rFonts w:cs="Calibri"/>
          <w:color w:val="000000" w:themeColor="text1"/>
          <w:sz w:val="24"/>
          <w:szCs w:val="24"/>
        </w:rPr>
        <w:t xml:space="preserve">iż działalność prowadzona przez </w:t>
      </w:r>
      <w:r w:rsidR="005A380D">
        <w:rPr>
          <w:rFonts w:cs="Calibri"/>
          <w:color w:val="000000" w:themeColor="text1"/>
          <w:sz w:val="24"/>
          <w:szCs w:val="24"/>
        </w:rPr>
        <w:t xml:space="preserve">Wnioskodawcę </w:t>
      </w:r>
      <w:r w:rsidR="00A82025">
        <w:rPr>
          <w:rFonts w:cs="Calibri"/>
          <w:color w:val="000000" w:themeColor="text1"/>
          <w:sz w:val="24"/>
          <w:szCs w:val="24"/>
        </w:rPr>
        <w:t xml:space="preserve">będzie kontynuowana przez wspólnika, który będzie jej sukcesorem generalnym, status zakładu pracy chronionej przysługujący </w:t>
      </w:r>
      <w:r w:rsidR="005A380D">
        <w:rPr>
          <w:rFonts w:cs="Calibri"/>
          <w:color w:val="000000" w:themeColor="text1"/>
          <w:sz w:val="24"/>
          <w:szCs w:val="24"/>
        </w:rPr>
        <w:t xml:space="preserve">Wnioskodawcy </w:t>
      </w:r>
      <w:r w:rsidR="00A82025">
        <w:rPr>
          <w:rFonts w:cs="Calibri"/>
          <w:color w:val="000000" w:themeColor="text1"/>
          <w:sz w:val="24"/>
          <w:szCs w:val="24"/>
        </w:rPr>
        <w:t>zostanie utrzymany.</w:t>
      </w:r>
      <w:r w:rsidR="00F3171F">
        <w:rPr>
          <w:rFonts w:cs="Calibri"/>
          <w:color w:val="000000" w:themeColor="text1"/>
          <w:sz w:val="24"/>
          <w:szCs w:val="24"/>
        </w:rPr>
        <w:t xml:space="preserve"> Tym samym wspólnik przejmujący przejmie status pracodawcy prowadzącego zakład pracy chronionej, bez konieczności uzyskania nowej, konstytutywnej decyzji w tym przedmiocie. Oznacza to, że nie będzie on zobowiązany do wpłaty na </w:t>
      </w:r>
      <w:r w:rsidR="00F30CE1">
        <w:rPr>
          <w:rFonts w:cs="Calibri"/>
          <w:color w:val="000000" w:themeColor="text1"/>
          <w:sz w:val="24"/>
          <w:szCs w:val="24"/>
        </w:rPr>
        <w:t>P</w:t>
      </w:r>
      <w:r w:rsidR="00F3171F">
        <w:rPr>
          <w:rFonts w:cs="Calibri"/>
          <w:color w:val="000000" w:themeColor="text1"/>
          <w:sz w:val="24"/>
          <w:szCs w:val="24"/>
        </w:rPr>
        <w:t xml:space="preserve">FRON środków ZFRON </w:t>
      </w:r>
      <w:r w:rsidR="005A380D">
        <w:rPr>
          <w:rFonts w:cs="Calibri"/>
          <w:color w:val="000000" w:themeColor="text1"/>
          <w:sz w:val="24"/>
          <w:szCs w:val="24"/>
        </w:rPr>
        <w:t>Wnioskodawcy</w:t>
      </w:r>
      <w:r w:rsidR="00D473E0">
        <w:rPr>
          <w:rFonts w:cs="Calibri"/>
          <w:color w:val="000000" w:themeColor="text1"/>
          <w:sz w:val="24"/>
          <w:szCs w:val="24"/>
        </w:rPr>
        <w:t>.</w:t>
      </w:r>
      <w:r w:rsidR="00F3171F">
        <w:rPr>
          <w:rFonts w:cs="Calibri"/>
          <w:color w:val="000000" w:themeColor="text1"/>
          <w:sz w:val="24"/>
          <w:szCs w:val="24"/>
        </w:rPr>
        <w:t xml:space="preserve"> </w:t>
      </w:r>
      <w:r w:rsidR="00A82025">
        <w:rPr>
          <w:rFonts w:cs="Calibri"/>
          <w:color w:val="000000" w:themeColor="text1"/>
          <w:sz w:val="24"/>
          <w:szCs w:val="24"/>
        </w:rPr>
        <w:t xml:space="preserve"> </w:t>
      </w:r>
      <w:r w:rsidR="00BD513F">
        <w:rPr>
          <w:rFonts w:cs="Calibri"/>
          <w:color w:val="000000" w:themeColor="text1"/>
          <w:sz w:val="24"/>
          <w:szCs w:val="24"/>
        </w:rPr>
        <w:t xml:space="preserve"> </w:t>
      </w:r>
    </w:p>
    <w:p w14:paraId="2FB7C55F" w14:textId="267CFCD9" w:rsidR="00807924" w:rsidRDefault="006005B4" w:rsidP="00DC1770">
      <w:pPr>
        <w:spacing w:after="0" w:line="360" w:lineRule="auto"/>
        <w:jc w:val="both"/>
        <w:rPr>
          <w:rFonts w:cs="Calibri"/>
          <w:color w:val="000000" w:themeColor="text1"/>
          <w:sz w:val="24"/>
          <w:szCs w:val="24"/>
        </w:rPr>
      </w:pPr>
      <w:r>
        <w:rPr>
          <w:rFonts w:cs="Calibri"/>
          <w:color w:val="000000" w:themeColor="text1"/>
          <w:sz w:val="24"/>
          <w:szCs w:val="24"/>
        </w:rPr>
        <w:t xml:space="preserve">Stosownie do art.67 </w:t>
      </w:r>
      <w:r w:rsidR="00670483">
        <w:rPr>
          <w:rFonts w:cs="Calibri"/>
          <w:color w:val="000000" w:themeColor="text1"/>
          <w:sz w:val="24"/>
          <w:szCs w:val="24"/>
        </w:rPr>
        <w:t>KSH</w:t>
      </w:r>
      <w:r>
        <w:rPr>
          <w:rFonts w:cs="Calibri"/>
          <w:color w:val="000000" w:themeColor="text1"/>
          <w:sz w:val="24"/>
          <w:szCs w:val="24"/>
        </w:rPr>
        <w:t xml:space="preserve"> w przypadkach określonych w art.58 </w:t>
      </w:r>
      <w:r>
        <w:rPr>
          <w:rFonts w:cstheme="minorHAnsi"/>
          <w:color w:val="000000" w:themeColor="text1"/>
          <w:sz w:val="24"/>
          <w:szCs w:val="24"/>
        </w:rPr>
        <w:t>§</w:t>
      </w:r>
      <w:r>
        <w:rPr>
          <w:rFonts w:cs="Calibri"/>
          <w:color w:val="000000" w:themeColor="text1"/>
          <w:sz w:val="24"/>
          <w:szCs w:val="24"/>
        </w:rPr>
        <w:t xml:space="preserve">1 </w:t>
      </w:r>
      <w:r w:rsidR="00670483">
        <w:rPr>
          <w:rFonts w:cs="Calibri"/>
          <w:color w:val="000000" w:themeColor="text1"/>
          <w:sz w:val="24"/>
          <w:szCs w:val="24"/>
        </w:rPr>
        <w:t>KSH</w:t>
      </w:r>
      <w:r>
        <w:rPr>
          <w:rFonts w:cs="Calibri"/>
          <w:color w:val="000000" w:themeColor="text1"/>
          <w:sz w:val="24"/>
          <w:szCs w:val="24"/>
        </w:rPr>
        <w:t xml:space="preserve"> należy przeprowadzić likwidację, zgodną z przepisami art.67-85 </w:t>
      </w:r>
      <w:r w:rsidR="00670483">
        <w:rPr>
          <w:rFonts w:cs="Calibri"/>
          <w:color w:val="000000" w:themeColor="text1"/>
          <w:sz w:val="24"/>
          <w:szCs w:val="24"/>
        </w:rPr>
        <w:t>KSH</w:t>
      </w:r>
      <w:r>
        <w:rPr>
          <w:rFonts w:cs="Calibri"/>
          <w:color w:val="000000" w:themeColor="text1"/>
          <w:sz w:val="24"/>
          <w:szCs w:val="24"/>
        </w:rPr>
        <w:t xml:space="preserve">, chyba </w:t>
      </w:r>
      <w:r w:rsidR="00B3096B">
        <w:rPr>
          <w:rFonts w:cs="Calibri"/>
          <w:color w:val="000000" w:themeColor="text1"/>
          <w:sz w:val="24"/>
          <w:szCs w:val="24"/>
        </w:rPr>
        <w:t>ż</w:t>
      </w:r>
      <w:r>
        <w:rPr>
          <w:rFonts w:cs="Calibri"/>
          <w:color w:val="000000" w:themeColor="text1"/>
          <w:sz w:val="24"/>
          <w:szCs w:val="24"/>
        </w:rPr>
        <w:t xml:space="preserve">e wspólnicy uzgodnili inny sposób zakończenia działalności spółki. </w:t>
      </w:r>
      <w:r w:rsidR="00FC4C5A">
        <w:rPr>
          <w:rFonts w:cs="Calibri"/>
          <w:color w:val="000000" w:themeColor="text1"/>
          <w:sz w:val="24"/>
          <w:szCs w:val="24"/>
        </w:rPr>
        <w:t>U</w:t>
      </w:r>
      <w:r>
        <w:rPr>
          <w:rFonts w:cs="Calibri"/>
          <w:color w:val="000000" w:themeColor="text1"/>
          <w:sz w:val="24"/>
          <w:szCs w:val="24"/>
        </w:rPr>
        <w:t>stawodawca dopuszcza</w:t>
      </w:r>
      <w:r w:rsidR="00F30CE1">
        <w:rPr>
          <w:rFonts w:cs="Calibri"/>
          <w:color w:val="000000" w:themeColor="text1"/>
          <w:sz w:val="24"/>
          <w:szCs w:val="24"/>
        </w:rPr>
        <w:t xml:space="preserve"> </w:t>
      </w:r>
      <w:r w:rsidR="00FC4C5A">
        <w:rPr>
          <w:rFonts w:cs="Calibri"/>
          <w:color w:val="000000" w:themeColor="text1"/>
          <w:sz w:val="24"/>
          <w:szCs w:val="24"/>
        </w:rPr>
        <w:t xml:space="preserve">zatem </w:t>
      </w:r>
      <w:r w:rsidR="00F30CE1">
        <w:rPr>
          <w:rFonts w:cs="Calibri"/>
          <w:color w:val="000000" w:themeColor="text1"/>
          <w:sz w:val="24"/>
          <w:szCs w:val="24"/>
        </w:rPr>
        <w:t xml:space="preserve">odstąpienie, </w:t>
      </w:r>
      <w:r w:rsidR="00D27EE4">
        <w:rPr>
          <w:rFonts w:cs="Calibri"/>
          <w:color w:val="000000" w:themeColor="text1"/>
          <w:sz w:val="24"/>
          <w:szCs w:val="24"/>
        </w:rPr>
        <w:br/>
      </w:r>
      <w:r w:rsidR="00F30CE1">
        <w:rPr>
          <w:rFonts w:cs="Calibri"/>
          <w:color w:val="000000" w:themeColor="text1"/>
          <w:sz w:val="24"/>
          <w:szCs w:val="24"/>
        </w:rPr>
        <w:t>za porozumieniem wspólników, od przeprowadzenia postępowania likwidacyjnego regulowanego przez Kodeks spółek handlowych. Inny sposób zakończenia działalności spółki</w:t>
      </w:r>
      <w:r w:rsidR="00FC4C5A">
        <w:rPr>
          <w:rFonts w:cs="Calibri"/>
          <w:color w:val="000000" w:themeColor="text1"/>
          <w:sz w:val="24"/>
          <w:szCs w:val="24"/>
        </w:rPr>
        <w:t xml:space="preserve"> jawnej</w:t>
      </w:r>
      <w:r w:rsidR="00F30CE1">
        <w:rPr>
          <w:rFonts w:cs="Calibri"/>
          <w:color w:val="000000" w:themeColor="text1"/>
          <w:sz w:val="24"/>
          <w:szCs w:val="24"/>
        </w:rPr>
        <w:t xml:space="preserve"> może polegać na przeniesieniu całości </w:t>
      </w:r>
      <w:r w:rsidR="00FC4C5A">
        <w:rPr>
          <w:rFonts w:cs="Calibri"/>
          <w:color w:val="000000" w:themeColor="text1"/>
          <w:sz w:val="24"/>
          <w:szCs w:val="24"/>
        </w:rPr>
        <w:t>jej m</w:t>
      </w:r>
      <w:r w:rsidR="00F30CE1">
        <w:rPr>
          <w:rFonts w:cs="Calibri"/>
          <w:color w:val="000000" w:themeColor="text1"/>
          <w:sz w:val="24"/>
          <w:szCs w:val="24"/>
        </w:rPr>
        <w:t>ajątku, a także ogółu</w:t>
      </w:r>
      <w:r w:rsidR="001235F7">
        <w:rPr>
          <w:rFonts w:cs="Calibri"/>
          <w:color w:val="000000" w:themeColor="text1"/>
          <w:sz w:val="24"/>
          <w:szCs w:val="24"/>
        </w:rPr>
        <w:t xml:space="preserve"> jej praw i obowiązków, na jednego ze wspólników, ze stosowną spłatą na rzecz pozostałych wspólników. Na mocy zgodnego porozumienia wspólników dochodzi wtedy do </w:t>
      </w:r>
      <w:r w:rsidR="00807924">
        <w:rPr>
          <w:rFonts w:cs="Calibri"/>
          <w:color w:val="000000" w:themeColor="text1"/>
          <w:sz w:val="24"/>
          <w:szCs w:val="24"/>
        </w:rPr>
        <w:t xml:space="preserve">osiągnięcia skutku tożsamego z tym, jaki zachodzi w sytuacji przewidzianej w art.66 </w:t>
      </w:r>
      <w:r w:rsidR="00670483">
        <w:rPr>
          <w:rFonts w:cs="Calibri"/>
          <w:color w:val="000000" w:themeColor="text1"/>
          <w:sz w:val="24"/>
          <w:szCs w:val="24"/>
        </w:rPr>
        <w:t>KSH</w:t>
      </w:r>
      <w:r w:rsidR="00807924">
        <w:rPr>
          <w:rFonts w:cs="Calibri"/>
          <w:color w:val="000000" w:themeColor="text1"/>
          <w:sz w:val="24"/>
          <w:szCs w:val="24"/>
        </w:rPr>
        <w:t xml:space="preserve">, który umożliwia wspólnikowi </w:t>
      </w:r>
      <w:r w:rsidR="00D27EE4">
        <w:rPr>
          <w:rFonts w:cs="Calibri"/>
          <w:color w:val="000000" w:themeColor="text1"/>
          <w:sz w:val="24"/>
          <w:szCs w:val="24"/>
        </w:rPr>
        <w:t>dwu</w:t>
      </w:r>
      <w:r w:rsidR="00807924">
        <w:rPr>
          <w:rFonts w:cs="Calibri"/>
          <w:color w:val="000000" w:themeColor="text1"/>
          <w:sz w:val="24"/>
          <w:szCs w:val="24"/>
        </w:rPr>
        <w:t>osobowej spółki jawnej wytoczenie powództwa o przyznanie mu prawa</w:t>
      </w:r>
      <w:r w:rsidR="00F30CE1">
        <w:rPr>
          <w:rFonts w:cs="Calibri"/>
          <w:color w:val="000000" w:themeColor="text1"/>
          <w:sz w:val="24"/>
          <w:szCs w:val="24"/>
        </w:rPr>
        <w:t xml:space="preserve"> </w:t>
      </w:r>
      <w:r w:rsidR="00807924">
        <w:rPr>
          <w:rFonts w:cs="Calibri"/>
          <w:color w:val="000000" w:themeColor="text1"/>
          <w:sz w:val="24"/>
          <w:szCs w:val="24"/>
        </w:rPr>
        <w:t>do przejęcia jej całego majątku, z rozliczeniem się z występującym wspólnikiem.</w:t>
      </w:r>
    </w:p>
    <w:p w14:paraId="42772A10" w14:textId="00E98417" w:rsidR="00FC4C5A" w:rsidRDefault="00FC4C5A" w:rsidP="00DC1770">
      <w:pPr>
        <w:spacing w:after="0" w:line="360" w:lineRule="auto"/>
        <w:jc w:val="both"/>
        <w:rPr>
          <w:rFonts w:cs="Calibri"/>
          <w:i/>
          <w:iCs/>
          <w:color w:val="000000" w:themeColor="text1"/>
          <w:sz w:val="24"/>
          <w:szCs w:val="24"/>
        </w:rPr>
      </w:pPr>
      <w:r>
        <w:rPr>
          <w:rFonts w:cs="Calibri"/>
          <w:color w:val="000000" w:themeColor="text1"/>
          <w:sz w:val="24"/>
          <w:szCs w:val="24"/>
        </w:rPr>
        <w:t xml:space="preserve">W orzecznictwie i literaturze dotyczącej art.66 </w:t>
      </w:r>
      <w:r w:rsidR="00670483">
        <w:rPr>
          <w:rFonts w:cs="Calibri"/>
          <w:color w:val="000000" w:themeColor="text1"/>
          <w:sz w:val="24"/>
          <w:szCs w:val="24"/>
        </w:rPr>
        <w:t>KSH</w:t>
      </w:r>
      <w:r>
        <w:rPr>
          <w:rFonts w:cs="Calibri"/>
          <w:color w:val="000000" w:themeColor="text1"/>
          <w:sz w:val="24"/>
          <w:szCs w:val="24"/>
        </w:rPr>
        <w:t xml:space="preserve"> powszechnie przyjmuje się, że instytucja przejęcia przez jednego ze wspólników całego majątku </w:t>
      </w:r>
      <w:r w:rsidR="00D27EE4">
        <w:rPr>
          <w:rFonts w:cs="Calibri"/>
          <w:color w:val="000000" w:themeColor="text1"/>
          <w:sz w:val="24"/>
          <w:szCs w:val="24"/>
        </w:rPr>
        <w:t>dwu</w:t>
      </w:r>
      <w:r>
        <w:rPr>
          <w:rFonts w:cs="Calibri"/>
          <w:color w:val="000000" w:themeColor="text1"/>
          <w:sz w:val="24"/>
          <w:szCs w:val="24"/>
        </w:rPr>
        <w:t xml:space="preserve">osobowej spółki osobowej, stanowi swoiste przekształcenie spółki osobowej w jednoosobowego przedsiębiorcę. </w:t>
      </w:r>
      <w:r w:rsidR="00D27EE4">
        <w:rPr>
          <w:rFonts w:cs="Calibri"/>
          <w:color w:val="000000" w:themeColor="text1"/>
          <w:sz w:val="24"/>
          <w:szCs w:val="24"/>
        </w:rPr>
        <w:br/>
      </w:r>
      <w:r>
        <w:rPr>
          <w:rFonts w:cs="Calibri"/>
          <w:color w:val="000000" w:themeColor="text1"/>
          <w:sz w:val="24"/>
          <w:szCs w:val="24"/>
        </w:rPr>
        <w:t xml:space="preserve">W konsekwencji, jest jednym z przewidzianych w Kodeksie spółek handlowych, przypadków przekształcenia podmiotowego spółki handlowej, skutkującego sukcesja generalną. </w:t>
      </w:r>
      <w:r w:rsidR="00D27EE4">
        <w:rPr>
          <w:rFonts w:cs="Calibri"/>
          <w:color w:val="000000" w:themeColor="text1"/>
          <w:sz w:val="24"/>
          <w:szCs w:val="24"/>
        </w:rPr>
        <w:br/>
      </w:r>
      <w:r>
        <w:rPr>
          <w:rFonts w:cs="Calibri"/>
          <w:color w:val="000000" w:themeColor="text1"/>
          <w:sz w:val="24"/>
          <w:szCs w:val="24"/>
        </w:rPr>
        <w:t xml:space="preserve">Jak wskazał Sąd Najwyższy w wyroku z postanowieniu z dnia 19 grudnia 2007 r. </w:t>
      </w:r>
      <w:r w:rsidR="003E636D">
        <w:rPr>
          <w:rFonts w:cs="Calibri"/>
          <w:color w:val="000000" w:themeColor="text1"/>
          <w:sz w:val="24"/>
          <w:szCs w:val="24"/>
        </w:rPr>
        <w:t>(</w:t>
      </w:r>
      <w:r>
        <w:rPr>
          <w:rFonts w:cs="Calibri"/>
          <w:color w:val="000000" w:themeColor="text1"/>
          <w:sz w:val="24"/>
          <w:szCs w:val="24"/>
        </w:rPr>
        <w:t>V CSK 343/07</w:t>
      </w:r>
      <w:r w:rsidR="003E636D">
        <w:rPr>
          <w:rFonts w:cs="Calibri"/>
          <w:color w:val="000000" w:themeColor="text1"/>
          <w:sz w:val="24"/>
          <w:szCs w:val="24"/>
        </w:rPr>
        <w:t>)</w:t>
      </w:r>
      <w:r>
        <w:rPr>
          <w:rFonts w:cs="Calibri"/>
          <w:color w:val="000000" w:themeColor="text1"/>
          <w:sz w:val="24"/>
          <w:szCs w:val="24"/>
        </w:rPr>
        <w:t xml:space="preserve"> </w:t>
      </w:r>
      <w:r w:rsidRPr="00FC4C5A">
        <w:rPr>
          <w:rFonts w:cs="Calibri"/>
          <w:i/>
          <w:iCs/>
          <w:color w:val="000000" w:themeColor="text1"/>
          <w:sz w:val="24"/>
          <w:szCs w:val="24"/>
        </w:rPr>
        <w:t>„(…) Wspólnik spółki komandytowe</w:t>
      </w:r>
      <w:r>
        <w:rPr>
          <w:rFonts w:cs="Calibri"/>
          <w:i/>
          <w:iCs/>
          <w:color w:val="000000" w:themeColor="text1"/>
          <w:sz w:val="24"/>
          <w:szCs w:val="24"/>
        </w:rPr>
        <w:t>j</w:t>
      </w:r>
      <w:r w:rsidRPr="00FC4C5A">
        <w:rPr>
          <w:rFonts w:cs="Calibri"/>
          <w:i/>
          <w:iCs/>
          <w:color w:val="000000" w:themeColor="text1"/>
          <w:sz w:val="24"/>
          <w:szCs w:val="24"/>
        </w:rPr>
        <w:t>, któremu sąd przyznał prawo do przejęcia majątku spółki (art.66 w zw. z art.103</w:t>
      </w:r>
      <w:r w:rsidR="00670483">
        <w:rPr>
          <w:rFonts w:cs="Calibri"/>
          <w:i/>
          <w:iCs/>
          <w:color w:val="000000" w:themeColor="text1"/>
          <w:sz w:val="24"/>
          <w:szCs w:val="24"/>
        </w:rPr>
        <w:t xml:space="preserve"> </w:t>
      </w:r>
      <w:r w:rsidR="003E636D">
        <w:rPr>
          <w:rFonts w:cs="Calibri"/>
          <w:i/>
          <w:iCs/>
          <w:color w:val="000000" w:themeColor="text1"/>
          <w:sz w:val="24"/>
          <w:szCs w:val="24"/>
        </w:rPr>
        <w:t>KSH</w:t>
      </w:r>
      <w:r w:rsidRPr="00FC4C5A">
        <w:rPr>
          <w:rFonts w:cs="Calibri"/>
          <w:i/>
          <w:iCs/>
          <w:color w:val="000000" w:themeColor="text1"/>
          <w:sz w:val="24"/>
          <w:szCs w:val="24"/>
        </w:rPr>
        <w:t>) wstępuje do sprawy w miejsce wykreślonej z rejestru spółki jako jej ogólny następca prawny (…)”</w:t>
      </w:r>
      <w:r>
        <w:rPr>
          <w:rFonts w:cs="Calibri"/>
          <w:i/>
          <w:iCs/>
          <w:color w:val="000000" w:themeColor="text1"/>
          <w:sz w:val="24"/>
          <w:szCs w:val="24"/>
        </w:rPr>
        <w:t>.</w:t>
      </w:r>
    </w:p>
    <w:p w14:paraId="367A0E37" w14:textId="05363E4A" w:rsidR="00807924" w:rsidRDefault="00FC4C5A" w:rsidP="00DC1770">
      <w:pPr>
        <w:spacing w:after="0" w:line="360" w:lineRule="auto"/>
        <w:jc w:val="both"/>
        <w:rPr>
          <w:rFonts w:cs="Calibri"/>
          <w:color w:val="000000" w:themeColor="text1"/>
          <w:sz w:val="24"/>
          <w:szCs w:val="24"/>
        </w:rPr>
      </w:pPr>
      <w:r>
        <w:rPr>
          <w:rFonts w:cs="Calibri"/>
          <w:color w:val="000000" w:themeColor="text1"/>
          <w:sz w:val="24"/>
          <w:szCs w:val="24"/>
        </w:rPr>
        <w:t xml:space="preserve">Przejęcie majątku w rozumienie art.66 </w:t>
      </w:r>
      <w:r w:rsidR="00670483">
        <w:rPr>
          <w:rFonts w:cs="Calibri"/>
          <w:color w:val="000000" w:themeColor="text1"/>
          <w:sz w:val="24"/>
          <w:szCs w:val="24"/>
        </w:rPr>
        <w:t>KSH</w:t>
      </w:r>
      <w:r>
        <w:rPr>
          <w:rFonts w:cs="Calibri"/>
          <w:color w:val="000000" w:themeColor="text1"/>
          <w:sz w:val="24"/>
          <w:szCs w:val="24"/>
        </w:rPr>
        <w:t xml:space="preserve"> ma prowadzi</w:t>
      </w:r>
      <w:r w:rsidR="00152B6A">
        <w:rPr>
          <w:rFonts w:cs="Calibri"/>
          <w:color w:val="000000" w:themeColor="text1"/>
          <w:sz w:val="24"/>
          <w:szCs w:val="24"/>
        </w:rPr>
        <w:t>ć</w:t>
      </w:r>
      <w:r>
        <w:rPr>
          <w:rFonts w:cs="Calibri"/>
          <w:color w:val="000000" w:themeColor="text1"/>
          <w:sz w:val="24"/>
          <w:szCs w:val="24"/>
        </w:rPr>
        <w:t xml:space="preserve"> do takiego przej</w:t>
      </w:r>
      <w:r w:rsidR="00152B6A">
        <w:rPr>
          <w:rFonts w:cs="Calibri"/>
          <w:color w:val="000000" w:themeColor="text1"/>
          <w:sz w:val="24"/>
          <w:szCs w:val="24"/>
        </w:rPr>
        <w:t>ę</w:t>
      </w:r>
      <w:r>
        <w:rPr>
          <w:rFonts w:cs="Calibri"/>
          <w:color w:val="000000" w:themeColor="text1"/>
          <w:sz w:val="24"/>
          <w:szCs w:val="24"/>
        </w:rPr>
        <w:t>cia przedsiębiorstwa spółki, aby jego działalność pozostała nieprzerwana, niezakł</w:t>
      </w:r>
      <w:r w:rsidR="00152B6A">
        <w:rPr>
          <w:rFonts w:cs="Calibri"/>
          <w:color w:val="000000" w:themeColor="text1"/>
          <w:sz w:val="24"/>
          <w:szCs w:val="24"/>
        </w:rPr>
        <w:t>ó</w:t>
      </w:r>
      <w:r>
        <w:rPr>
          <w:rFonts w:cs="Calibri"/>
          <w:color w:val="000000" w:themeColor="text1"/>
          <w:sz w:val="24"/>
          <w:szCs w:val="24"/>
        </w:rPr>
        <w:t>cona z punktu widzenia przede wszystkim uczestników obrotu, w tym kontrahentów dotychczasowej spółki oraz by wystąpiła kontynuacja praw i obowiązków</w:t>
      </w:r>
      <w:r w:rsidR="00152B6A">
        <w:rPr>
          <w:rFonts w:cs="Calibri"/>
          <w:color w:val="000000" w:themeColor="text1"/>
          <w:sz w:val="24"/>
          <w:szCs w:val="24"/>
        </w:rPr>
        <w:t xml:space="preserve"> w sferze stosunków cywilnoprawnych, administracyjnych i pracowniczych. Za ratio legis normy zawartej w art.66 K</w:t>
      </w:r>
      <w:r w:rsidR="00670483">
        <w:rPr>
          <w:rFonts w:cs="Calibri"/>
          <w:color w:val="000000" w:themeColor="text1"/>
          <w:sz w:val="24"/>
          <w:szCs w:val="24"/>
        </w:rPr>
        <w:t>SH</w:t>
      </w:r>
      <w:r w:rsidR="00152B6A">
        <w:rPr>
          <w:rFonts w:cs="Calibri"/>
          <w:color w:val="000000" w:themeColor="text1"/>
          <w:sz w:val="24"/>
          <w:szCs w:val="24"/>
        </w:rPr>
        <w:t xml:space="preserve"> uznaje się właśnie gł</w:t>
      </w:r>
      <w:r w:rsidR="00670483">
        <w:rPr>
          <w:rFonts w:cs="Calibri"/>
          <w:color w:val="000000" w:themeColor="text1"/>
          <w:sz w:val="24"/>
          <w:szCs w:val="24"/>
        </w:rPr>
        <w:t>ó</w:t>
      </w:r>
      <w:r w:rsidR="00152B6A">
        <w:rPr>
          <w:rFonts w:cs="Calibri"/>
          <w:color w:val="000000" w:themeColor="text1"/>
          <w:sz w:val="24"/>
          <w:szCs w:val="24"/>
        </w:rPr>
        <w:t xml:space="preserve">wnie utrzymanie przedsiębiorstwa, jego kontaktów i powiazań gospodarczych oraz utrzymanie zatrudnienia.   </w:t>
      </w:r>
      <w:r>
        <w:rPr>
          <w:rFonts w:cs="Calibri"/>
          <w:color w:val="000000" w:themeColor="text1"/>
          <w:sz w:val="24"/>
          <w:szCs w:val="24"/>
        </w:rPr>
        <w:t xml:space="preserve">      </w:t>
      </w:r>
    </w:p>
    <w:p w14:paraId="1BF5FD17" w14:textId="5412C855" w:rsidR="00D91F5B" w:rsidRDefault="00A82025" w:rsidP="00DC1770">
      <w:pPr>
        <w:spacing w:after="0" w:line="360" w:lineRule="auto"/>
        <w:jc w:val="both"/>
        <w:rPr>
          <w:rFonts w:cs="Calibri"/>
          <w:color w:val="000000" w:themeColor="text1"/>
          <w:sz w:val="24"/>
          <w:szCs w:val="24"/>
        </w:rPr>
      </w:pPr>
      <w:r>
        <w:rPr>
          <w:rFonts w:cs="Calibri"/>
          <w:color w:val="000000" w:themeColor="text1"/>
          <w:sz w:val="24"/>
          <w:szCs w:val="24"/>
        </w:rPr>
        <w:t xml:space="preserve">Zdaniem Wnioskodawcy wspólnik przejmujący prawa i obowiązki </w:t>
      </w:r>
      <w:r w:rsidR="00807924">
        <w:rPr>
          <w:rFonts w:cs="Calibri"/>
          <w:color w:val="000000" w:themeColor="text1"/>
          <w:sz w:val="24"/>
          <w:szCs w:val="24"/>
        </w:rPr>
        <w:t>s</w:t>
      </w:r>
      <w:r>
        <w:rPr>
          <w:rFonts w:cs="Calibri"/>
          <w:color w:val="000000" w:themeColor="text1"/>
          <w:sz w:val="24"/>
          <w:szCs w:val="24"/>
        </w:rPr>
        <w:t>półki</w:t>
      </w:r>
      <w:r w:rsidR="00670483">
        <w:rPr>
          <w:rFonts w:cs="Calibri"/>
          <w:color w:val="000000" w:themeColor="text1"/>
          <w:sz w:val="24"/>
          <w:szCs w:val="24"/>
        </w:rPr>
        <w:t xml:space="preserve"> jawnej</w:t>
      </w:r>
      <w:r>
        <w:rPr>
          <w:rFonts w:cs="Calibri"/>
          <w:color w:val="000000" w:themeColor="text1"/>
          <w:sz w:val="24"/>
          <w:szCs w:val="24"/>
        </w:rPr>
        <w:t xml:space="preserve"> (wskutek przejęcia całego jej majątku) przejmie prawa i obowiązki o cywilnym, administracyjnym </w:t>
      </w:r>
      <w:r w:rsidR="00D27EE4">
        <w:rPr>
          <w:rFonts w:cs="Calibri"/>
          <w:color w:val="000000" w:themeColor="text1"/>
          <w:sz w:val="24"/>
          <w:szCs w:val="24"/>
        </w:rPr>
        <w:br/>
      </w:r>
      <w:r>
        <w:rPr>
          <w:rFonts w:cs="Calibri"/>
          <w:color w:val="000000" w:themeColor="text1"/>
          <w:sz w:val="24"/>
          <w:szCs w:val="24"/>
        </w:rPr>
        <w:t>i podatkowym charakterze. Skutek taki, w ocenie Wnioskodawcy, wynika z wystąpienia sukcesji generalnej po stronie wspólnika, której wprowadzenie przez samych wspólników, mocą ich porozumienia, dopuszcza orzecznictwo sądów cywilnych i administracyjnych</w:t>
      </w:r>
      <w:r w:rsidR="00D27EE4">
        <w:rPr>
          <w:rFonts w:cs="Calibri"/>
          <w:color w:val="000000" w:themeColor="text1"/>
          <w:sz w:val="24"/>
          <w:szCs w:val="24"/>
        </w:rPr>
        <w:t xml:space="preserve">, </w:t>
      </w:r>
      <w:r w:rsidR="00310A61">
        <w:rPr>
          <w:rFonts w:cs="Calibri"/>
          <w:color w:val="000000" w:themeColor="text1"/>
          <w:sz w:val="24"/>
          <w:szCs w:val="24"/>
        </w:rPr>
        <w:t xml:space="preserve">np. </w:t>
      </w:r>
      <w:r>
        <w:rPr>
          <w:rFonts w:cs="Calibri"/>
          <w:color w:val="000000" w:themeColor="text1"/>
          <w:sz w:val="24"/>
          <w:szCs w:val="24"/>
        </w:rPr>
        <w:t xml:space="preserve">wyrok Sądu Najwyższego z dnia 28 października 2005 r. </w:t>
      </w:r>
      <w:r w:rsidR="00310A61">
        <w:rPr>
          <w:rFonts w:cs="Calibri"/>
          <w:color w:val="000000" w:themeColor="text1"/>
          <w:sz w:val="24"/>
          <w:szCs w:val="24"/>
        </w:rPr>
        <w:t>(</w:t>
      </w:r>
      <w:r>
        <w:rPr>
          <w:rFonts w:cs="Calibri"/>
          <w:color w:val="000000" w:themeColor="text1"/>
          <w:sz w:val="24"/>
          <w:szCs w:val="24"/>
        </w:rPr>
        <w:t xml:space="preserve">II CK 275/05).     </w:t>
      </w:r>
    </w:p>
    <w:p w14:paraId="71640F0F" w14:textId="2D39396A" w:rsidR="00F37223" w:rsidRDefault="00A82025" w:rsidP="00DC1770">
      <w:pPr>
        <w:spacing w:after="0" w:line="360" w:lineRule="auto"/>
        <w:jc w:val="both"/>
        <w:rPr>
          <w:rFonts w:cs="Calibri"/>
          <w:color w:val="000000" w:themeColor="text1"/>
          <w:sz w:val="24"/>
          <w:szCs w:val="24"/>
        </w:rPr>
      </w:pPr>
      <w:r>
        <w:rPr>
          <w:rFonts w:cs="Calibri"/>
          <w:color w:val="000000" w:themeColor="text1"/>
          <w:sz w:val="24"/>
          <w:szCs w:val="24"/>
        </w:rPr>
        <w:t xml:space="preserve">Wnioskodawca wskazuje, iż w Kodeksie spółek handlowych brak jest przepisu, z którego wprost wynikałaby sukcesja administracyjna wspólnika po spółce jawnej w przypadku innego niż likwidacja sposobu zakończenia działalności spółki. </w:t>
      </w:r>
      <w:r w:rsidR="00194767">
        <w:rPr>
          <w:rFonts w:cs="Calibri"/>
          <w:color w:val="000000" w:themeColor="text1"/>
          <w:sz w:val="24"/>
          <w:szCs w:val="24"/>
        </w:rPr>
        <w:t xml:space="preserve">Jednakże zaistnienie takiego skutku  (generalnej sukcesji praw i obowiązków, w tym administracyjnych) Wnioskodawca wywodzi </w:t>
      </w:r>
      <w:r w:rsidR="00D27EE4">
        <w:rPr>
          <w:rFonts w:cs="Calibri"/>
          <w:color w:val="000000" w:themeColor="text1"/>
          <w:sz w:val="24"/>
          <w:szCs w:val="24"/>
        </w:rPr>
        <w:br/>
      </w:r>
      <w:r w:rsidR="00194767">
        <w:rPr>
          <w:rFonts w:cs="Calibri"/>
          <w:color w:val="000000" w:themeColor="text1"/>
          <w:sz w:val="24"/>
          <w:szCs w:val="24"/>
        </w:rPr>
        <w:t>z powszechnie przyjętego w orzecznictwie poglądu, iż przej</w:t>
      </w:r>
      <w:r w:rsidR="00670483">
        <w:rPr>
          <w:rFonts w:cs="Calibri"/>
          <w:color w:val="000000" w:themeColor="text1"/>
          <w:sz w:val="24"/>
          <w:szCs w:val="24"/>
        </w:rPr>
        <w:t>ę</w:t>
      </w:r>
      <w:r w:rsidR="00194767">
        <w:rPr>
          <w:rFonts w:cs="Calibri"/>
          <w:color w:val="000000" w:themeColor="text1"/>
          <w:sz w:val="24"/>
          <w:szCs w:val="24"/>
        </w:rPr>
        <w:t>cie majątku spółki na skutek zgodnego porozumienia wspólników wywołuje ten sam skutek, jak przyznanie prawa do tego majątku przez sąd w wyniku powództwa opartego o art.66 K</w:t>
      </w:r>
      <w:r w:rsidR="00670483">
        <w:rPr>
          <w:rFonts w:cs="Calibri"/>
          <w:color w:val="000000" w:themeColor="text1"/>
          <w:sz w:val="24"/>
          <w:szCs w:val="24"/>
        </w:rPr>
        <w:t>SH</w:t>
      </w:r>
      <w:r w:rsidR="00194767">
        <w:rPr>
          <w:rFonts w:cs="Calibri"/>
          <w:color w:val="000000" w:themeColor="text1"/>
          <w:sz w:val="24"/>
          <w:szCs w:val="24"/>
        </w:rPr>
        <w:t>. Wnioskodawca</w:t>
      </w:r>
      <w:r w:rsidR="00AD617F">
        <w:rPr>
          <w:rFonts w:cs="Calibri"/>
          <w:color w:val="000000" w:themeColor="text1"/>
          <w:sz w:val="24"/>
          <w:szCs w:val="24"/>
        </w:rPr>
        <w:t xml:space="preserve">, obok wyroków potwierdzających </w:t>
      </w:r>
      <w:r w:rsidR="00194767">
        <w:rPr>
          <w:rFonts w:cs="Calibri"/>
          <w:color w:val="000000" w:themeColor="text1"/>
          <w:sz w:val="24"/>
          <w:szCs w:val="24"/>
        </w:rPr>
        <w:t>sukcesj</w:t>
      </w:r>
      <w:r w:rsidR="00AD617F">
        <w:rPr>
          <w:rFonts w:cs="Calibri"/>
          <w:color w:val="000000" w:themeColor="text1"/>
          <w:sz w:val="24"/>
          <w:szCs w:val="24"/>
        </w:rPr>
        <w:t>ę</w:t>
      </w:r>
      <w:r w:rsidR="00194767">
        <w:rPr>
          <w:rFonts w:cs="Calibri"/>
          <w:color w:val="000000" w:themeColor="text1"/>
          <w:sz w:val="24"/>
          <w:szCs w:val="24"/>
        </w:rPr>
        <w:t xml:space="preserve"> praw cywilnych</w:t>
      </w:r>
      <w:r w:rsidR="00AD617F">
        <w:rPr>
          <w:rFonts w:cs="Calibri"/>
          <w:color w:val="000000" w:themeColor="text1"/>
          <w:sz w:val="24"/>
          <w:szCs w:val="24"/>
        </w:rPr>
        <w:t>, przywołał również o</w:t>
      </w:r>
      <w:r w:rsidR="00194767">
        <w:rPr>
          <w:rFonts w:cs="Calibri"/>
          <w:color w:val="000000" w:themeColor="text1"/>
          <w:sz w:val="24"/>
          <w:szCs w:val="24"/>
        </w:rPr>
        <w:t>rzecznictwo sądów administracyjnych, w których opowiedziano się za następstwem prawnym wspólnika spółki jawnej także w zakresie praw administracyjnych i legitymacji procesowej sądowoadministracyjnej</w:t>
      </w:r>
      <w:r w:rsidR="00AD617F">
        <w:rPr>
          <w:rFonts w:cs="Calibri"/>
          <w:color w:val="000000" w:themeColor="text1"/>
          <w:sz w:val="24"/>
          <w:szCs w:val="24"/>
        </w:rPr>
        <w:t xml:space="preserve">. Według Wnioskodawcy </w:t>
      </w:r>
      <w:r w:rsidR="00D27EE4">
        <w:rPr>
          <w:rFonts w:cs="Calibri"/>
          <w:color w:val="000000" w:themeColor="text1"/>
          <w:sz w:val="24"/>
          <w:szCs w:val="24"/>
        </w:rPr>
        <w:t>wyrok</w:t>
      </w:r>
      <w:r w:rsidR="00194767">
        <w:rPr>
          <w:rFonts w:cs="Calibri"/>
          <w:color w:val="000000" w:themeColor="text1"/>
          <w:sz w:val="24"/>
          <w:szCs w:val="24"/>
        </w:rPr>
        <w:t xml:space="preserve"> N</w:t>
      </w:r>
      <w:r w:rsidR="00D27EE4">
        <w:rPr>
          <w:rFonts w:cs="Calibri"/>
          <w:color w:val="000000" w:themeColor="text1"/>
          <w:sz w:val="24"/>
          <w:szCs w:val="24"/>
        </w:rPr>
        <w:t xml:space="preserve">aczelnego Sądu Administracyjnego </w:t>
      </w:r>
      <w:r w:rsidR="00194767">
        <w:rPr>
          <w:rFonts w:cs="Calibri"/>
          <w:color w:val="000000" w:themeColor="text1"/>
          <w:sz w:val="24"/>
          <w:szCs w:val="24"/>
        </w:rPr>
        <w:t xml:space="preserve">z dnia 25 września 2017 r. </w:t>
      </w:r>
      <w:r w:rsidR="00310A61">
        <w:rPr>
          <w:rFonts w:cs="Calibri"/>
          <w:color w:val="000000" w:themeColor="text1"/>
          <w:sz w:val="24"/>
          <w:szCs w:val="24"/>
        </w:rPr>
        <w:t>(</w:t>
      </w:r>
      <w:r w:rsidR="00194767">
        <w:rPr>
          <w:rFonts w:cs="Calibri"/>
          <w:color w:val="000000" w:themeColor="text1"/>
          <w:sz w:val="24"/>
          <w:szCs w:val="24"/>
        </w:rPr>
        <w:t>II OSK 1113/15</w:t>
      </w:r>
      <w:r w:rsidR="00310A61">
        <w:rPr>
          <w:rFonts w:cs="Calibri"/>
          <w:color w:val="000000" w:themeColor="text1"/>
          <w:sz w:val="24"/>
          <w:szCs w:val="24"/>
        </w:rPr>
        <w:t>)</w:t>
      </w:r>
      <w:r w:rsidR="00194767">
        <w:rPr>
          <w:rFonts w:cs="Calibri"/>
          <w:color w:val="000000" w:themeColor="text1"/>
          <w:sz w:val="24"/>
          <w:szCs w:val="24"/>
        </w:rPr>
        <w:t xml:space="preserve"> oraz </w:t>
      </w:r>
      <w:r w:rsidR="00D27EE4">
        <w:rPr>
          <w:rFonts w:cs="Calibri"/>
          <w:color w:val="000000" w:themeColor="text1"/>
          <w:sz w:val="24"/>
          <w:szCs w:val="24"/>
        </w:rPr>
        <w:t xml:space="preserve">wyrok </w:t>
      </w:r>
      <w:r w:rsidR="00194767">
        <w:rPr>
          <w:rFonts w:cs="Calibri"/>
          <w:color w:val="000000" w:themeColor="text1"/>
          <w:sz w:val="24"/>
          <w:szCs w:val="24"/>
        </w:rPr>
        <w:t>W</w:t>
      </w:r>
      <w:r w:rsidR="00D27EE4">
        <w:rPr>
          <w:rFonts w:cs="Calibri"/>
          <w:color w:val="000000" w:themeColor="text1"/>
          <w:sz w:val="24"/>
          <w:szCs w:val="24"/>
        </w:rPr>
        <w:t xml:space="preserve">ojewódzkiego Sądu Administracyjnego </w:t>
      </w:r>
      <w:r w:rsidR="00194767">
        <w:rPr>
          <w:rFonts w:cs="Calibri"/>
          <w:color w:val="000000" w:themeColor="text1"/>
          <w:sz w:val="24"/>
          <w:szCs w:val="24"/>
        </w:rPr>
        <w:t xml:space="preserve">w Lublinie z dnia 6 </w:t>
      </w:r>
      <w:r w:rsidR="00670483">
        <w:rPr>
          <w:rFonts w:cs="Calibri"/>
          <w:color w:val="000000" w:themeColor="text1"/>
          <w:sz w:val="24"/>
          <w:szCs w:val="24"/>
        </w:rPr>
        <w:t>p</w:t>
      </w:r>
      <w:r w:rsidR="00194767">
        <w:rPr>
          <w:rFonts w:cs="Calibri"/>
          <w:color w:val="000000" w:themeColor="text1"/>
          <w:sz w:val="24"/>
          <w:szCs w:val="24"/>
        </w:rPr>
        <w:t xml:space="preserve">aździernika </w:t>
      </w:r>
      <w:r w:rsidR="006743CA">
        <w:rPr>
          <w:rFonts w:cs="Calibri"/>
          <w:color w:val="000000" w:themeColor="text1"/>
          <w:sz w:val="24"/>
          <w:szCs w:val="24"/>
        </w:rPr>
        <w:t xml:space="preserve"> </w:t>
      </w:r>
      <w:r w:rsidR="00310A61">
        <w:rPr>
          <w:rFonts w:cs="Calibri"/>
          <w:color w:val="000000" w:themeColor="text1"/>
          <w:sz w:val="24"/>
          <w:szCs w:val="24"/>
        </w:rPr>
        <w:t>2</w:t>
      </w:r>
      <w:r w:rsidR="00194767">
        <w:rPr>
          <w:rFonts w:cs="Calibri"/>
          <w:color w:val="000000" w:themeColor="text1"/>
          <w:sz w:val="24"/>
          <w:szCs w:val="24"/>
        </w:rPr>
        <w:t>017 r.</w:t>
      </w:r>
      <w:r w:rsidR="00310A61">
        <w:rPr>
          <w:rFonts w:cs="Calibri"/>
          <w:color w:val="000000" w:themeColor="text1"/>
          <w:sz w:val="24"/>
          <w:szCs w:val="24"/>
        </w:rPr>
        <w:t xml:space="preserve"> (</w:t>
      </w:r>
      <w:r w:rsidR="00194767">
        <w:rPr>
          <w:rFonts w:cs="Calibri"/>
          <w:color w:val="000000" w:themeColor="text1"/>
          <w:sz w:val="24"/>
          <w:szCs w:val="24"/>
        </w:rPr>
        <w:t>I SA/Lu 569/17</w:t>
      </w:r>
      <w:r w:rsidR="00310A61">
        <w:rPr>
          <w:rFonts w:cs="Calibri"/>
          <w:color w:val="000000" w:themeColor="text1"/>
          <w:sz w:val="24"/>
          <w:szCs w:val="24"/>
        </w:rPr>
        <w:t>)</w:t>
      </w:r>
      <w:r w:rsidR="00AD617F">
        <w:rPr>
          <w:rFonts w:cs="Calibri"/>
          <w:color w:val="000000" w:themeColor="text1"/>
          <w:sz w:val="24"/>
          <w:szCs w:val="24"/>
        </w:rPr>
        <w:t xml:space="preserve"> potwierdzają sukcesję praw administracyjnych.</w:t>
      </w:r>
      <w:r w:rsidR="00194767">
        <w:rPr>
          <w:rFonts w:cs="Calibri"/>
          <w:color w:val="000000" w:themeColor="text1"/>
          <w:sz w:val="24"/>
          <w:szCs w:val="24"/>
        </w:rPr>
        <w:t xml:space="preserve"> </w:t>
      </w:r>
    </w:p>
    <w:p w14:paraId="11DDF598" w14:textId="239580EB" w:rsidR="00F37223" w:rsidRDefault="00AD617F" w:rsidP="00DC1770">
      <w:pPr>
        <w:spacing w:after="0" w:line="360" w:lineRule="auto"/>
        <w:jc w:val="both"/>
        <w:rPr>
          <w:rFonts w:cs="Calibri"/>
          <w:color w:val="000000" w:themeColor="text1"/>
          <w:sz w:val="24"/>
          <w:szCs w:val="24"/>
        </w:rPr>
      </w:pPr>
      <w:r>
        <w:rPr>
          <w:rFonts w:cs="Calibri"/>
          <w:color w:val="000000" w:themeColor="text1"/>
          <w:sz w:val="24"/>
          <w:szCs w:val="24"/>
        </w:rPr>
        <w:t>Z tego względu w</w:t>
      </w:r>
      <w:r w:rsidR="00F37223">
        <w:rPr>
          <w:rFonts w:cs="Calibri"/>
          <w:color w:val="000000" w:themeColor="text1"/>
          <w:sz w:val="24"/>
          <w:szCs w:val="24"/>
        </w:rPr>
        <w:t xml:space="preserve"> ocenie</w:t>
      </w:r>
      <w:r w:rsidR="00194767">
        <w:rPr>
          <w:rFonts w:cs="Calibri"/>
          <w:color w:val="000000" w:themeColor="text1"/>
          <w:sz w:val="24"/>
          <w:szCs w:val="24"/>
        </w:rPr>
        <w:t xml:space="preserve"> </w:t>
      </w:r>
      <w:r w:rsidR="00F37223">
        <w:rPr>
          <w:rFonts w:cs="Calibri"/>
          <w:color w:val="000000" w:themeColor="text1"/>
          <w:sz w:val="24"/>
          <w:szCs w:val="24"/>
        </w:rPr>
        <w:t xml:space="preserve">Wnioskodawcy nie jest zatem konieczne, aby istniał konkretny przepis, czy to Kodeksu spółek handlowych czy </w:t>
      </w:r>
      <w:r>
        <w:rPr>
          <w:rFonts w:cs="Calibri"/>
          <w:color w:val="000000" w:themeColor="text1"/>
          <w:sz w:val="24"/>
          <w:szCs w:val="24"/>
        </w:rPr>
        <w:t>też</w:t>
      </w:r>
      <w:r w:rsidR="00F37223">
        <w:rPr>
          <w:rFonts w:cs="Calibri"/>
          <w:color w:val="000000" w:themeColor="text1"/>
          <w:sz w:val="24"/>
          <w:szCs w:val="24"/>
        </w:rPr>
        <w:t xml:space="preserve"> ustawy o rehabilitacji, żeby taka sukcesja nastąpiła. W tym przypadku jest ona bowiem konsekwencją przyjęcia sukcesji na gruncie prawa cywilnego i wynika z tego, że wspólnik przejmuje całokształt sytuacji majątkowej </w:t>
      </w:r>
      <w:r>
        <w:rPr>
          <w:rFonts w:cs="Calibri"/>
          <w:color w:val="000000" w:themeColor="text1"/>
          <w:sz w:val="24"/>
          <w:szCs w:val="24"/>
        </w:rPr>
        <w:br/>
      </w:r>
      <w:r w:rsidR="00F37223">
        <w:rPr>
          <w:rFonts w:cs="Calibri"/>
          <w:color w:val="000000" w:themeColor="text1"/>
          <w:sz w:val="24"/>
          <w:szCs w:val="24"/>
        </w:rPr>
        <w:t>i prawnej spółki osobowej. Nie bez znaczenia jest tu także charakter osobowy spółki jawnej, który oznacza, że wspólnik przejmujący od samego początku, jako kluczowy substrat osobowy spółki, jest uczestnikiem tego podmiotu, a zatem w pewnym zakresie zachowana zostaje tożsamość podmiotu danych praw administracyjnych</w:t>
      </w:r>
      <w:r w:rsidR="00FC1D00">
        <w:rPr>
          <w:rFonts w:cs="Calibri"/>
          <w:color w:val="000000" w:themeColor="text1"/>
          <w:sz w:val="24"/>
          <w:szCs w:val="24"/>
        </w:rPr>
        <w:t xml:space="preserve">. Negacja sukcesji administracyjnej </w:t>
      </w:r>
      <w:r>
        <w:rPr>
          <w:rFonts w:cs="Calibri"/>
          <w:color w:val="000000" w:themeColor="text1"/>
          <w:sz w:val="24"/>
          <w:szCs w:val="24"/>
        </w:rPr>
        <w:br/>
      </w:r>
      <w:r w:rsidR="00FC1D00">
        <w:rPr>
          <w:rFonts w:cs="Calibri"/>
          <w:color w:val="000000" w:themeColor="text1"/>
          <w:sz w:val="24"/>
          <w:szCs w:val="24"/>
        </w:rPr>
        <w:t xml:space="preserve">w tym przypadku prowadziłaby do niczym uzasadnionego rozdziału sytuacji prawnej wspólnika-następcy, tworząc odmienne konsekwencje na gruncie prawa cywilnego </w:t>
      </w:r>
      <w:r>
        <w:rPr>
          <w:rFonts w:cs="Calibri"/>
          <w:color w:val="000000" w:themeColor="text1"/>
          <w:sz w:val="24"/>
          <w:szCs w:val="24"/>
        </w:rPr>
        <w:br/>
      </w:r>
      <w:r w:rsidR="00FC1D00">
        <w:rPr>
          <w:rFonts w:cs="Calibri"/>
          <w:color w:val="000000" w:themeColor="text1"/>
          <w:sz w:val="24"/>
          <w:szCs w:val="24"/>
        </w:rPr>
        <w:t xml:space="preserve">i administracyjnego. Byłoby to także sprzeczne z wyżej opisanym orzecznictwem, zarówno cywilnym, jak i sądowoadministracyjnym. Skoro bowiem uznaje ono pełne przejęcie majątku spółki osobowej przez wspólnika za swoiste przekształcenie spółki, przyjmując sukcesję generalną, pomimo braku przepisu jednoznacznie przewidującego taki skutek, a więc przepisu takiego jak art.494 </w:t>
      </w:r>
      <w:r w:rsidR="00FC1D00">
        <w:rPr>
          <w:rFonts w:cstheme="minorHAnsi"/>
          <w:color w:val="000000" w:themeColor="text1"/>
          <w:sz w:val="24"/>
          <w:szCs w:val="24"/>
        </w:rPr>
        <w:t>§</w:t>
      </w:r>
      <w:r w:rsidR="00FC1D00">
        <w:rPr>
          <w:rFonts w:cs="Calibri"/>
          <w:color w:val="000000" w:themeColor="text1"/>
          <w:sz w:val="24"/>
          <w:szCs w:val="24"/>
        </w:rPr>
        <w:t xml:space="preserve">2 </w:t>
      </w:r>
      <w:r w:rsidR="00670483">
        <w:rPr>
          <w:rFonts w:cs="Calibri"/>
          <w:color w:val="000000" w:themeColor="text1"/>
          <w:sz w:val="24"/>
          <w:szCs w:val="24"/>
        </w:rPr>
        <w:t>KSH</w:t>
      </w:r>
      <w:r w:rsidR="00FC1D00">
        <w:rPr>
          <w:rFonts w:cs="Calibri"/>
          <w:color w:val="000000" w:themeColor="text1"/>
          <w:sz w:val="24"/>
          <w:szCs w:val="24"/>
        </w:rPr>
        <w:t>, art.53</w:t>
      </w:r>
      <w:r w:rsidR="00310A61">
        <w:rPr>
          <w:rFonts w:cs="Calibri"/>
          <w:color w:val="000000" w:themeColor="text1"/>
          <w:sz w:val="24"/>
          <w:szCs w:val="24"/>
        </w:rPr>
        <w:t>1</w:t>
      </w:r>
      <w:r w:rsidR="00FC1D00">
        <w:rPr>
          <w:rFonts w:cs="Calibri"/>
          <w:color w:val="000000" w:themeColor="text1"/>
          <w:sz w:val="24"/>
          <w:szCs w:val="24"/>
        </w:rPr>
        <w:t xml:space="preserve"> </w:t>
      </w:r>
      <w:r w:rsidR="00FC1D00">
        <w:rPr>
          <w:rFonts w:cstheme="minorHAnsi"/>
          <w:color w:val="000000" w:themeColor="text1"/>
          <w:sz w:val="24"/>
          <w:szCs w:val="24"/>
        </w:rPr>
        <w:t xml:space="preserve">§2 </w:t>
      </w:r>
      <w:r w:rsidR="00670483">
        <w:rPr>
          <w:rFonts w:cstheme="minorHAnsi"/>
          <w:color w:val="000000" w:themeColor="text1"/>
          <w:sz w:val="24"/>
          <w:szCs w:val="24"/>
        </w:rPr>
        <w:t>KSH</w:t>
      </w:r>
      <w:r w:rsidR="00FC1D00">
        <w:rPr>
          <w:rFonts w:cstheme="minorHAnsi"/>
          <w:color w:val="000000" w:themeColor="text1"/>
          <w:sz w:val="24"/>
          <w:szCs w:val="24"/>
        </w:rPr>
        <w:t>, art.553 §2 K</w:t>
      </w:r>
      <w:r w:rsidR="00670483">
        <w:rPr>
          <w:rFonts w:cstheme="minorHAnsi"/>
          <w:color w:val="000000" w:themeColor="text1"/>
          <w:sz w:val="24"/>
          <w:szCs w:val="24"/>
        </w:rPr>
        <w:t>SH</w:t>
      </w:r>
      <w:r w:rsidR="00FC1D00">
        <w:rPr>
          <w:rFonts w:cstheme="minorHAnsi"/>
          <w:color w:val="000000" w:themeColor="text1"/>
          <w:sz w:val="24"/>
          <w:szCs w:val="24"/>
        </w:rPr>
        <w:t xml:space="preserve"> oraz art.584</w:t>
      </w:r>
      <w:r w:rsidR="00FC1D00">
        <w:rPr>
          <w:rFonts w:cstheme="minorHAnsi"/>
          <w:color w:val="000000" w:themeColor="text1"/>
          <w:sz w:val="24"/>
          <w:szCs w:val="24"/>
          <w:vertAlign w:val="superscript"/>
        </w:rPr>
        <w:t>2</w:t>
      </w:r>
      <w:r w:rsidR="00FC1D00">
        <w:rPr>
          <w:rFonts w:cstheme="minorHAnsi"/>
          <w:color w:val="000000" w:themeColor="text1"/>
          <w:sz w:val="24"/>
          <w:szCs w:val="24"/>
        </w:rPr>
        <w:t xml:space="preserve"> §2 K</w:t>
      </w:r>
      <w:r w:rsidR="00670483">
        <w:rPr>
          <w:rFonts w:cstheme="minorHAnsi"/>
          <w:color w:val="000000" w:themeColor="text1"/>
          <w:sz w:val="24"/>
          <w:szCs w:val="24"/>
        </w:rPr>
        <w:t>SH</w:t>
      </w:r>
      <w:r w:rsidR="00FC1D00">
        <w:rPr>
          <w:rFonts w:cstheme="minorHAnsi"/>
          <w:color w:val="000000" w:themeColor="text1"/>
          <w:sz w:val="24"/>
          <w:szCs w:val="24"/>
        </w:rPr>
        <w:t xml:space="preserve">, to niezrozumiałe jest jej wykluczenie w zakresie utraty statusu zakładu pracy chronionej wyłącznie w oparciu o to, </w:t>
      </w:r>
      <w:r w:rsidR="00167F47">
        <w:rPr>
          <w:rFonts w:cstheme="minorHAnsi"/>
          <w:color w:val="000000" w:themeColor="text1"/>
          <w:sz w:val="24"/>
          <w:szCs w:val="24"/>
        </w:rPr>
        <w:t>ż</w:t>
      </w:r>
      <w:r w:rsidR="00FC1D00">
        <w:rPr>
          <w:rFonts w:cstheme="minorHAnsi"/>
          <w:color w:val="000000" w:themeColor="text1"/>
          <w:sz w:val="24"/>
          <w:szCs w:val="24"/>
        </w:rPr>
        <w:t>e ustawa o rehabilitacji wprost takowej sukcesji nie przewiduje</w:t>
      </w:r>
      <w:r w:rsidR="007E2CA7">
        <w:rPr>
          <w:rFonts w:cstheme="minorHAnsi"/>
          <w:color w:val="000000" w:themeColor="text1"/>
          <w:sz w:val="24"/>
          <w:szCs w:val="24"/>
        </w:rPr>
        <w:t>.</w:t>
      </w:r>
      <w:r w:rsidR="00FC1D00">
        <w:rPr>
          <w:rFonts w:cs="Calibri"/>
          <w:color w:val="000000" w:themeColor="text1"/>
          <w:sz w:val="24"/>
          <w:szCs w:val="24"/>
        </w:rPr>
        <w:t xml:space="preserve"> </w:t>
      </w:r>
      <w:r w:rsidR="00F37223">
        <w:rPr>
          <w:rFonts w:cs="Calibri"/>
          <w:color w:val="000000" w:themeColor="text1"/>
          <w:sz w:val="24"/>
          <w:szCs w:val="24"/>
        </w:rPr>
        <w:t xml:space="preserve">   </w:t>
      </w:r>
    </w:p>
    <w:p w14:paraId="577083E5" w14:textId="77777777" w:rsidR="00D91F5B" w:rsidRDefault="00D91F5B" w:rsidP="00DC1770">
      <w:pPr>
        <w:spacing w:after="0" w:line="360" w:lineRule="auto"/>
        <w:jc w:val="both"/>
        <w:rPr>
          <w:rFonts w:cs="Calibri"/>
          <w:color w:val="000000" w:themeColor="text1"/>
          <w:sz w:val="24"/>
          <w:szCs w:val="24"/>
        </w:rPr>
      </w:pPr>
    </w:p>
    <w:p w14:paraId="7803492F" w14:textId="4883FF17" w:rsidR="00DC1770" w:rsidRPr="002B3597" w:rsidRDefault="00DC1770" w:rsidP="00DC1770">
      <w:pPr>
        <w:spacing w:after="0" w:line="360" w:lineRule="auto"/>
        <w:jc w:val="both"/>
        <w:rPr>
          <w:rFonts w:cs="Arial"/>
          <w:b/>
          <w:sz w:val="24"/>
          <w:szCs w:val="24"/>
        </w:rPr>
      </w:pPr>
      <w:r w:rsidRPr="002B3597">
        <w:rPr>
          <w:rFonts w:cs="Arial"/>
          <w:b/>
          <w:sz w:val="24"/>
          <w:szCs w:val="24"/>
        </w:rPr>
        <w:t xml:space="preserve">Na tle przedstawionego </w:t>
      </w:r>
      <w:r w:rsidR="00F42D14">
        <w:rPr>
          <w:rFonts w:cs="Arial"/>
          <w:b/>
          <w:sz w:val="24"/>
          <w:szCs w:val="24"/>
        </w:rPr>
        <w:t xml:space="preserve">zdarzenia </w:t>
      </w:r>
      <w:r w:rsidRPr="002B3597">
        <w:rPr>
          <w:rFonts w:cs="Arial"/>
          <w:b/>
          <w:sz w:val="24"/>
          <w:szCs w:val="24"/>
        </w:rPr>
        <w:t>przyszłego, stwierdzam co następuje:</w:t>
      </w:r>
    </w:p>
    <w:p w14:paraId="3A8AD77D" w14:textId="77777777" w:rsidR="00010B2E" w:rsidRPr="00010B2E" w:rsidRDefault="00010B2E" w:rsidP="00010B2E">
      <w:pPr>
        <w:spacing w:after="0" w:line="360" w:lineRule="auto"/>
        <w:jc w:val="both"/>
        <w:rPr>
          <w:rFonts w:cs="Calibri"/>
          <w:sz w:val="24"/>
          <w:szCs w:val="24"/>
        </w:rPr>
      </w:pPr>
      <w:r w:rsidRPr="00010B2E">
        <w:rPr>
          <w:rFonts w:cs="Calibri"/>
          <w:sz w:val="24"/>
          <w:szCs w:val="24"/>
        </w:rPr>
        <w:t>Zgodnie z art.34 ust. 1 ustawy przedsiębiorca może złożyć do właściwego organu lub właściwej państwowej jednostki organizacyjnej wniosek o wydanie wyjaśnienia co do zakresu i sposobu zastosowania przepisów, z których wynika obowiązek świadczenia przez przedsiębiorcę daniny publicznej lub składek na ubezpieczenia społeczne lub zdrowotne, w jego indywidualnej sprawie (interpretacja indywidualna).</w:t>
      </w:r>
    </w:p>
    <w:p w14:paraId="0378162E" w14:textId="4488C1CA" w:rsidR="00E20DEE" w:rsidRDefault="00E20DEE" w:rsidP="00AA0C37">
      <w:pPr>
        <w:spacing w:after="0" w:line="360" w:lineRule="auto"/>
        <w:ind w:firstLine="708"/>
        <w:jc w:val="both"/>
        <w:rPr>
          <w:rFonts w:cs="Calibri"/>
          <w:sz w:val="24"/>
          <w:szCs w:val="24"/>
        </w:rPr>
      </w:pPr>
      <w:r>
        <w:rPr>
          <w:rFonts w:cs="Calibri"/>
          <w:sz w:val="24"/>
          <w:szCs w:val="24"/>
        </w:rPr>
        <w:t xml:space="preserve">W przedstawionej sprawie </w:t>
      </w:r>
      <w:r w:rsidR="00AD617F">
        <w:rPr>
          <w:rFonts w:cs="Calibri"/>
          <w:sz w:val="24"/>
          <w:szCs w:val="24"/>
        </w:rPr>
        <w:t xml:space="preserve">przede wszystkim </w:t>
      </w:r>
      <w:r>
        <w:rPr>
          <w:rFonts w:cs="Calibri"/>
          <w:sz w:val="24"/>
          <w:szCs w:val="24"/>
        </w:rPr>
        <w:t>kluczowe jest ustalenie czy na podstawie przepisów Kodeksu spółek handlowych w przypadku</w:t>
      </w:r>
      <w:r w:rsidR="00AA0C37">
        <w:rPr>
          <w:rFonts w:cs="Calibri"/>
          <w:sz w:val="24"/>
          <w:szCs w:val="24"/>
        </w:rPr>
        <w:t xml:space="preserve"> zakończenia działalności spółki jawnej </w:t>
      </w:r>
      <w:r>
        <w:rPr>
          <w:rFonts w:cs="Calibri"/>
          <w:sz w:val="24"/>
          <w:szCs w:val="24"/>
        </w:rPr>
        <w:t xml:space="preserve"> </w:t>
      </w:r>
      <w:r w:rsidR="00AA0C37">
        <w:rPr>
          <w:rFonts w:cs="Calibri"/>
          <w:sz w:val="24"/>
          <w:szCs w:val="24"/>
        </w:rPr>
        <w:t xml:space="preserve">bez przeprowadzania postępowania likwidacyjnego </w:t>
      </w:r>
      <w:r>
        <w:rPr>
          <w:rFonts w:cs="Calibri"/>
          <w:sz w:val="24"/>
          <w:szCs w:val="24"/>
        </w:rPr>
        <w:t xml:space="preserve">dochodzi do sukcesji ogółu praw </w:t>
      </w:r>
      <w:r w:rsidR="00AA0C37">
        <w:rPr>
          <w:rFonts w:cs="Calibri"/>
          <w:sz w:val="24"/>
          <w:szCs w:val="24"/>
        </w:rPr>
        <w:br/>
      </w:r>
      <w:r>
        <w:rPr>
          <w:rFonts w:cs="Calibri"/>
          <w:sz w:val="24"/>
          <w:szCs w:val="24"/>
        </w:rPr>
        <w:t>i obowiązków, a w szczególności czy dochodzi do sukcesji administracyjn</w:t>
      </w:r>
      <w:r w:rsidR="00310A61">
        <w:rPr>
          <w:rFonts w:cs="Calibri"/>
          <w:sz w:val="24"/>
          <w:szCs w:val="24"/>
        </w:rPr>
        <w:t>oprawnej</w:t>
      </w:r>
      <w:r>
        <w:rPr>
          <w:rFonts w:cs="Calibri"/>
          <w:sz w:val="24"/>
          <w:szCs w:val="24"/>
        </w:rPr>
        <w:t xml:space="preserve">.   </w:t>
      </w:r>
    </w:p>
    <w:p w14:paraId="606A4B62" w14:textId="77777777" w:rsidR="008F6148" w:rsidRDefault="00E20DEE" w:rsidP="00AA0C37">
      <w:pPr>
        <w:spacing w:after="0" w:line="360" w:lineRule="auto"/>
        <w:ind w:firstLine="708"/>
        <w:jc w:val="both"/>
        <w:rPr>
          <w:rFonts w:cs="Calibri"/>
          <w:sz w:val="24"/>
          <w:szCs w:val="24"/>
        </w:rPr>
      </w:pPr>
      <w:r w:rsidRPr="00E20DEE">
        <w:rPr>
          <w:rFonts w:cs="Calibri"/>
          <w:sz w:val="24"/>
          <w:szCs w:val="24"/>
        </w:rPr>
        <w:t xml:space="preserve">Wnioskodawca jest dwuosobową spółką jawną. Jednocześnie jest pracodawcą posiadającym status </w:t>
      </w:r>
      <w:r>
        <w:rPr>
          <w:rFonts w:cs="Calibri"/>
          <w:sz w:val="24"/>
          <w:szCs w:val="24"/>
        </w:rPr>
        <w:t>ZPCH</w:t>
      </w:r>
      <w:r w:rsidRPr="00E20DEE">
        <w:rPr>
          <w:rFonts w:cs="Calibri"/>
          <w:sz w:val="24"/>
          <w:szCs w:val="24"/>
        </w:rPr>
        <w:t xml:space="preserve">. Jeden ze wspólników wypowiedział umowę spółki, co na podstawie art.58 §1 pkt 5 KSH </w:t>
      </w:r>
      <w:r>
        <w:rPr>
          <w:rFonts w:cs="Calibri"/>
          <w:sz w:val="24"/>
          <w:szCs w:val="24"/>
        </w:rPr>
        <w:t xml:space="preserve">skutkuje </w:t>
      </w:r>
      <w:r w:rsidRPr="00E20DEE">
        <w:rPr>
          <w:rFonts w:cs="Calibri"/>
          <w:sz w:val="24"/>
          <w:szCs w:val="24"/>
        </w:rPr>
        <w:t>rozwiązanie</w:t>
      </w:r>
      <w:r>
        <w:rPr>
          <w:rFonts w:cs="Calibri"/>
          <w:sz w:val="24"/>
          <w:szCs w:val="24"/>
        </w:rPr>
        <w:t>m</w:t>
      </w:r>
      <w:r w:rsidRPr="00E20DEE">
        <w:rPr>
          <w:rFonts w:cs="Calibri"/>
          <w:sz w:val="24"/>
          <w:szCs w:val="24"/>
        </w:rPr>
        <w:t xml:space="preserve"> spółki.</w:t>
      </w:r>
    </w:p>
    <w:p w14:paraId="4C1DB0A2" w14:textId="68DAC85D" w:rsidR="008F6148" w:rsidRDefault="008F6148" w:rsidP="00010B2E">
      <w:pPr>
        <w:spacing w:after="0" w:line="360" w:lineRule="auto"/>
        <w:jc w:val="both"/>
        <w:rPr>
          <w:rFonts w:cs="Calibri"/>
          <w:sz w:val="24"/>
          <w:szCs w:val="24"/>
        </w:rPr>
      </w:pPr>
      <w:r w:rsidRPr="008F6148">
        <w:rPr>
          <w:rFonts w:cs="Calibri"/>
          <w:sz w:val="24"/>
          <w:szCs w:val="24"/>
        </w:rPr>
        <w:t xml:space="preserve">Zgodnie z art.67 §2 KSH – w przypadkach określonych w art.58 należy przeprowadzić likwidację spółki, chyba że wspólnicy uzgodnili inny sposób zakończenia działalności spółki.   </w:t>
      </w:r>
    </w:p>
    <w:p w14:paraId="356BA8FB" w14:textId="1B4E1358" w:rsidR="00E20DEE" w:rsidRDefault="00E20DEE" w:rsidP="00010B2E">
      <w:pPr>
        <w:spacing w:after="0" w:line="360" w:lineRule="auto"/>
        <w:jc w:val="both"/>
        <w:rPr>
          <w:rFonts w:cs="Calibri"/>
          <w:sz w:val="24"/>
          <w:szCs w:val="24"/>
        </w:rPr>
      </w:pPr>
      <w:r w:rsidRPr="00E20DEE">
        <w:rPr>
          <w:rFonts w:cs="Calibri"/>
          <w:sz w:val="24"/>
          <w:szCs w:val="24"/>
        </w:rPr>
        <w:t xml:space="preserve">Wspólnicy </w:t>
      </w:r>
      <w:r w:rsidR="00310A61">
        <w:rPr>
          <w:rFonts w:cs="Calibri"/>
          <w:sz w:val="24"/>
          <w:szCs w:val="24"/>
        </w:rPr>
        <w:t xml:space="preserve">Wnioskodawcy </w:t>
      </w:r>
      <w:r w:rsidRPr="00E20DEE">
        <w:rPr>
          <w:rFonts w:cs="Calibri"/>
          <w:sz w:val="24"/>
          <w:szCs w:val="24"/>
        </w:rPr>
        <w:t xml:space="preserve">zamierzają zakończyć działalność spółki bez przeprowadzania postępowania likwidacyjnego. W planowanym porozumieniu zdecydują o przejęciu przez jednego z nich całego majątku spółki wraz z jej zobowiązaniami. Dotychczasowa umowa spółki nie przewiduje takiego sposobu rozwiązania spółki. Dlatego jest ono obecnie jedynie zgodnym zamiarem wspólników.  </w:t>
      </w:r>
    </w:p>
    <w:p w14:paraId="46F30BA2" w14:textId="3AD32A62" w:rsidR="008F6148" w:rsidRDefault="008F6148" w:rsidP="00010B2E">
      <w:pPr>
        <w:spacing w:after="0" w:line="360" w:lineRule="auto"/>
        <w:jc w:val="both"/>
        <w:rPr>
          <w:rFonts w:cs="Calibri"/>
          <w:sz w:val="24"/>
          <w:szCs w:val="24"/>
        </w:rPr>
      </w:pPr>
      <w:r>
        <w:rPr>
          <w:rFonts w:cs="Calibri"/>
          <w:sz w:val="24"/>
          <w:szCs w:val="24"/>
        </w:rPr>
        <w:t>Skorzystani</w:t>
      </w:r>
      <w:r w:rsidR="00310A61">
        <w:rPr>
          <w:rFonts w:cs="Calibri"/>
          <w:sz w:val="24"/>
          <w:szCs w:val="24"/>
        </w:rPr>
        <w:t>e</w:t>
      </w:r>
      <w:r>
        <w:rPr>
          <w:rFonts w:cs="Calibri"/>
          <w:sz w:val="24"/>
          <w:szCs w:val="24"/>
        </w:rPr>
        <w:t xml:space="preserve"> przez wspólników </w:t>
      </w:r>
      <w:r w:rsidR="00310A61">
        <w:rPr>
          <w:rFonts w:cs="Calibri"/>
          <w:sz w:val="24"/>
          <w:szCs w:val="24"/>
        </w:rPr>
        <w:t xml:space="preserve">spółki jawnej </w:t>
      </w:r>
      <w:r>
        <w:rPr>
          <w:rFonts w:cs="Calibri"/>
          <w:sz w:val="24"/>
          <w:szCs w:val="24"/>
        </w:rPr>
        <w:t xml:space="preserve">z uproszczonego trybu rozwiązania spółki niewątpliwie stwarza ryzyko takiego uzgodnienia innego sposobu zakończenia działalności spółki, który byłby z pokrzywdzeniem wierzycieli.  </w:t>
      </w:r>
    </w:p>
    <w:p w14:paraId="4D8485D9" w14:textId="64E15A96" w:rsidR="00E20DEE" w:rsidRDefault="008F6148" w:rsidP="00010B2E">
      <w:pPr>
        <w:spacing w:after="0" w:line="360" w:lineRule="auto"/>
        <w:jc w:val="both"/>
        <w:rPr>
          <w:rFonts w:cs="Calibri"/>
          <w:sz w:val="24"/>
          <w:szCs w:val="24"/>
        </w:rPr>
      </w:pPr>
      <w:r w:rsidRPr="008F6148">
        <w:rPr>
          <w:rFonts w:cs="Calibri"/>
          <w:sz w:val="24"/>
          <w:szCs w:val="24"/>
        </w:rPr>
        <w:t xml:space="preserve">Na tym tle powstaje problem swego rodzaju sukcesji praw i obowiązków w związku </w:t>
      </w:r>
      <w:r w:rsidR="00AA0C37">
        <w:rPr>
          <w:rFonts w:cs="Calibri"/>
          <w:sz w:val="24"/>
          <w:szCs w:val="24"/>
        </w:rPr>
        <w:br/>
      </w:r>
      <w:r w:rsidRPr="008F6148">
        <w:rPr>
          <w:rFonts w:cs="Calibri"/>
          <w:sz w:val="24"/>
          <w:szCs w:val="24"/>
        </w:rPr>
        <w:t xml:space="preserve">z likwidacją spółki jawnej. Problem o tyle istotny, że w wyniku zmian wprowadzonych </w:t>
      </w:r>
      <w:r w:rsidR="00AA0C37">
        <w:rPr>
          <w:rFonts w:cs="Calibri"/>
          <w:sz w:val="24"/>
          <w:szCs w:val="24"/>
        </w:rPr>
        <w:br/>
      </w:r>
      <w:r w:rsidRPr="008F6148">
        <w:rPr>
          <w:rFonts w:cs="Calibri"/>
          <w:sz w:val="24"/>
          <w:szCs w:val="24"/>
        </w:rPr>
        <w:t xml:space="preserve">w </w:t>
      </w:r>
      <w:r>
        <w:rPr>
          <w:rFonts w:cs="Calibri"/>
          <w:sz w:val="24"/>
          <w:szCs w:val="24"/>
        </w:rPr>
        <w:t>K</w:t>
      </w:r>
      <w:r w:rsidRPr="008F6148">
        <w:rPr>
          <w:rFonts w:cs="Calibri"/>
          <w:sz w:val="24"/>
          <w:szCs w:val="24"/>
        </w:rPr>
        <w:t xml:space="preserve">odeksie spółek handlowych nastąpiło odstąpienie od wspólności łącznej wspólników spółki jawnej na rzecz podmiotowości spółki (art.8 </w:t>
      </w:r>
      <w:r>
        <w:rPr>
          <w:rFonts w:cs="Calibri"/>
          <w:sz w:val="24"/>
          <w:szCs w:val="24"/>
        </w:rPr>
        <w:t>KSH</w:t>
      </w:r>
      <w:r w:rsidRPr="008F6148">
        <w:rPr>
          <w:rFonts w:cs="Calibri"/>
          <w:sz w:val="24"/>
          <w:szCs w:val="24"/>
        </w:rPr>
        <w:t xml:space="preserve"> i art. 331 § 1 kc) i jej odrębności w stosunku do majątku wspólników. W związku z powyższym należy odejść i "przewartościować" ustalenia dotyczące tego, że proces spółki jawnej jest zawsze równocześnie procesem jej każdorazowych wspólników, jak to przyjęto w orzeczeniu Sądu Najwyższego z dnia 7 czerwca 1957 r. (IV CR 185/56). W obecnym stanie prawnym słuszne jest zatem stanowisko N</w:t>
      </w:r>
      <w:r w:rsidR="00AA0C37">
        <w:rPr>
          <w:rFonts w:cs="Calibri"/>
          <w:sz w:val="24"/>
          <w:szCs w:val="24"/>
        </w:rPr>
        <w:t xml:space="preserve">aczelnego Sądu Administracyjnego </w:t>
      </w:r>
      <w:r w:rsidRPr="008F6148">
        <w:rPr>
          <w:rFonts w:cs="Calibri"/>
          <w:sz w:val="24"/>
          <w:szCs w:val="24"/>
        </w:rPr>
        <w:t xml:space="preserve">zajęte w wyroku z dnia 9 grudnia 2015 r. (II OSK 935/14), zgodnie z którym to, że z przepisu art.22 §2 </w:t>
      </w:r>
      <w:r>
        <w:rPr>
          <w:rFonts w:cs="Calibri"/>
          <w:sz w:val="24"/>
          <w:szCs w:val="24"/>
        </w:rPr>
        <w:t>KSH</w:t>
      </w:r>
      <w:r w:rsidRPr="008F6148">
        <w:rPr>
          <w:rFonts w:cs="Calibri"/>
          <w:sz w:val="24"/>
          <w:szCs w:val="24"/>
        </w:rPr>
        <w:t xml:space="preserve"> wynika zasada ponoszenia przez każdego ze wspólników odpowiedzialności za zobowiązania spółki, nie czyni ich stronami postępowania sądowoadministracyjnego. Jak podkreślił NSA, z zasady tej nie wynika, by w sprawie administracyjnej czy też sądowoadministracyjnej stronami postępowania byli jednocześnie spółka i wspólnicy.</w:t>
      </w:r>
    </w:p>
    <w:p w14:paraId="3EB26673" w14:textId="74BC6384" w:rsidR="008F6148" w:rsidRDefault="00627A28" w:rsidP="00627A28">
      <w:pPr>
        <w:spacing w:after="0" w:line="360" w:lineRule="auto"/>
        <w:jc w:val="both"/>
        <w:rPr>
          <w:rFonts w:cs="Calibri"/>
          <w:sz w:val="24"/>
          <w:szCs w:val="24"/>
        </w:rPr>
      </w:pPr>
      <w:r w:rsidRPr="00627A28">
        <w:rPr>
          <w:rFonts w:cs="Calibri"/>
          <w:sz w:val="24"/>
          <w:szCs w:val="24"/>
        </w:rPr>
        <w:t xml:space="preserve">Okoliczność odrębności podmiotowej spółki od wspólników, wygaśnięcie zdolności sądowej spółki przez wykreślenie spółki jawnej z rejestru, nie może prowadzić jednak do wniosku, </w:t>
      </w:r>
      <w:r w:rsidR="00AA0C37">
        <w:rPr>
          <w:rFonts w:cs="Calibri"/>
          <w:sz w:val="24"/>
          <w:szCs w:val="24"/>
        </w:rPr>
        <w:br/>
      </w:r>
      <w:r w:rsidRPr="00627A28">
        <w:rPr>
          <w:rFonts w:cs="Calibri"/>
          <w:sz w:val="24"/>
          <w:szCs w:val="24"/>
        </w:rPr>
        <w:t xml:space="preserve">że w ten sposób zakończony będzie zawsze problem praw i obowiązków spółki i wspólników </w:t>
      </w:r>
      <w:r w:rsidR="00AA0C37">
        <w:rPr>
          <w:rFonts w:cs="Calibri"/>
          <w:sz w:val="24"/>
          <w:szCs w:val="24"/>
        </w:rPr>
        <w:br/>
      </w:r>
      <w:r w:rsidRPr="00627A28">
        <w:rPr>
          <w:rFonts w:cs="Calibri"/>
          <w:sz w:val="24"/>
          <w:szCs w:val="24"/>
        </w:rPr>
        <w:t>i że prawa i obowiązki przestają istnieć</w:t>
      </w:r>
      <w:r w:rsidR="008F6148">
        <w:rPr>
          <w:rFonts w:cs="Calibri"/>
          <w:sz w:val="24"/>
          <w:szCs w:val="24"/>
        </w:rPr>
        <w:t xml:space="preserve">. </w:t>
      </w:r>
    </w:p>
    <w:p w14:paraId="14A2D6EB" w14:textId="231FB6E3" w:rsidR="00627A28" w:rsidRDefault="00310A61" w:rsidP="00627A28">
      <w:pPr>
        <w:spacing w:after="0" w:line="360" w:lineRule="auto"/>
        <w:jc w:val="both"/>
        <w:rPr>
          <w:rFonts w:cs="Calibri"/>
          <w:sz w:val="24"/>
          <w:szCs w:val="24"/>
        </w:rPr>
      </w:pPr>
      <w:r>
        <w:rPr>
          <w:rFonts w:cs="Calibri"/>
          <w:sz w:val="24"/>
          <w:szCs w:val="24"/>
        </w:rPr>
        <w:t>W</w:t>
      </w:r>
      <w:r w:rsidR="00627A28" w:rsidRPr="00627A28">
        <w:rPr>
          <w:rFonts w:cs="Calibri"/>
          <w:sz w:val="24"/>
          <w:szCs w:val="24"/>
        </w:rPr>
        <w:t>yjątkowa sytuacja ma miejsce, gdy wspólnicy ustalili inny sposób zakończenia działalności spółki. W tym przypadku sytuacja jest szczególna przede wszystkim ze względu na dosyć dużą swobodę w kształtowaniu treści "innego sposobu zakończenia działalności spółki".</w:t>
      </w:r>
    </w:p>
    <w:p w14:paraId="09D9DC3C" w14:textId="6B75ECD4" w:rsidR="001B27E9" w:rsidRDefault="00627A28" w:rsidP="00627A28">
      <w:pPr>
        <w:spacing w:after="0" w:line="360" w:lineRule="auto"/>
        <w:jc w:val="both"/>
        <w:rPr>
          <w:rFonts w:cs="Calibri"/>
          <w:sz w:val="24"/>
          <w:szCs w:val="24"/>
        </w:rPr>
      </w:pPr>
      <w:r w:rsidRPr="00627A28">
        <w:rPr>
          <w:rFonts w:cs="Calibri"/>
          <w:sz w:val="24"/>
          <w:szCs w:val="24"/>
        </w:rPr>
        <w:t xml:space="preserve">Dlatego też należy poprzeć w pełni argumentację przytoczoną w uzasadnieniu wyroku Sądu Najwyższego z dnia 28 października 2005 r. (II CK 275/05), gdzie sąd wyraźnie odróżnił zagadnienie podmiotowości prawnej spółki, jej ustanie, od problemu sukcesji praw </w:t>
      </w:r>
      <w:r w:rsidR="00AA0C37">
        <w:rPr>
          <w:rFonts w:cs="Calibri"/>
          <w:sz w:val="24"/>
          <w:szCs w:val="24"/>
        </w:rPr>
        <w:br/>
      </w:r>
      <w:r w:rsidRPr="00627A28">
        <w:rPr>
          <w:rFonts w:cs="Calibri"/>
          <w:sz w:val="24"/>
          <w:szCs w:val="24"/>
        </w:rPr>
        <w:t xml:space="preserve">i obowiązków. Przyjęcie odmiennego założenia stanowi </w:t>
      </w:r>
      <w:r w:rsidR="00310A61">
        <w:rPr>
          <w:rFonts w:cs="Calibri"/>
          <w:sz w:val="24"/>
          <w:szCs w:val="24"/>
        </w:rPr>
        <w:t xml:space="preserve">bowiem </w:t>
      </w:r>
      <w:r w:rsidRPr="00627A28">
        <w:rPr>
          <w:rFonts w:cs="Calibri"/>
          <w:sz w:val="24"/>
          <w:szCs w:val="24"/>
        </w:rPr>
        <w:t xml:space="preserve">zagrożenie dla obrotu gospodarczego. Zastosowanie art.67 </w:t>
      </w:r>
      <w:r w:rsidR="008F6148">
        <w:rPr>
          <w:rFonts w:cs="Calibri"/>
          <w:sz w:val="24"/>
          <w:szCs w:val="24"/>
        </w:rPr>
        <w:t>KSH</w:t>
      </w:r>
      <w:r w:rsidRPr="00627A28">
        <w:rPr>
          <w:rFonts w:cs="Calibri"/>
          <w:sz w:val="24"/>
          <w:szCs w:val="24"/>
        </w:rPr>
        <w:t xml:space="preserve"> polegające na odstąpieniu od przeprowadzenia likwidacji musi być powiązane z przyjęciem sukcesji praw i obowiązków wspólników, nawet </w:t>
      </w:r>
      <w:r w:rsidR="00AA0C37">
        <w:rPr>
          <w:rFonts w:cs="Calibri"/>
          <w:sz w:val="24"/>
          <w:szCs w:val="24"/>
        </w:rPr>
        <w:br/>
      </w:r>
      <w:r w:rsidRPr="00627A28">
        <w:rPr>
          <w:rFonts w:cs="Calibri"/>
          <w:sz w:val="24"/>
          <w:szCs w:val="24"/>
        </w:rPr>
        <w:t>po wykreśleniu spółki z rejestru. Skutkiem jest też odejście od solidarnej odpowiedzialności wspólników razem ze spółką na rzecz solidarnej odpowiedzialności samych wspólników</w:t>
      </w:r>
      <w:r w:rsidR="001B27E9">
        <w:rPr>
          <w:rFonts w:cs="Calibri"/>
          <w:sz w:val="24"/>
          <w:szCs w:val="24"/>
        </w:rPr>
        <w:t xml:space="preserve">. Takie </w:t>
      </w:r>
      <w:r w:rsidR="00310A61">
        <w:rPr>
          <w:rFonts w:cs="Calibri"/>
          <w:sz w:val="24"/>
          <w:szCs w:val="24"/>
        </w:rPr>
        <w:t xml:space="preserve">rozumienie sukcesji ogółu praw i obowiązków wspólników spółki jawnej potwierdzają również </w:t>
      </w:r>
      <w:r w:rsidR="001B27E9">
        <w:rPr>
          <w:rFonts w:cs="Calibri"/>
          <w:sz w:val="24"/>
          <w:szCs w:val="24"/>
        </w:rPr>
        <w:t xml:space="preserve"> wyrok</w:t>
      </w:r>
      <w:r w:rsidR="00310A61">
        <w:rPr>
          <w:rFonts w:cs="Calibri"/>
          <w:sz w:val="24"/>
          <w:szCs w:val="24"/>
        </w:rPr>
        <w:t>i</w:t>
      </w:r>
      <w:r w:rsidR="001B27E9">
        <w:rPr>
          <w:rFonts w:cs="Calibri"/>
          <w:sz w:val="24"/>
          <w:szCs w:val="24"/>
        </w:rPr>
        <w:t>:</w:t>
      </w:r>
    </w:p>
    <w:p w14:paraId="5CD1F590" w14:textId="260B6EA3" w:rsidR="00627A28" w:rsidRDefault="00627A28" w:rsidP="001B27E9">
      <w:pPr>
        <w:pStyle w:val="Akapitzlist"/>
        <w:numPr>
          <w:ilvl w:val="0"/>
          <w:numId w:val="23"/>
        </w:numPr>
        <w:spacing w:after="0" w:line="360" w:lineRule="auto"/>
        <w:jc w:val="both"/>
        <w:rPr>
          <w:rFonts w:cs="Calibri"/>
          <w:sz w:val="24"/>
          <w:szCs w:val="24"/>
        </w:rPr>
      </w:pPr>
      <w:r w:rsidRPr="001B27E9">
        <w:rPr>
          <w:rFonts w:cs="Calibri"/>
          <w:sz w:val="24"/>
          <w:szCs w:val="24"/>
        </w:rPr>
        <w:t>S</w:t>
      </w:r>
      <w:r w:rsidR="001B27E9" w:rsidRPr="001B27E9">
        <w:rPr>
          <w:rFonts w:cs="Calibri"/>
          <w:sz w:val="24"/>
          <w:szCs w:val="24"/>
        </w:rPr>
        <w:t xml:space="preserve">ądu Apelacyjnego </w:t>
      </w:r>
      <w:r w:rsidRPr="001B27E9">
        <w:rPr>
          <w:rFonts w:cs="Calibri"/>
          <w:sz w:val="24"/>
          <w:szCs w:val="24"/>
        </w:rPr>
        <w:t>w Katowicach z dnia 11 stycznia 2017 r.</w:t>
      </w:r>
      <w:r w:rsidR="001B27E9" w:rsidRPr="001B27E9">
        <w:rPr>
          <w:rFonts w:cs="Calibri"/>
          <w:sz w:val="24"/>
          <w:szCs w:val="24"/>
        </w:rPr>
        <w:t>(</w:t>
      </w:r>
      <w:r w:rsidRPr="001B27E9">
        <w:rPr>
          <w:rFonts w:cs="Calibri"/>
          <w:sz w:val="24"/>
          <w:szCs w:val="24"/>
        </w:rPr>
        <w:t>I ACa 739/16</w:t>
      </w:r>
      <w:r w:rsidR="001B27E9" w:rsidRPr="001B27E9">
        <w:rPr>
          <w:rFonts w:cs="Calibri"/>
          <w:sz w:val="24"/>
          <w:szCs w:val="24"/>
        </w:rPr>
        <w:t>)</w:t>
      </w:r>
      <w:r w:rsidRPr="001B27E9">
        <w:rPr>
          <w:rFonts w:cs="Calibri"/>
          <w:sz w:val="24"/>
          <w:szCs w:val="24"/>
        </w:rPr>
        <w:t xml:space="preserve">, w którym przyjęto, że wspólnik spółki jawnej, której byt prawny zakończył się bez przeprowadzenia postępowania likwidacyjnego, ponosi solidarną odpowiedzialność </w:t>
      </w:r>
      <w:r w:rsidR="00AA0C37">
        <w:rPr>
          <w:rFonts w:cs="Calibri"/>
          <w:sz w:val="24"/>
          <w:szCs w:val="24"/>
        </w:rPr>
        <w:br/>
      </w:r>
      <w:r w:rsidRPr="001B27E9">
        <w:rPr>
          <w:rFonts w:cs="Calibri"/>
          <w:sz w:val="24"/>
          <w:szCs w:val="24"/>
        </w:rPr>
        <w:t>z innymi wspólnikami za zobowiązania spółki</w:t>
      </w:r>
      <w:r w:rsidR="001B27E9">
        <w:rPr>
          <w:rFonts w:cs="Calibri"/>
          <w:sz w:val="24"/>
          <w:szCs w:val="24"/>
        </w:rPr>
        <w:t>,</w:t>
      </w:r>
    </w:p>
    <w:p w14:paraId="6DFA3C24" w14:textId="77777777" w:rsidR="0002498C" w:rsidRDefault="001B27E9" w:rsidP="001B27E9">
      <w:pPr>
        <w:pStyle w:val="Akapitzlist"/>
        <w:numPr>
          <w:ilvl w:val="0"/>
          <w:numId w:val="23"/>
        </w:numPr>
        <w:spacing w:after="0" w:line="360" w:lineRule="auto"/>
        <w:jc w:val="both"/>
        <w:rPr>
          <w:rFonts w:cs="Calibri"/>
          <w:sz w:val="24"/>
          <w:szCs w:val="24"/>
        </w:rPr>
      </w:pPr>
      <w:r w:rsidRPr="001B27E9">
        <w:rPr>
          <w:rFonts w:cs="Calibri"/>
          <w:sz w:val="24"/>
          <w:szCs w:val="24"/>
        </w:rPr>
        <w:t>S</w:t>
      </w:r>
      <w:r>
        <w:rPr>
          <w:rFonts w:cs="Calibri"/>
          <w:sz w:val="24"/>
          <w:szCs w:val="24"/>
        </w:rPr>
        <w:t xml:space="preserve">ądu Najwyższego </w:t>
      </w:r>
      <w:r w:rsidRPr="001B27E9">
        <w:rPr>
          <w:rFonts w:cs="Calibri"/>
          <w:sz w:val="24"/>
          <w:szCs w:val="24"/>
        </w:rPr>
        <w:t>z dnia 24 lipca 2009 r.</w:t>
      </w:r>
      <w:r>
        <w:rPr>
          <w:rFonts w:cs="Calibri"/>
          <w:sz w:val="24"/>
          <w:szCs w:val="24"/>
        </w:rPr>
        <w:t xml:space="preserve"> (</w:t>
      </w:r>
      <w:r w:rsidRPr="001B27E9">
        <w:rPr>
          <w:rFonts w:cs="Calibri"/>
          <w:sz w:val="24"/>
          <w:szCs w:val="24"/>
        </w:rPr>
        <w:t>II CSK 134/09</w:t>
      </w:r>
      <w:r>
        <w:rPr>
          <w:rFonts w:cs="Calibri"/>
          <w:sz w:val="24"/>
          <w:szCs w:val="24"/>
        </w:rPr>
        <w:t>)</w:t>
      </w:r>
      <w:r w:rsidRPr="001B27E9">
        <w:rPr>
          <w:rFonts w:cs="Calibri"/>
          <w:sz w:val="24"/>
          <w:szCs w:val="24"/>
        </w:rPr>
        <w:t>, zgodnie z którym wspólnicy spółki jawnej, którzy podjęli uchwałę o jej rozwiązaniu bez przeprowadzenia likwidacji i bez określenia sposobu zaspokojenia długów, są następcami prawnymi tej spółki</w:t>
      </w:r>
      <w:r w:rsidR="0002498C">
        <w:rPr>
          <w:rFonts w:cs="Calibri"/>
          <w:sz w:val="24"/>
          <w:szCs w:val="24"/>
        </w:rPr>
        <w:t>,</w:t>
      </w:r>
    </w:p>
    <w:p w14:paraId="26E41765" w14:textId="59103CFB" w:rsidR="0002498C" w:rsidRPr="0002498C" w:rsidRDefault="0002498C" w:rsidP="0002498C">
      <w:pPr>
        <w:pStyle w:val="Akapitzlist"/>
        <w:numPr>
          <w:ilvl w:val="0"/>
          <w:numId w:val="23"/>
        </w:numPr>
        <w:spacing w:after="0" w:line="360" w:lineRule="auto"/>
        <w:jc w:val="both"/>
        <w:rPr>
          <w:rFonts w:cs="Calibri"/>
          <w:sz w:val="24"/>
          <w:szCs w:val="24"/>
        </w:rPr>
      </w:pPr>
      <w:r w:rsidRPr="0002498C">
        <w:rPr>
          <w:rFonts w:cs="Calibri"/>
          <w:sz w:val="24"/>
          <w:szCs w:val="24"/>
        </w:rPr>
        <w:t>N</w:t>
      </w:r>
      <w:r w:rsidR="00AA0C37">
        <w:rPr>
          <w:rFonts w:cs="Calibri"/>
          <w:sz w:val="24"/>
          <w:szCs w:val="24"/>
        </w:rPr>
        <w:t>aczelnego Sądu Administracyjnego</w:t>
      </w:r>
      <w:r w:rsidRPr="0002498C">
        <w:rPr>
          <w:rFonts w:cs="Calibri"/>
          <w:sz w:val="24"/>
          <w:szCs w:val="24"/>
        </w:rPr>
        <w:t xml:space="preserve"> z dnia 26 kwietnia 2013 r.(I FSK 525/12), zgodnie z którym z art.67 §1 KSH wynika uprawnienie wspólników do wskazania sukcesora na wypadek uzgodnienia innego niż likwidacja sposobu zakończenia działalności spółki</w:t>
      </w:r>
      <w:r>
        <w:rPr>
          <w:rFonts w:cs="Calibri"/>
          <w:sz w:val="24"/>
          <w:szCs w:val="24"/>
        </w:rPr>
        <w:t>,</w:t>
      </w:r>
      <w:r w:rsidRPr="0002498C">
        <w:rPr>
          <w:rFonts w:cs="Calibri"/>
          <w:sz w:val="24"/>
          <w:szCs w:val="24"/>
        </w:rPr>
        <w:t xml:space="preserve"> </w:t>
      </w:r>
    </w:p>
    <w:p w14:paraId="1762495F" w14:textId="5FBC1C3C" w:rsidR="0002498C" w:rsidRPr="0002498C" w:rsidRDefault="0002498C" w:rsidP="0002498C">
      <w:pPr>
        <w:pStyle w:val="Akapitzlist"/>
        <w:numPr>
          <w:ilvl w:val="0"/>
          <w:numId w:val="23"/>
        </w:numPr>
        <w:spacing w:after="0" w:line="360" w:lineRule="auto"/>
        <w:jc w:val="both"/>
        <w:rPr>
          <w:rFonts w:cs="Calibri"/>
          <w:sz w:val="24"/>
          <w:szCs w:val="24"/>
        </w:rPr>
      </w:pPr>
      <w:r w:rsidRPr="0002498C">
        <w:rPr>
          <w:rFonts w:cs="Calibri"/>
          <w:sz w:val="24"/>
          <w:szCs w:val="24"/>
        </w:rPr>
        <w:t>Sądu Najwyższego z dnia 10 października 2007 r. (I CSK 263/07)</w:t>
      </w:r>
      <w:r>
        <w:rPr>
          <w:rFonts w:cs="Calibri"/>
          <w:sz w:val="24"/>
          <w:szCs w:val="24"/>
        </w:rPr>
        <w:t>, w którym wskazano</w:t>
      </w:r>
      <w:r w:rsidRPr="0002498C">
        <w:rPr>
          <w:rFonts w:cs="Calibri"/>
          <w:sz w:val="24"/>
          <w:szCs w:val="24"/>
        </w:rPr>
        <w:t xml:space="preserve">, że </w:t>
      </w:r>
      <w:r w:rsidRPr="0002498C">
        <w:rPr>
          <w:rFonts w:cs="Calibri"/>
          <w:i/>
          <w:iCs/>
          <w:sz w:val="24"/>
          <w:szCs w:val="24"/>
        </w:rPr>
        <w:t>„(…) z momentem jej wykreślenia z KRS bądź dochodzi do likwidacji spółki, bądź zakończenia działalności spółki w inny sposób (art.67 §1 KSH). W ramach czynności likwidacyjnych następuje m.in. wypełnienie zobowiązań spółki (art.77 §1 KSH). W ramach ustawowego upoważnienia wspólnicy mogą w odmienny sposób uregulować następstwo zobowiązań. Jeśli tego nie uczynią, pozostają nadal sukcesorami spółki, co wynika wprost z art.22 KSH. W takiej sytuacji nie znajdują już jednak zastosowania art. 31 KSH, a także art.35 KSH</w:t>
      </w:r>
      <w:r>
        <w:rPr>
          <w:rFonts w:cs="Calibri"/>
          <w:i/>
          <w:iCs/>
          <w:sz w:val="24"/>
          <w:szCs w:val="24"/>
        </w:rPr>
        <w:t xml:space="preserve"> (…)</w:t>
      </w:r>
      <w:r w:rsidRPr="0002498C">
        <w:rPr>
          <w:rFonts w:cs="Calibri"/>
          <w:i/>
          <w:iCs/>
          <w:sz w:val="24"/>
          <w:szCs w:val="24"/>
        </w:rPr>
        <w:t>.”</w:t>
      </w:r>
    </w:p>
    <w:p w14:paraId="757A7097" w14:textId="3E07B994" w:rsidR="001B27E9" w:rsidRDefault="00627A28" w:rsidP="00627A28">
      <w:pPr>
        <w:spacing w:after="0" w:line="360" w:lineRule="auto"/>
        <w:jc w:val="both"/>
        <w:rPr>
          <w:rFonts w:cs="Calibri"/>
          <w:sz w:val="24"/>
          <w:szCs w:val="24"/>
        </w:rPr>
      </w:pPr>
      <w:r w:rsidRPr="00627A28">
        <w:rPr>
          <w:rFonts w:cs="Calibri"/>
          <w:sz w:val="24"/>
          <w:szCs w:val="24"/>
        </w:rPr>
        <w:t>Przyjąć więc należy, że w przypadku podjęcia przez wspólników uchwały o "innym sposobie zakończenia działalności spółki", jeżeli nie podejmują oni stosownych rozstrzygnięć co do praw i obowiązków, ma miejsce sukcesja tychże praw i obowiązków przez wspólników</w:t>
      </w:r>
      <w:r w:rsidR="001B27E9">
        <w:rPr>
          <w:rFonts w:cs="Calibri"/>
          <w:sz w:val="24"/>
          <w:szCs w:val="24"/>
        </w:rPr>
        <w:t>.</w:t>
      </w:r>
      <w:r w:rsidRPr="00627A28">
        <w:rPr>
          <w:rFonts w:cs="Calibri"/>
          <w:sz w:val="24"/>
          <w:szCs w:val="24"/>
        </w:rPr>
        <w:t xml:space="preserve"> </w:t>
      </w:r>
    </w:p>
    <w:p w14:paraId="1675FC5B" w14:textId="19E2B1AB" w:rsidR="00DF2B7E" w:rsidRDefault="00627A28" w:rsidP="0002498C">
      <w:pPr>
        <w:spacing w:after="0" w:line="360" w:lineRule="auto"/>
        <w:jc w:val="both"/>
        <w:rPr>
          <w:rFonts w:cs="Calibri"/>
          <w:i/>
          <w:iCs/>
          <w:sz w:val="24"/>
          <w:szCs w:val="24"/>
        </w:rPr>
      </w:pPr>
      <w:r w:rsidRPr="00627A28">
        <w:rPr>
          <w:rFonts w:cs="Calibri"/>
          <w:sz w:val="24"/>
          <w:szCs w:val="24"/>
        </w:rPr>
        <w:t>Oczywiście w ramach "innego sposobu zakończenia działalności spółki" można określić odmienne zasady sukcesji niż zaprezentowane Nie jest więc wykluczone wskazanie jednego wspólnika - sukcesora, części z nich, innych osób, ale z oczywistych względów zawsze za ich zgodą</w:t>
      </w:r>
      <w:r w:rsidR="0002498C">
        <w:rPr>
          <w:rFonts w:cs="Calibri"/>
          <w:sz w:val="24"/>
          <w:szCs w:val="24"/>
        </w:rPr>
        <w:t>.</w:t>
      </w:r>
      <w:r w:rsidR="008D76F6">
        <w:rPr>
          <w:rFonts w:cs="Calibri"/>
          <w:sz w:val="24"/>
          <w:szCs w:val="24"/>
        </w:rPr>
        <w:t xml:space="preserve"> </w:t>
      </w:r>
    </w:p>
    <w:p w14:paraId="2CEE11C7" w14:textId="6ECF62A0" w:rsidR="0002498C" w:rsidRDefault="00AA0C37" w:rsidP="00FF28FA">
      <w:pPr>
        <w:spacing w:after="0" w:line="360" w:lineRule="auto"/>
        <w:jc w:val="both"/>
        <w:rPr>
          <w:rFonts w:cs="Calibri"/>
          <w:sz w:val="24"/>
          <w:szCs w:val="24"/>
        </w:rPr>
      </w:pPr>
      <w:r>
        <w:rPr>
          <w:rFonts w:cs="Calibri"/>
          <w:sz w:val="24"/>
          <w:szCs w:val="24"/>
        </w:rPr>
        <w:t>Należy jednak stwierdzić, że w</w:t>
      </w:r>
      <w:r w:rsidR="00FF28FA">
        <w:rPr>
          <w:rFonts w:cs="Calibri"/>
          <w:sz w:val="24"/>
          <w:szCs w:val="24"/>
        </w:rPr>
        <w:t xml:space="preserve">ynikająca </w:t>
      </w:r>
      <w:r w:rsidR="0002498C">
        <w:rPr>
          <w:rFonts w:cs="Calibri"/>
          <w:sz w:val="24"/>
          <w:szCs w:val="24"/>
        </w:rPr>
        <w:t xml:space="preserve">jedynie </w:t>
      </w:r>
      <w:r w:rsidR="00FF28FA">
        <w:rPr>
          <w:rFonts w:cs="Calibri"/>
          <w:sz w:val="24"/>
          <w:szCs w:val="24"/>
        </w:rPr>
        <w:t>z orzecznictwa z</w:t>
      </w:r>
      <w:r w:rsidR="009006B6">
        <w:rPr>
          <w:rFonts w:cs="Calibri"/>
          <w:sz w:val="24"/>
          <w:szCs w:val="24"/>
        </w:rPr>
        <w:t>asada s</w:t>
      </w:r>
      <w:r w:rsidR="00925841">
        <w:rPr>
          <w:rFonts w:cs="Calibri"/>
          <w:sz w:val="24"/>
          <w:szCs w:val="24"/>
        </w:rPr>
        <w:t>ukcesj</w:t>
      </w:r>
      <w:r w:rsidR="009006B6">
        <w:rPr>
          <w:rFonts w:cs="Calibri"/>
          <w:sz w:val="24"/>
          <w:szCs w:val="24"/>
        </w:rPr>
        <w:t>i</w:t>
      </w:r>
      <w:r w:rsidR="00925841">
        <w:rPr>
          <w:rFonts w:cs="Calibri"/>
          <w:sz w:val="24"/>
          <w:szCs w:val="24"/>
        </w:rPr>
        <w:t xml:space="preserve"> praw </w:t>
      </w:r>
      <w:r>
        <w:rPr>
          <w:rFonts w:cs="Calibri"/>
          <w:sz w:val="24"/>
          <w:szCs w:val="24"/>
        </w:rPr>
        <w:br/>
      </w:r>
      <w:r w:rsidR="00925841">
        <w:rPr>
          <w:rFonts w:cs="Calibri"/>
          <w:sz w:val="24"/>
          <w:szCs w:val="24"/>
        </w:rPr>
        <w:t xml:space="preserve">i obowiązków przez wspólników lub wspólnika po spółce jawnej – </w:t>
      </w:r>
      <w:r w:rsidR="009006B6">
        <w:rPr>
          <w:rFonts w:cs="Calibri"/>
          <w:sz w:val="24"/>
          <w:szCs w:val="24"/>
        </w:rPr>
        <w:t>odnosi się do sukcesji cywilnoprawnej</w:t>
      </w:r>
      <w:r w:rsidR="00FF62EC">
        <w:rPr>
          <w:rFonts w:cs="Calibri"/>
          <w:sz w:val="24"/>
          <w:szCs w:val="24"/>
        </w:rPr>
        <w:t xml:space="preserve">. Podobnie w przypadku </w:t>
      </w:r>
      <w:r w:rsidR="00925841">
        <w:rPr>
          <w:rFonts w:cs="Calibri"/>
          <w:sz w:val="24"/>
          <w:szCs w:val="24"/>
        </w:rPr>
        <w:t xml:space="preserve">uregulowań zawartych w </w:t>
      </w:r>
      <w:bookmarkStart w:id="5" w:name="_Hlk43381986"/>
      <w:r w:rsidR="00925841">
        <w:rPr>
          <w:rFonts w:cs="Calibri"/>
          <w:sz w:val="24"/>
          <w:szCs w:val="24"/>
        </w:rPr>
        <w:t xml:space="preserve">art.494 </w:t>
      </w:r>
      <w:r w:rsidR="00925841">
        <w:rPr>
          <w:rFonts w:cstheme="minorHAnsi"/>
          <w:sz w:val="24"/>
          <w:szCs w:val="24"/>
        </w:rPr>
        <w:t>§</w:t>
      </w:r>
      <w:r w:rsidR="00925841">
        <w:rPr>
          <w:rFonts w:cs="Calibri"/>
          <w:sz w:val="24"/>
          <w:szCs w:val="24"/>
        </w:rPr>
        <w:t xml:space="preserve">1 KSH, </w:t>
      </w:r>
      <w:r w:rsidR="00FF62EC">
        <w:rPr>
          <w:rFonts w:cs="Calibri"/>
          <w:sz w:val="24"/>
          <w:szCs w:val="24"/>
        </w:rPr>
        <w:t xml:space="preserve">art.531 </w:t>
      </w:r>
      <w:r w:rsidR="00FF62EC">
        <w:rPr>
          <w:rFonts w:cstheme="minorHAnsi"/>
          <w:sz w:val="24"/>
          <w:szCs w:val="24"/>
        </w:rPr>
        <w:t>§</w:t>
      </w:r>
      <w:r w:rsidR="00FF62EC">
        <w:rPr>
          <w:rFonts w:cs="Calibri"/>
          <w:sz w:val="24"/>
          <w:szCs w:val="24"/>
        </w:rPr>
        <w:t xml:space="preserve">1, </w:t>
      </w:r>
      <w:r w:rsidR="00925841">
        <w:rPr>
          <w:rFonts w:cs="Calibri"/>
          <w:sz w:val="24"/>
          <w:szCs w:val="24"/>
        </w:rPr>
        <w:t xml:space="preserve">art.553 </w:t>
      </w:r>
      <w:r w:rsidR="00925841">
        <w:rPr>
          <w:rFonts w:cstheme="minorHAnsi"/>
          <w:sz w:val="24"/>
          <w:szCs w:val="24"/>
        </w:rPr>
        <w:t>§</w:t>
      </w:r>
      <w:r w:rsidR="00925841">
        <w:rPr>
          <w:rFonts w:cs="Calibri"/>
          <w:sz w:val="24"/>
          <w:szCs w:val="24"/>
        </w:rPr>
        <w:t>1 KSH czy art.584</w:t>
      </w:r>
      <w:r w:rsidR="009006B6">
        <w:rPr>
          <w:rFonts w:cs="Calibri"/>
          <w:sz w:val="24"/>
          <w:szCs w:val="24"/>
          <w:vertAlign w:val="superscript"/>
        </w:rPr>
        <w:t>2</w:t>
      </w:r>
      <w:r w:rsidR="00925841">
        <w:rPr>
          <w:rFonts w:cs="Calibri"/>
          <w:sz w:val="24"/>
          <w:szCs w:val="24"/>
        </w:rPr>
        <w:t xml:space="preserve"> </w:t>
      </w:r>
      <w:r w:rsidR="009006B6">
        <w:rPr>
          <w:rFonts w:cstheme="minorHAnsi"/>
          <w:sz w:val="24"/>
          <w:szCs w:val="24"/>
        </w:rPr>
        <w:t>§</w:t>
      </w:r>
      <w:r w:rsidR="009006B6">
        <w:rPr>
          <w:rFonts w:cs="Calibri"/>
          <w:sz w:val="24"/>
          <w:szCs w:val="24"/>
        </w:rPr>
        <w:t>1 KSH</w:t>
      </w:r>
      <w:bookmarkEnd w:id="5"/>
      <w:r w:rsidR="009006B6">
        <w:rPr>
          <w:rFonts w:cs="Calibri"/>
          <w:sz w:val="24"/>
          <w:szCs w:val="24"/>
        </w:rPr>
        <w:t xml:space="preserve">, odnoszących się do sukcesji praw i obowiązków w wyniku przejęcia, łączenia, podziału </w:t>
      </w:r>
      <w:r w:rsidR="00FF28FA">
        <w:rPr>
          <w:rFonts w:cs="Calibri"/>
          <w:sz w:val="24"/>
          <w:szCs w:val="24"/>
        </w:rPr>
        <w:t>i</w:t>
      </w:r>
      <w:r w:rsidR="009006B6">
        <w:rPr>
          <w:rFonts w:cs="Calibri"/>
          <w:sz w:val="24"/>
          <w:szCs w:val="24"/>
        </w:rPr>
        <w:t xml:space="preserve"> przekształcenia spółki z o.o. oraz przekształcenia przedsiębiorcy w spółkę kapitałową</w:t>
      </w:r>
      <w:r w:rsidR="00FF62EC">
        <w:rPr>
          <w:rFonts w:cs="Calibri"/>
          <w:sz w:val="24"/>
          <w:szCs w:val="24"/>
        </w:rPr>
        <w:t xml:space="preserve"> – one również dotyczą tylko sukcesji cywilnoprawnej</w:t>
      </w:r>
      <w:r w:rsidR="009006B6">
        <w:rPr>
          <w:rFonts w:cs="Calibri"/>
          <w:sz w:val="24"/>
          <w:szCs w:val="24"/>
        </w:rPr>
        <w:t>.</w:t>
      </w:r>
    </w:p>
    <w:p w14:paraId="02617D7D" w14:textId="009B10BD" w:rsidR="00FF28FA" w:rsidRDefault="0002498C" w:rsidP="00FF28FA">
      <w:pPr>
        <w:spacing w:after="0" w:line="360" w:lineRule="auto"/>
        <w:jc w:val="both"/>
        <w:rPr>
          <w:rFonts w:cs="Calibri"/>
          <w:sz w:val="24"/>
          <w:szCs w:val="24"/>
        </w:rPr>
      </w:pPr>
      <w:r>
        <w:rPr>
          <w:rFonts w:cs="Calibri"/>
          <w:sz w:val="24"/>
          <w:szCs w:val="24"/>
        </w:rPr>
        <w:t>Z kolei, a</w:t>
      </w:r>
      <w:r w:rsidR="00FF62EC">
        <w:rPr>
          <w:rFonts w:cs="Calibri"/>
          <w:sz w:val="24"/>
          <w:szCs w:val="24"/>
        </w:rPr>
        <w:t>by doszło do sukcesji administracyjnoprawnej</w:t>
      </w:r>
      <w:r w:rsidR="009006B6">
        <w:rPr>
          <w:rFonts w:cs="Calibri"/>
          <w:sz w:val="24"/>
          <w:szCs w:val="24"/>
        </w:rPr>
        <w:t xml:space="preserve"> </w:t>
      </w:r>
      <w:r w:rsidR="00FF62EC">
        <w:rPr>
          <w:rFonts w:cs="Calibri"/>
          <w:sz w:val="24"/>
          <w:szCs w:val="24"/>
        </w:rPr>
        <w:t xml:space="preserve">musi być wyraźna norma prawna. </w:t>
      </w:r>
      <w:r w:rsidR="00AA0C37">
        <w:rPr>
          <w:rFonts w:cs="Calibri"/>
          <w:sz w:val="24"/>
          <w:szCs w:val="24"/>
        </w:rPr>
        <w:br/>
      </w:r>
      <w:r w:rsidR="00FF62EC">
        <w:rPr>
          <w:rFonts w:cs="Calibri"/>
          <w:sz w:val="24"/>
          <w:szCs w:val="24"/>
        </w:rPr>
        <w:t xml:space="preserve">W sytuacji </w:t>
      </w:r>
      <w:r w:rsidR="00FF62EC" w:rsidRPr="00FF62EC">
        <w:rPr>
          <w:rFonts w:cs="Calibri"/>
          <w:sz w:val="24"/>
          <w:szCs w:val="24"/>
        </w:rPr>
        <w:t xml:space="preserve">przejęcia, łączenia, podziału </w:t>
      </w:r>
      <w:r w:rsidR="00FF28FA">
        <w:rPr>
          <w:rFonts w:cs="Calibri"/>
          <w:sz w:val="24"/>
          <w:szCs w:val="24"/>
        </w:rPr>
        <w:t>i</w:t>
      </w:r>
      <w:r w:rsidR="00FF62EC" w:rsidRPr="00FF62EC">
        <w:rPr>
          <w:rFonts w:cs="Calibri"/>
          <w:sz w:val="24"/>
          <w:szCs w:val="24"/>
        </w:rPr>
        <w:t xml:space="preserve"> przekształcenia spółki z o.o. oraz przekształcenia przedsiębiorcy w spółkę kapitałową</w:t>
      </w:r>
      <w:r w:rsidR="00925841">
        <w:rPr>
          <w:rFonts w:cs="Calibri"/>
          <w:sz w:val="24"/>
          <w:szCs w:val="24"/>
        </w:rPr>
        <w:t xml:space="preserve"> </w:t>
      </w:r>
      <w:r w:rsidR="00FF28FA">
        <w:rPr>
          <w:rFonts w:cs="Calibri"/>
          <w:sz w:val="24"/>
          <w:szCs w:val="24"/>
        </w:rPr>
        <w:t xml:space="preserve">takie normy prawne </w:t>
      </w:r>
      <w:r w:rsidR="00AA0C37">
        <w:rPr>
          <w:rFonts w:cs="Calibri"/>
          <w:sz w:val="24"/>
          <w:szCs w:val="24"/>
        </w:rPr>
        <w:t>są określone</w:t>
      </w:r>
      <w:r w:rsidR="00FF28FA">
        <w:rPr>
          <w:rFonts w:cs="Calibri"/>
          <w:sz w:val="24"/>
          <w:szCs w:val="24"/>
        </w:rPr>
        <w:t xml:space="preserve"> w </w:t>
      </w:r>
      <w:r w:rsidR="00FF28FA" w:rsidRPr="00FF28FA">
        <w:rPr>
          <w:rFonts w:cs="Calibri"/>
          <w:sz w:val="24"/>
          <w:szCs w:val="24"/>
        </w:rPr>
        <w:t>art.494 §</w:t>
      </w:r>
      <w:r w:rsidR="00FF28FA">
        <w:rPr>
          <w:rFonts w:cs="Calibri"/>
          <w:sz w:val="24"/>
          <w:szCs w:val="24"/>
        </w:rPr>
        <w:t>2</w:t>
      </w:r>
      <w:r w:rsidR="00FF28FA" w:rsidRPr="00FF28FA">
        <w:rPr>
          <w:rFonts w:cs="Calibri"/>
          <w:sz w:val="24"/>
          <w:szCs w:val="24"/>
        </w:rPr>
        <w:t xml:space="preserve"> KSH, art.531 §</w:t>
      </w:r>
      <w:r w:rsidR="00FF28FA">
        <w:rPr>
          <w:rFonts w:cs="Calibri"/>
          <w:sz w:val="24"/>
          <w:szCs w:val="24"/>
        </w:rPr>
        <w:t>2</w:t>
      </w:r>
      <w:r w:rsidR="00FF28FA" w:rsidRPr="00FF28FA">
        <w:rPr>
          <w:rFonts w:cs="Calibri"/>
          <w:sz w:val="24"/>
          <w:szCs w:val="24"/>
        </w:rPr>
        <w:t>, art.553 §</w:t>
      </w:r>
      <w:r w:rsidR="00FF28FA">
        <w:rPr>
          <w:rFonts w:cs="Calibri"/>
          <w:sz w:val="24"/>
          <w:szCs w:val="24"/>
        </w:rPr>
        <w:t>2</w:t>
      </w:r>
      <w:r w:rsidR="00FF28FA" w:rsidRPr="00FF28FA">
        <w:rPr>
          <w:rFonts w:cs="Calibri"/>
          <w:sz w:val="24"/>
          <w:szCs w:val="24"/>
        </w:rPr>
        <w:t xml:space="preserve"> KSH </w:t>
      </w:r>
      <w:r w:rsidR="00FF28FA">
        <w:rPr>
          <w:rFonts w:cs="Calibri"/>
          <w:sz w:val="24"/>
          <w:szCs w:val="24"/>
        </w:rPr>
        <w:t>oraz</w:t>
      </w:r>
      <w:r w:rsidR="00FF28FA" w:rsidRPr="00FF28FA">
        <w:rPr>
          <w:rFonts w:cs="Calibri"/>
          <w:sz w:val="24"/>
          <w:szCs w:val="24"/>
        </w:rPr>
        <w:t>art.584</w:t>
      </w:r>
      <w:r w:rsidR="00FF28FA">
        <w:rPr>
          <w:rFonts w:cs="Calibri"/>
          <w:sz w:val="24"/>
          <w:szCs w:val="24"/>
          <w:vertAlign w:val="superscript"/>
        </w:rPr>
        <w:t>2</w:t>
      </w:r>
      <w:r w:rsidR="00FF28FA" w:rsidRPr="00FF28FA">
        <w:rPr>
          <w:rFonts w:cs="Calibri"/>
          <w:sz w:val="24"/>
          <w:szCs w:val="24"/>
        </w:rPr>
        <w:t xml:space="preserve"> §</w:t>
      </w:r>
      <w:r w:rsidR="00FF28FA">
        <w:rPr>
          <w:rFonts w:cs="Calibri"/>
          <w:sz w:val="24"/>
          <w:szCs w:val="24"/>
        </w:rPr>
        <w:t>2</w:t>
      </w:r>
      <w:r w:rsidR="00FF28FA" w:rsidRPr="00FF28FA">
        <w:rPr>
          <w:rFonts w:cs="Calibri"/>
          <w:sz w:val="24"/>
          <w:szCs w:val="24"/>
        </w:rPr>
        <w:t xml:space="preserve"> KSH</w:t>
      </w:r>
      <w:r w:rsidR="00FF28FA">
        <w:rPr>
          <w:rFonts w:cs="Calibri"/>
          <w:sz w:val="24"/>
          <w:szCs w:val="24"/>
        </w:rPr>
        <w:t xml:space="preserve">. </w:t>
      </w:r>
      <w:r>
        <w:rPr>
          <w:rFonts w:cs="Calibri"/>
          <w:sz w:val="24"/>
          <w:szCs w:val="24"/>
        </w:rPr>
        <w:t>Zatem n</w:t>
      </w:r>
      <w:r w:rsidR="00925841" w:rsidRPr="00925841">
        <w:rPr>
          <w:rFonts w:cs="Calibri"/>
          <w:sz w:val="24"/>
          <w:szCs w:val="24"/>
        </w:rPr>
        <w:t>a gruncie przytoczonych unormowań odróżnia się zasady sukcesji cywilnoprawnej od zasady sukcesji administracyjnoprawnej.</w:t>
      </w:r>
    </w:p>
    <w:p w14:paraId="06774F02" w14:textId="0FDFC089" w:rsidR="00AB57FF" w:rsidRPr="00AB57FF" w:rsidRDefault="00925841" w:rsidP="00AB57FF">
      <w:pPr>
        <w:spacing w:after="0" w:line="360" w:lineRule="auto"/>
        <w:ind w:firstLine="360"/>
        <w:jc w:val="both"/>
        <w:rPr>
          <w:rFonts w:cs="Calibri"/>
          <w:i/>
          <w:iCs/>
          <w:sz w:val="24"/>
          <w:szCs w:val="24"/>
        </w:rPr>
      </w:pPr>
      <w:r w:rsidRPr="00925841">
        <w:rPr>
          <w:rFonts w:cs="Calibri"/>
          <w:sz w:val="24"/>
          <w:szCs w:val="24"/>
        </w:rPr>
        <w:t xml:space="preserve"> </w:t>
      </w:r>
      <w:r w:rsidR="00E20DEE" w:rsidRPr="00E20DEE">
        <w:rPr>
          <w:rFonts w:cs="Calibri"/>
          <w:sz w:val="24"/>
          <w:szCs w:val="24"/>
        </w:rPr>
        <w:t xml:space="preserve">W prawie administracyjnym obowiązuje zasada, że prawa i obowiązki o charakterze administracyjnoprawnym są związane z osobą, dla której zostały ustanowione. Zasadniczo </w:t>
      </w:r>
      <w:r w:rsidR="00AA0C37">
        <w:rPr>
          <w:rFonts w:cs="Calibri"/>
          <w:sz w:val="24"/>
          <w:szCs w:val="24"/>
        </w:rPr>
        <w:br/>
      </w:r>
      <w:r w:rsidR="00E20DEE" w:rsidRPr="00E20DEE">
        <w:rPr>
          <w:rFonts w:cs="Calibri"/>
          <w:sz w:val="24"/>
          <w:szCs w:val="24"/>
        </w:rPr>
        <w:t>są one nieprzenoszalne. Dla zmiany tej reguły konieczna jest wyraźna norma prawna. N</w:t>
      </w:r>
      <w:r w:rsidR="00AA0C37">
        <w:rPr>
          <w:rFonts w:cs="Calibri"/>
          <w:sz w:val="24"/>
          <w:szCs w:val="24"/>
        </w:rPr>
        <w:t xml:space="preserve">aczelny Sąd Administracyjny </w:t>
      </w:r>
      <w:r w:rsidR="00AB57FF">
        <w:rPr>
          <w:rFonts w:cs="Calibri"/>
          <w:sz w:val="24"/>
          <w:szCs w:val="24"/>
        </w:rPr>
        <w:t xml:space="preserve">w wyroku </w:t>
      </w:r>
      <w:r w:rsidR="00E20DEE" w:rsidRPr="00E20DEE">
        <w:rPr>
          <w:rFonts w:cs="Calibri"/>
          <w:sz w:val="24"/>
          <w:szCs w:val="24"/>
        </w:rPr>
        <w:t>z dnia 20 lipca 2017 r.</w:t>
      </w:r>
      <w:r w:rsidR="00AB57FF">
        <w:rPr>
          <w:rFonts w:cs="Calibri"/>
          <w:sz w:val="24"/>
          <w:szCs w:val="24"/>
        </w:rPr>
        <w:t xml:space="preserve"> (</w:t>
      </w:r>
      <w:r w:rsidR="00E20DEE" w:rsidRPr="00E20DEE">
        <w:rPr>
          <w:rFonts w:cs="Calibri"/>
          <w:sz w:val="24"/>
          <w:szCs w:val="24"/>
        </w:rPr>
        <w:t>II GSK 1414/16</w:t>
      </w:r>
      <w:r w:rsidR="00AB57FF">
        <w:rPr>
          <w:rFonts w:cs="Calibri"/>
          <w:sz w:val="24"/>
          <w:szCs w:val="24"/>
        </w:rPr>
        <w:t xml:space="preserve">) wskazał, że </w:t>
      </w:r>
      <w:r w:rsidR="00AB57FF" w:rsidRPr="00AB57FF">
        <w:rPr>
          <w:rFonts w:cs="Calibri"/>
          <w:i/>
          <w:iCs/>
          <w:sz w:val="24"/>
          <w:szCs w:val="24"/>
        </w:rPr>
        <w:t xml:space="preserve">„(…) </w:t>
      </w:r>
      <w:r w:rsidR="00AA0C37">
        <w:rPr>
          <w:rFonts w:cs="Calibri"/>
          <w:i/>
          <w:iCs/>
          <w:sz w:val="24"/>
          <w:szCs w:val="24"/>
        </w:rPr>
        <w:br/>
      </w:r>
      <w:r w:rsidR="00AB57FF" w:rsidRPr="00AB57FF">
        <w:rPr>
          <w:rFonts w:cs="Calibri"/>
          <w:i/>
          <w:iCs/>
          <w:sz w:val="24"/>
          <w:szCs w:val="24"/>
        </w:rPr>
        <w:t xml:space="preserve">W prawie administracyjnym następstwo prawne, rozumiane jako pochodne nabycie praw </w:t>
      </w:r>
      <w:r w:rsidR="00AA0C37">
        <w:rPr>
          <w:rFonts w:cs="Calibri"/>
          <w:i/>
          <w:iCs/>
          <w:sz w:val="24"/>
          <w:szCs w:val="24"/>
        </w:rPr>
        <w:br/>
      </w:r>
      <w:r w:rsidR="00AB57FF" w:rsidRPr="00AB57FF">
        <w:rPr>
          <w:rFonts w:cs="Calibri"/>
          <w:i/>
          <w:iCs/>
          <w:sz w:val="24"/>
          <w:szCs w:val="24"/>
        </w:rPr>
        <w:t xml:space="preserve">i obowiązków administracyjnoprawnych jest co do zasady niedopuszczalne, co wiąże się </w:t>
      </w:r>
      <w:r w:rsidR="00AA0C37">
        <w:rPr>
          <w:rFonts w:cs="Calibri"/>
          <w:i/>
          <w:iCs/>
          <w:sz w:val="24"/>
          <w:szCs w:val="24"/>
        </w:rPr>
        <w:br/>
      </w:r>
      <w:r w:rsidR="00AB57FF" w:rsidRPr="00AB57FF">
        <w:rPr>
          <w:rFonts w:cs="Calibri"/>
          <w:i/>
          <w:iCs/>
          <w:sz w:val="24"/>
          <w:szCs w:val="24"/>
        </w:rPr>
        <w:t xml:space="preserve">z cechami stosunku administracyjnoprawnego, a mianowicie z osobistym, z reguły, charakterem uprawnień i obowiązków publicznoprawnych. "Zgodnie z ugruntowanym </w:t>
      </w:r>
      <w:r w:rsidR="00AA0C37">
        <w:rPr>
          <w:rFonts w:cs="Calibri"/>
          <w:i/>
          <w:iCs/>
          <w:sz w:val="24"/>
          <w:szCs w:val="24"/>
        </w:rPr>
        <w:br/>
      </w:r>
      <w:r w:rsidR="00AB57FF" w:rsidRPr="00AB57FF">
        <w:rPr>
          <w:rFonts w:cs="Calibri"/>
          <w:i/>
          <w:iCs/>
          <w:sz w:val="24"/>
          <w:szCs w:val="24"/>
        </w:rPr>
        <w:t xml:space="preserve">w doktrynie prawa administracyjnego poglądem za niedopuszczalną uznaje się sukcesję praw i obowiązków wynikających z aktu administracyjnego. Za trafnością takiego stanowiska przemawia charakter stosunku administracyjnoprawnego materialnego. Stosunek ten ma bowiem właściwość stosunku prawnego bezwzględnie obowiązującego, z którego wynikają prawa i obowiązki o charakterze osobistym, odnoszące się wyłącznie do zindywidualizowanego podmiotu. Następstwo prawne i w konsekwencji tożsamość podmiotów w tym zakresie nie występuje". Od generalnej zasady nieprzenoszalności praw i obowiązków administracyjnoprawnych są czasem przewidziane wyjątki. Przyjmuje się jednak, że dla zmiany tej zasady konieczna jest wyraźna norma prawna. Taka ograniczona sukcesja w odniesieniu do stosunków administracyjnoprawnych została przewidziana właśnie w paragrafie 2 art. 494 </w:t>
      </w:r>
      <w:r w:rsidR="00AB57FF">
        <w:rPr>
          <w:rFonts w:cs="Calibri"/>
          <w:i/>
          <w:iCs/>
          <w:sz w:val="24"/>
          <w:szCs w:val="24"/>
        </w:rPr>
        <w:t>KSH</w:t>
      </w:r>
      <w:r w:rsidR="00AB57FF" w:rsidRPr="00AB57FF">
        <w:rPr>
          <w:rFonts w:cs="Calibri"/>
          <w:i/>
          <w:iCs/>
          <w:sz w:val="24"/>
          <w:szCs w:val="24"/>
        </w:rPr>
        <w:t xml:space="preserve">., stosownie do którego na spółkę przejmującą albo spółkę nowo zawiązaną przechodzą </w:t>
      </w:r>
      <w:r w:rsidR="00AA0C37">
        <w:rPr>
          <w:rFonts w:cs="Calibri"/>
          <w:i/>
          <w:iCs/>
          <w:sz w:val="24"/>
          <w:szCs w:val="24"/>
        </w:rPr>
        <w:br/>
      </w:r>
      <w:r w:rsidR="00AB57FF" w:rsidRPr="00AB57FF">
        <w:rPr>
          <w:rFonts w:cs="Calibri"/>
          <w:i/>
          <w:iCs/>
          <w:sz w:val="24"/>
          <w:szCs w:val="24"/>
        </w:rPr>
        <w:t xml:space="preserve">z dniem połączenia w szczególności zezwolenia, koncesje oraz ulgi, które zostały przyznane spółce przejmowanej albo którejkolwiek ze spółek łączących się przez zawiązanie nowej spółki, chyba że ustawa lub decyzja o udzieleniu zezwolenia, koncesji lub ulgi stanowi inaczej. Wskazuje się w doktrynie, że wyliczenie aktów administracyjnych ma charakter przykładowy </w:t>
      </w:r>
      <w:r w:rsidR="00AA0C37">
        <w:rPr>
          <w:rFonts w:cs="Calibri"/>
          <w:i/>
          <w:iCs/>
          <w:sz w:val="24"/>
          <w:szCs w:val="24"/>
        </w:rPr>
        <w:br/>
      </w:r>
      <w:r w:rsidR="00AB57FF" w:rsidRPr="00AB57FF">
        <w:rPr>
          <w:rFonts w:cs="Calibri"/>
          <w:i/>
          <w:iCs/>
          <w:sz w:val="24"/>
          <w:szCs w:val="24"/>
        </w:rPr>
        <w:t>i że ta sukcesja administracyjnoprawna ma ograniczony charakter, co przejawia się w tym, że co do zasady na spółki sukcesorki przechodzą z dniem połączenia zezwolenia, koncesje i ulgi, lecz ograniczenie ich przejścia może wynikać z przepisów ustawy lub, gdy decyzja tak stanowi. Z tak ukształtowanej sukcesji praw i obowiązków administracyjnoprawnych w zakresie zezwoleń i koncesji w żaden sposób nie wynika, że ich przejście na następcę nie może być potwierdzone w drodze deklaratoryjnej decyzji. Wydaje się to być wręcz usprawiedliwione, gdy zważy się, że to, czy przejście praw i obowiązków z zezwolenia nastąpiło zależy od oceny w tym konkretnym przypadku czy brak było ograniczeń w ustawie lub decyzji o przyznaniu zezwolenia, koncesji lub ulgi</w:t>
      </w:r>
      <w:r w:rsidR="0002498C">
        <w:rPr>
          <w:rFonts w:cs="Calibri"/>
          <w:i/>
          <w:iCs/>
          <w:sz w:val="24"/>
          <w:szCs w:val="24"/>
        </w:rPr>
        <w:t xml:space="preserve"> (…)</w:t>
      </w:r>
      <w:r w:rsidR="00AB57FF" w:rsidRPr="00AB57FF">
        <w:rPr>
          <w:rFonts w:cs="Calibri"/>
          <w:i/>
          <w:iCs/>
          <w:sz w:val="24"/>
          <w:szCs w:val="24"/>
        </w:rPr>
        <w:t>.</w:t>
      </w:r>
      <w:r w:rsidR="00AB57FF">
        <w:rPr>
          <w:rFonts w:cs="Calibri"/>
          <w:i/>
          <w:iCs/>
          <w:sz w:val="24"/>
          <w:szCs w:val="24"/>
        </w:rPr>
        <w:t>”</w:t>
      </w:r>
    </w:p>
    <w:p w14:paraId="6905D656" w14:textId="67ADBD23" w:rsidR="00AB57FF" w:rsidRPr="006E6C8B" w:rsidRDefault="00AB57FF" w:rsidP="00E20DEE">
      <w:pPr>
        <w:spacing w:after="0" w:line="360" w:lineRule="auto"/>
        <w:jc w:val="both"/>
        <w:rPr>
          <w:rFonts w:cs="Calibri"/>
          <w:i/>
          <w:iCs/>
          <w:sz w:val="24"/>
          <w:szCs w:val="24"/>
        </w:rPr>
      </w:pPr>
      <w:r>
        <w:rPr>
          <w:rFonts w:cs="Calibri"/>
          <w:sz w:val="24"/>
          <w:szCs w:val="24"/>
        </w:rPr>
        <w:t>Podobnie wypowiedział się Wojewódzki S</w:t>
      </w:r>
      <w:r w:rsidR="0002498C">
        <w:rPr>
          <w:rFonts w:cs="Calibri"/>
          <w:sz w:val="24"/>
          <w:szCs w:val="24"/>
        </w:rPr>
        <w:t>ą</w:t>
      </w:r>
      <w:r>
        <w:rPr>
          <w:rFonts w:cs="Calibri"/>
          <w:sz w:val="24"/>
          <w:szCs w:val="24"/>
        </w:rPr>
        <w:t xml:space="preserve">d Administracyjny w Warszawie </w:t>
      </w:r>
      <w:r w:rsidR="00E20DEE" w:rsidRPr="00E20DEE">
        <w:rPr>
          <w:rFonts w:cs="Calibri"/>
          <w:sz w:val="24"/>
          <w:szCs w:val="24"/>
        </w:rPr>
        <w:t>w wyroku z dnia 19 stycznia 2018 r.</w:t>
      </w:r>
      <w:r>
        <w:rPr>
          <w:rFonts w:cs="Calibri"/>
          <w:sz w:val="24"/>
          <w:szCs w:val="24"/>
        </w:rPr>
        <w:t xml:space="preserve"> (</w:t>
      </w:r>
      <w:r w:rsidR="00E20DEE" w:rsidRPr="00E20DEE">
        <w:rPr>
          <w:rFonts w:cs="Calibri"/>
          <w:sz w:val="24"/>
          <w:szCs w:val="24"/>
        </w:rPr>
        <w:t>VI SA/Wa 2905/15</w:t>
      </w:r>
      <w:r>
        <w:rPr>
          <w:rFonts w:cs="Calibri"/>
          <w:sz w:val="24"/>
          <w:szCs w:val="24"/>
        </w:rPr>
        <w:t xml:space="preserve">) </w:t>
      </w:r>
      <w:r w:rsidR="0002498C">
        <w:rPr>
          <w:rFonts w:cs="Calibri"/>
          <w:sz w:val="24"/>
          <w:szCs w:val="24"/>
        </w:rPr>
        <w:t>stwierdzając</w:t>
      </w:r>
      <w:r>
        <w:rPr>
          <w:rFonts w:cs="Calibri"/>
          <w:sz w:val="24"/>
          <w:szCs w:val="24"/>
        </w:rPr>
        <w:t xml:space="preserve">, że </w:t>
      </w:r>
      <w:r w:rsidRPr="006E6C8B">
        <w:rPr>
          <w:rFonts w:cs="Calibri"/>
          <w:i/>
          <w:iCs/>
          <w:sz w:val="24"/>
          <w:szCs w:val="24"/>
        </w:rPr>
        <w:t xml:space="preserve">„(…) Sąd zgadza się ze stanowiskiem, zgodnie z którym dla skutecznego ustanowienia wyjątku od uregulowanej w art.494 § 2 </w:t>
      </w:r>
      <w:r w:rsidR="006E6C8B" w:rsidRPr="006E6C8B">
        <w:rPr>
          <w:rFonts w:cs="Calibri"/>
          <w:i/>
          <w:iCs/>
          <w:sz w:val="24"/>
          <w:szCs w:val="24"/>
        </w:rPr>
        <w:t>KSH</w:t>
      </w:r>
      <w:r w:rsidRPr="006E6C8B">
        <w:rPr>
          <w:rFonts w:cs="Calibri"/>
          <w:i/>
          <w:iCs/>
          <w:sz w:val="24"/>
          <w:szCs w:val="24"/>
        </w:rPr>
        <w:t>, zasady sukcesji uprawnień administracyjnoprawnych, wynikających z zezwoleń, koncesji oraz ulg, które zostały przyznane spółce przejmowanej, wymagane jest by ustawa szczególna regulowała w sposób jasny i jednoznaczny, a nie wymagający dokonywania interpretacji systemowej i funkcjonalnej, że dane zezwolenie, koncesja, czy też przyznana ulga nie przechodzi na spółkę sukcesorkę</w:t>
      </w:r>
      <w:r w:rsidR="006E6C8B" w:rsidRPr="006E6C8B">
        <w:rPr>
          <w:rFonts w:cs="Calibri"/>
          <w:i/>
          <w:iCs/>
          <w:sz w:val="24"/>
          <w:szCs w:val="24"/>
        </w:rPr>
        <w:t xml:space="preserve"> (…)</w:t>
      </w:r>
      <w:r w:rsidRPr="006E6C8B">
        <w:rPr>
          <w:rFonts w:cs="Calibri"/>
          <w:i/>
          <w:iCs/>
          <w:sz w:val="24"/>
          <w:szCs w:val="24"/>
        </w:rPr>
        <w:t>.</w:t>
      </w:r>
      <w:r w:rsidR="006E6C8B" w:rsidRPr="006E6C8B">
        <w:rPr>
          <w:rFonts w:cs="Calibri"/>
          <w:i/>
          <w:iCs/>
          <w:sz w:val="24"/>
          <w:szCs w:val="24"/>
        </w:rPr>
        <w:t>”</w:t>
      </w:r>
    </w:p>
    <w:p w14:paraId="239B11F4" w14:textId="0D9B0500" w:rsidR="00D81146" w:rsidRDefault="00D81146" w:rsidP="00D81146">
      <w:pPr>
        <w:spacing w:after="0" w:line="360" w:lineRule="auto"/>
        <w:ind w:firstLine="708"/>
        <w:jc w:val="both"/>
        <w:rPr>
          <w:rFonts w:cs="Calibri"/>
          <w:sz w:val="24"/>
          <w:szCs w:val="24"/>
        </w:rPr>
      </w:pPr>
      <w:r>
        <w:rPr>
          <w:rFonts w:cs="Calibri"/>
          <w:sz w:val="24"/>
          <w:szCs w:val="24"/>
        </w:rPr>
        <w:t xml:space="preserve">W przypadku </w:t>
      </w:r>
      <w:bookmarkStart w:id="6" w:name="_Hlk43385546"/>
      <w:r w:rsidR="0002498C" w:rsidRPr="0002498C">
        <w:rPr>
          <w:rFonts w:cs="Calibri"/>
          <w:sz w:val="24"/>
          <w:szCs w:val="24"/>
        </w:rPr>
        <w:t>"innego sposobu zakończenia działalności spółki</w:t>
      </w:r>
      <w:r>
        <w:rPr>
          <w:rFonts w:cs="Calibri"/>
          <w:sz w:val="24"/>
          <w:szCs w:val="24"/>
        </w:rPr>
        <w:t xml:space="preserve"> jawnej</w:t>
      </w:r>
      <w:r w:rsidR="0002498C">
        <w:rPr>
          <w:rFonts w:cs="Calibri"/>
          <w:sz w:val="24"/>
          <w:szCs w:val="24"/>
        </w:rPr>
        <w:t>”</w:t>
      </w:r>
      <w:bookmarkEnd w:id="6"/>
      <w:r w:rsidR="0002498C">
        <w:rPr>
          <w:rFonts w:cs="Calibri"/>
          <w:sz w:val="24"/>
          <w:szCs w:val="24"/>
        </w:rPr>
        <w:t xml:space="preserve"> Kodeks spółek handlowych nie przewiduje żadnej </w:t>
      </w:r>
      <w:r>
        <w:rPr>
          <w:rFonts w:cs="Calibri"/>
          <w:sz w:val="24"/>
          <w:szCs w:val="24"/>
        </w:rPr>
        <w:t>normy prawnej odnoszącej się do sukcesji administracyjnoprawnej</w:t>
      </w:r>
      <w:r w:rsidRPr="00D81146">
        <w:rPr>
          <w:rFonts w:cs="Calibri"/>
          <w:sz w:val="24"/>
          <w:szCs w:val="24"/>
        </w:rPr>
        <w:t>.</w:t>
      </w:r>
      <w:r>
        <w:rPr>
          <w:rFonts w:cs="Calibri"/>
          <w:sz w:val="24"/>
          <w:szCs w:val="24"/>
        </w:rPr>
        <w:t xml:space="preserve"> Jak wykazano to powyżej, w</w:t>
      </w:r>
      <w:r w:rsidRPr="00D81146">
        <w:rPr>
          <w:rFonts w:cs="Calibri"/>
          <w:sz w:val="24"/>
          <w:szCs w:val="24"/>
        </w:rPr>
        <w:t xml:space="preserve">ynikająca </w:t>
      </w:r>
      <w:r w:rsidR="0008726A">
        <w:rPr>
          <w:rFonts w:cs="Calibri"/>
          <w:sz w:val="24"/>
          <w:szCs w:val="24"/>
        </w:rPr>
        <w:t xml:space="preserve">jedynie </w:t>
      </w:r>
      <w:r w:rsidRPr="00D81146">
        <w:rPr>
          <w:rFonts w:cs="Calibri"/>
          <w:sz w:val="24"/>
          <w:szCs w:val="24"/>
        </w:rPr>
        <w:t xml:space="preserve">z orzecznictwa zasada sukcesji praw i obowiązków przez wspólników lub wspólnika po spółce jawnej – odnosi się </w:t>
      </w:r>
      <w:r>
        <w:rPr>
          <w:rFonts w:cs="Calibri"/>
          <w:sz w:val="24"/>
          <w:szCs w:val="24"/>
        </w:rPr>
        <w:t xml:space="preserve">wyłącznie </w:t>
      </w:r>
      <w:r w:rsidRPr="00D81146">
        <w:rPr>
          <w:rFonts w:cs="Calibri"/>
          <w:sz w:val="24"/>
          <w:szCs w:val="24"/>
        </w:rPr>
        <w:t>do sukcesji cywilnoprawnej</w:t>
      </w:r>
      <w:r>
        <w:rPr>
          <w:rFonts w:cs="Calibri"/>
          <w:sz w:val="24"/>
          <w:szCs w:val="24"/>
        </w:rPr>
        <w:t xml:space="preserve">. Dlatego też nie może stanowić podstawy do </w:t>
      </w:r>
      <w:r w:rsidR="0008726A">
        <w:rPr>
          <w:rFonts w:cs="Calibri"/>
          <w:sz w:val="24"/>
          <w:szCs w:val="24"/>
        </w:rPr>
        <w:t xml:space="preserve">uznania </w:t>
      </w:r>
      <w:r>
        <w:rPr>
          <w:rFonts w:cs="Calibri"/>
          <w:sz w:val="24"/>
          <w:szCs w:val="24"/>
        </w:rPr>
        <w:t xml:space="preserve">sukcesji </w:t>
      </w:r>
      <w:r w:rsidR="0008726A">
        <w:rPr>
          <w:rFonts w:cs="Calibri"/>
          <w:sz w:val="24"/>
          <w:szCs w:val="24"/>
        </w:rPr>
        <w:t>w zakresie aktów</w:t>
      </w:r>
      <w:r>
        <w:rPr>
          <w:rFonts w:cs="Calibri"/>
          <w:sz w:val="24"/>
          <w:szCs w:val="24"/>
        </w:rPr>
        <w:t xml:space="preserve"> administracyjn</w:t>
      </w:r>
      <w:r w:rsidR="0008726A">
        <w:rPr>
          <w:rFonts w:cs="Calibri"/>
          <w:sz w:val="24"/>
          <w:szCs w:val="24"/>
        </w:rPr>
        <w:t>oprawnych</w:t>
      </w:r>
      <w:r>
        <w:rPr>
          <w:rFonts w:cs="Calibri"/>
          <w:sz w:val="24"/>
          <w:szCs w:val="24"/>
        </w:rPr>
        <w:t>.</w:t>
      </w:r>
    </w:p>
    <w:p w14:paraId="3DAF5F19" w14:textId="7ADEECC4" w:rsidR="00010B2E" w:rsidRPr="00010B2E" w:rsidRDefault="00D81146" w:rsidP="00D81146">
      <w:pPr>
        <w:spacing w:after="0" w:line="360" w:lineRule="auto"/>
        <w:jc w:val="both"/>
        <w:rPr>
          <w:rFonts w:cs="Calibri"/>
          <w:sz w:val="24"/>
          <w:szCs w:val="24"/>
        </w:rPr>
      </w:pPr>
      <w:r>
        <w:rPr>
          <w:rFonts w:cs="Calibri"/>
          <w:sz w:val="24"/>
          <w:szCs w:val="24"/>
        </w:rPr>
        <w:t>S</w:t>
      </w:r>
      <w:r w:rsidR="00010B2E" w:rsidRPr="00010B2E">
        <w:rPr>
          <w:rFonts w:cs="Calibri"/>
          <w:sz w:val="24"/>
          <w:szCs w:val="24"/>
        </w:rPr>
        <w:t xml:space="preserve">pecyfika aktów administracyjnoprawnych polega na tym, że najistotniejszy jest element jednostronnego (władczego) określenia praw i obowiązków przez organy władzy publicznej skierowanego do indywidualnego adresata. Uzasadnia to zakaz pełnej sukcesji administracyjnej. </w:t>
      </w:r>
      <w:r>
        <w:rPr>
          <w:rFonts w:cs="Calibri"/>
          <w:sz w:val="24"/>
          <w:szCs w:val="24"/>
        </w:rPr>
        <w:t xml:space="preserve">Z tego względu </w:t>
      </w:r>
      <w:r w:rsidR="00010B2E" w:rsidRPr="00010B2E">
        <w:rPr>
          <w:rFonts w:cs="Calibri"/>
          <w:sz w:val="24"/>
          <w:szCs w:val="24"/>
        </w:rPr>
        <w:t xml:space="preserve">w doktrynie prawa administracyjnego przyjmuje się zakaz sukcesji na płaszczyźnie prawa publicznego. Również w orzecznictwie podkreśla się, </w:t>
      </w:r>
      <w:r>
        <w:rPr>
          <w:rFonts w:cs="Calibri"/>
          <w:sz w:val="24"/>
          <w:szCs w:val="24"/>
        </w:rPr>
        <w:t xml:space="preserve"> </w:t>
      </w:r>
      <w:r w:rsidR="00000C8F">
        <w:rPr>
          <w:rFonts w:cs="Calibri"/>
          <w:sz w:val="24"/>
          <w:szCs w:val="24"/>
        </w:rPr>
        <w:br/>
      </w:r>
      <w:r w:rsidR="00010B2E" w:rsidRPr="00010B2E">
        <w:rPr>
          <w:rFonts w:cs="Calibri"/>
          <w:sz w:val="24"/>
          <w:szCs w:val="24"/>
        </w:rPr>
        <w:t>że sukcesja administracyjnoprawna jest co do zasady zakazana</w:t>
      </w:r>
      <w:r>
        <w:rPr>
          <w:rFonts w:cs="Calibri"/>
          <w:sz w:val="24"/>
          <w:szCs w:val="24"/>
        </w:rPr>
        <w:t>.</w:t>
      </w:r>
      <w:r w:rsidR="00010B2E" w:rsidRPr="00010B2E">
        <w:rPr>
          <w:rFonts w:cs="Calibri"/>
          <w:sz w:val="24"/>
          <w:szCs w:val="24"/>
        </w:rPr>
        <w:t xml:space="preserve"> Akt administracyjny wiąże tak długo, jak długo elementy decydujące o indywidualizacji aktu nie zostaną zmienione. Dlatego też bez wyraźnego przepisu prawa przejście praw i obowiązków administracyjnoprawnych </w:t>
      </w:r>
      <w:r>
        <w:rPr>
          <w:rFonts w:cs="Calibri"/>
          <w:sz w:val="24"/>
          <w:szCs w:val="24"/>
        </w:rPr>
        <w:t xml:space="preserve">jest </w:t>
      </w:r>
      <w:r w:rsidR="00010B2E" w:rsidRPr="00010B2E">
        <w:rPr>
          <w:rFonts w:cs="Calibri"/>
          <w:sz w:val="24"/>
          <w:szCs w:val="24"/>
        </w:rPr>
        <w:t>niedopuszczalne.</w:t>
      </w:r>
    </w:p>
    <w:p w14:paraId="0BE028E3" w14:textId="76821FEA" w:rsidR="00010B2E" w:rsidRPr="00010B2E" w:rsidRDefault="00010B2E" w:rsidP="00000C8F">
      <w:pPr>
        <w:spacing w:after="0" w:line="360" w:lineRule="auto"/>
        <w:ind w:firstLine="708"/>
        <w:jc w:val="both"/>
        <w:rPr>
          <w:rFonts w:cs="Calibri"/>
          <w:sz w:val="24"/>
          <w:szCs w:val="24"/>
        </w:rPr>
      </w:pPr>
      <w:r w:rsidRPr="00010B2E">
        <w:rPr>
          <w:rFonts w:cs="Calibri"/>
          <w:sz w:val="24"/>
          <w:szCs w:val="24"/>
        </w:rPr>
        <w:t xml:space="preserve">Bezspornym jest, że decyzja wojewody o przyznaniu statusu zakładu pracy chronionej </w:t>
      </w:r>
      <w:r w:rsidR="00D81146">
        <w:rPr>
          <w:rFonts w:cs="Calibri"/>
          <w:sz w:val="24"/>
          <w:szCs w:val="24"/>
        </w:rPr>
        <w:t xml:space="preserve">(dalej również jako status ZPCH) </w:t>
      </w:r>
      <w:r w:rsidRPr="00010B2E">
        <w:rPr>
          <w:rFonts w:cs="Calibri"/>
          <w:sz w:val="24"/>
          <w:szCs w:val="24"/>
        </w:rPr>
        <w:t xml:space="preserve">jest aktem administracyjnym kierowanym do konkretnego adresata jakim jest pracodawca. </w:t>
      </w:r>
    </w:p>
    <w:p w14:paraId="14114442" w14:textId="665105C5" w:rsidR="00010B2E" w:rsidRDefault="00010B2E" w:rsidP="00010B2E">
      <w:pPr>
        <w:spacing w:after="0" w:line="360" w:lineRule="auto"/>
        <w:jc w:val="both"/>
        <w:rPr>
          <w:rFonts w:cs="Calibri"/>
          <w:sz w:val="24"/>
          <w:szCs w:val="24"/>
        </w:rPr>
      </w:pPr>
      <w:r w:rsidRPr="00010B2E">
        <w:rPr>
          <w:rFonts w:cs="Calibri"/>
          <w:sz w:val="24"/>
          <w:szCs w:val="24"/>
        </w:rPr>
        <w:t xml:space="preserve">Ustawa o rehabilitacji nie zawiera uregulowań zakazujących możliwość sukcesji decyzji wojewody o przyznaniu statusu </w:t>
      </w:r>
      <w:r w:rsidR="00BB44A4">
        <w:rPr>
          <w:rFonts w:cs="Calibri"/>
          <w:sz w:val="24"/>
          <w:szCs w:val="24"/>
        </w:rPr>
        <w:t>ZPCH</w:t>
      </w:r>
      <w:r w:rsidRPr="00010B2E">
        <w:rPr>
          <w:rFonts w:cs="Calibri"/>
          <w:sz w:val="24"/>
          <w:szCs w:val="24"/>
        </w:rPr>
        <w:t xml:space="preserve"> przez podmiot powstały</w:t>
      </w:r>
      <w:r w:rsidR="00BB44A4">
        <w:rPr>
          <w:rFonts w:cs="Calibri"/>
          <w:sz w:val="24"/>
          <w:szCs w:val="24"/>
        </w:rPr>
        <w:t xml:space="preserve"> </w:t>
      </w:r>
      <w:r w:rsidRPr="00010B2E">
        <w:rPr>
          <w:rFonts w:cs="Calibri"/>
          <w:sz w:val="24"/>
          <w:szCs w:val="24"/>
        </w:rPr>
        <w:t xml:space="preserve">w wyniku </w:t>
      </w:r>
      <w:r w:rsidR="00BB44A4" w:rsidRPr="00BB44A4">
        <w:rPr>
          <w:rFonts w:cs="Calibri"/>
          <w:sz w:val="24"/>
          <w:szCs w:val="24"/>
        </w:rPr>
        <w:t xml:space="preserve">zakończenia działalności spółki jawnej </w:t>
      </w:r>
      <w:r w:rsidR="00BB44A4">
        <w:rPr>
          <w:rFonts w:cs="Calibri"/>
          <w:sz w:val="24"/>
          <w:szCs w:val="24"/>
        </w:rPr>
        <w:t xml:space="preserve">i </w:t>
      </w:r>
      <w:r w:rsidR="00BB44A4" w:rsidRPr="00BB44A4">
        <w:rPr>
          <w:rFonts w:cs="Calibri"/>
          <w:sz w:val="24"/>
          <w:szCs w:val="24"/>
        </w:rPr>
        <w:t>przejęcia przez jednego ze wspólników całego majątku spółki wraz z jej zobowiązaniami</w:t>
      </w:r>
      <w:r w:rsidR="00BB44A4">
        <w:rPr>
          <w:rFonts w:cs="Calibri"/>
          <w:sz w:val="24"/>
          <w:szCs w:val="24"/>
        </w:rPr>
        <w:t xml:space="preserve">. </w:t>
      </w:r>
      <w:r w:rsidRPr="00010B2E">
        <w:rPr>
          <w:rFonts w:cs="Calibri"/>
          <w:sz w:val="24"/>
          <w:szCs w:val="24"/>
        </w:rPr>
        <w:t xml:space="preserve">Jednak aby doszło do takiej sukcesji – </w:t>
      </w:r>
      <w:r w:rsidR="00BB44A4">
        <w:rPr>
          <w:rFonts w:cs="Calibri"/>
          <w:sz w:val="24"/>
          <w:szCs w:val="24"/>
        </w:rPr>
        <w:t>musi być ona przewidziana</w:t>
      </w:r>
      <w:r w:rsidR="00000C8F">
        <w:rPr>
          <w:rFonts w:cs="Calibri"/>
          <w:sz w:val="24"/>
          <w:szCs w:val="24"/>
        </w:rPr>
        <w:t>,</w:t>
      </w:r>
      <w:r w:rsidR="00BB44A4">
        <w:rPr>
          <w:rFonts w:cs="Calibri"/>
          <w:sz w:val="24"/>
          <w:szCs w:val="24"/>
        </w:rPr>
        <w:t xml:space="preserve"> wyraźnym i niebudzącym wątpliwości</w:t>
      </w:r>
      <w:r w:rsidR="00000C8F">
        <w:rPr>
          <w:rFonts w:cs="Calibri"/>
          <w:sz w:val="24"/>
          <w:szCs w:val="24"/>
        </w:rPr>
        <w:t>,</w:t>
      </w:r>
      <w:r w:rsidR="00BB44A4">
        <w:rPr>
          <w:rFonts w:cs="Calibri"/>
          <w:sz w:val="24"/>
          <w:szCs w:val="24"/>
        </w:rPr>
        <w:t xml:space="preserve"> przepisem prawa.</w:t>
      </w:r>
      <w:r w:rsidRPr="00010B2E">
        <w:rPr>
          <w:rFonts w:cs="Calibri"/>
          <w:sz w:val="24"/>
          <w:szCs w:val="24"/>
        </w:rPr>
        <w:t xml:space="preserve"> </w:t>
      </w:r>
    </w:p>
    <w:p w14:paraId="455B636E" w14:textId="52AB774E" w:rsidR="00010B2E" w:rsidRPr="00010B2E" w:rsidRDefault="00010B2E" w:rsidP="00000C8F">
      <w:pPr>
        <w:spacing w:after="0" w:line="360" w:lineRule="auto"/>
        <w:ind w:firstLine="708"/>
        <w:jc w:val="both"/>
        <w:rPr>
          <w:rFonts w:cs="Calibri"/>
          <w:sz w:val="24"/>
          <w:szCs w:val="24"/>
        </w:rPr>
      </w:pPr>
      <w:r w:rsidRPr="00010B2E">
        <w:rPr>
          <w:rFonts w:cs="Calibri"/>
          <w:sz w:val="24"/>
          <w:szCs w:val="24"/>
        </w:rPr>
        <w:t>Zgodnie z art.33 ust.1 ustawy o rehabilitacji prowadzący zakład pracy chronionej tworzy zakładowy fundusz rehabilitacji osób niepełnosprawnych</w:t>
      </w:r>
      <w:r w:rsidR="0008726A">
        <w:rPr>
          <w:rFonts w:cs="Calibri"/>
          <w:sz w:val="24"/>
          <w:szCs w:val="24"/>
        </w:rPr>
        <w:t>.</w:t>
      </w:r>
      <w:r w:rsidR="00046B1C">
        <w:rPr>
          <w:rFonts w:cs="Calibri"/>
          <w:sz w:val="24"/>
          <w:szCs w:val="24"/>
        </w:rPr>
        <w:t xml:space="preserve"> </w:t>
      </w:r>
      <w:r w:rsidRPr="00010B2E">
        <w:rPr>
          <w:rFonts w:cs="Calibri"/>
          <w:sz w:val="24"/>
          <w:szCs w:val="24"/>
        </w:rPr>
        <w:t xml:space="preserve">Dysponentem ZFRON jest pracodawca, co wynika z treści art.33 ust.9 ustawy o rehabilitacji. </w:t>
      </w:r>
    </w:p>
    <w:p w14:paraId="574AD5B6" w14:textId="046FA49D" w:rsidR="00010B2E" w:rsidRPr="00010B2E" w:rsidRDefault="00010B2E" w:rsidP="00010B2E">
      <w:pPr>
        <w:spacing w:after="0" w:line="360" w:lineRule="auto"/>
        <w:jc w:val="both"/>
        <w:rPr>
          <w:rFonts w:cs="Calibri"/>
          <w:sz w:val="24"/>
          <w:szCs w:val="24"/>
        </w:rPr>
      </w:pPr>
      <w:r w:rsidRPr="00010B2E">
        <w:rPr>
          <w:rFonts w:cs="Calibri"/>
          <w:sz w:val="24"/>
          <w:szCs w:val="24"/>
        </w:rPr>
        <w:t>Z</w:t>
      </w:r>
      <w:r w:rsidR="0008726A">
        <w:rPr>
          <w:rFonts w:cs="Calibri"/>
          <w:sz w:val="24"/>
          <w:szCs w:val="24"/>
        </w:rPr>
        <w:t xml:space="preserve">atem </w:t>
      </w:r>
      <w:r w:rsidRPr="00010B2E">
        <w:rPr>
          <w:rFonts w:cs="Calibri"/>
          <w:sz w:val="24"/>
          <w:szCs w:val="24"/>
        </w:rPr>
        <w:t xml:space="preserve">istnieje bezpośrednia zależność pomiędzy pracodawcą posiadającym status zakładu pracy chronionej, a funduszem rehabilitacji i gospodarowaniem jego środkami. </w:t>
      </w:r>
      <w:r w:rsidR="0008726A">
        <w:rPr>
          <w:rFonts w:cs="Calibri"/>
          <w:sz w:val="24"/>
          <w:szCs w:val="24"/>
        </w:rPr>
        <w:t xml:space="preserve">Dlatego też </w:t>
      </w:r>
      <w:r w:rsidRPr="00010B2E">
        <w:rPr>
          <w:rFonts w:cs="Calibri"/>
          <w:sz w:val="24"/>
          <w:szCs w:val="24"/>
        </w:rPr>
        <w:t xml:space="preserve">wszystko </w:t>
      </w:r>
      <w:r w:rsidR="0008726A">
        <w:rPr>
          <w:rFonts w:cs="Calibri"/>
          <w:sz w:val="24"/>
          <w:szCs w:val="24"/>
        </w:rPr>
        <w:t xml:space="preserve">to </w:t>
      </w:r>
      <w:r w:rsidRPr="00010B2E">
        <w:rPr>
          <w:rFonts w:cs="Calibri"/>
          <w:sz w:val="24"/>
          <w:szCs w:val="24"/>
        </w:rPr>
        <w:t xml:space="preserve">co jest związane z ZFRON, w tym w szczególności jego dokumentacja, rozliczenia, środki oraz poczynione wydatki, pozostaje w gestii pracodawcy, który posiada status zakładu pracy chronionej. </w:t>
      </w:r>
    </w:p>
    <w:p w14:paraId="6CF57BEF" w14:textId="4D57356D" w:rsidR="00010B2E" w:rsidRPr="00010B2E" w:rsidRDefault="0008726A" w:rsidP="00010B2E">
      <w:pPr>
        <w:spacing w:after="0" w:line="360" w:lineRule="auto"/>
        <w:jc w:val="both"/>
        <w:rPr>
          <w:rFonts w:cs="Calibri"/>
          <w:sz w:val="24"/>
          <w:szCs w:val="24"/>
        </w:rPr>
      </w:pPr>
      <w:r>
        <w:rPr>
          <w:rFonts w:cs="Calibri"/>
          <w:sz w:val="24"/>
          <w:szCs w:val="24"/>
        </w:rPr>
        <w:t>Z tego względu s</w:t>
      </w:r>
      <w:r w:rsidR="00010B2E" w:rsidRPr="00010B2E">
        <w:rPr>
          <w:rFonts w:cs="Calibri"/>
          <w:sz w:val="24"/>
          <w:szCs w:val="24"/>
        </w:rPr>
        <w:t xml:space="preserve">ukcesorem tak rozumianego ZFRON może być tylko i wyłącznie ten pracodawca, który jednocześnie będzie sukcesorem decyzji wojewody </w:t>
      </w:r>
      <w:r>
        <w:rPr>
          <w:rFonts w:cs="Calibri"/>
          <w:sz w:val="24"/>
          <w:szCs w:val="24"/>
        </w:rPr>
        <w:t xml:space="preserve">przyznającej </w:t>
      </w:r>
      <w:r w:rsidR="00010B2E" w:rsidRPr="00010B2E">
        <w:rPr>
          <w:rFonts w:cs="Calibri"/>
          <w:sz w:val="24"/>
          <w:szCs w:val="24"/>
        </w:rPr>
        <w:t xml:space="preserve">status zakładu pracy chronionej. </w:t>
      </w:r>
      <w:r w:rsidR="006D2C66">
        <w:rPr>
          <w:rFonts w:cs="Calibri"/>
          <w:sz w:val="24"/>
          <w:szCs w:val="24"/>
        </w:rPr>
        <w:t xml:space="preserve">W przypadku Wnioskodawcy nie będzie takiego następcy prawnego, bowiem żaden przepis prawa nie przewiduje takiej możliwości. </w:t>
      </w:r>
    </w:p>
    <w:p w14:paraId="4628F7A3" w14:textId="2BCCB6A5" w:rsidR="00010B2E" w:rsidRPr="00010B2E" w:rsidRDefault="005641F0" w:rsidP="00010B2E">
      <w:pPr>
        <w:spacing w:after="0" w:line="360" w:lineRule="auto"/>
        <w:jc w:val="both"/>
        <w:rPr>
          <w:rFonts w:cs="Calibri"/>
          <w:sz w:val="24"/>
          <w:szCs w:val="24"/>
        </w:rPr>
      </w:pPr>
      <w:r>
        <w:rPr>
          <w:rFonts w:cs="Calibri"/>
          <w:sz w:val="24"/>
          <w:szCs w:val="24"/>
        </w:rPr>
        <w:t xml:space="preserve">Tym samym </w:t>
      </w:r>
      <w:r w:rsidR="00010B2E" w:rsidRPr="00010B2E">
        <w:rPr>
          <w:rFonts w:cs="Calibri"/>
          <w:sz w:val="24"/>
          <w:szCs w:val="24"/>
        </w:rPr>
        <w:t xml:space="preserve">nie można zgodzić się z Wnioskodawcą, że </w:t>
      </w:r>
      <w:r w:rsidR="006D2C66">
        <w:rPr>
          <w:rFonts w:cs="Calibri"/>
          <w:sz w:val="24"/>
          <w:szCs w:val="24"/>
        </w:rPr>
        <w:t xml:space="preserve">wynikająca z orzecznictwa sądowego sukcesja ogółu praw i obowiązków przez jednego ze wspólników spółki jawnej stanowi również podstawę do uznania sukcesji aktu administracyjnego jakim jest decyzja wojewody </w:t>
      </w:r>
      <w:r w:rsidR="00000C8F">
        <w:rPr>
          <w:rFonts w:cs="Calibri"/>
          <w:sz w:val="24"/>
          <w:szCs w:val="24"/>
        </w:rPr>
        <w:br/>
      </w:r>
      <w:r w:rsidR="006D2C66">
        <w:rPr>
          <w:rFonts w:cs="Calibri"/>
          <w:sz w:val="24"/>
          <w:szCs w:val="24"/>
        </w:rPr>
        <w:t xml:space="preserve">o przyznaniu statusu ZPCH. </w:t>
      </w:r>
      <w:r w:rsidRPr="005641F0">
        <w:rPr>
          <w:rFonts w:cs="Calibri"/>
          <w:sz w:val="24"/>
          <w:szCs w:val="24"/>
        </w:rPr>
        <w:t xml:space="preserve">Stanowiska Wnioskodawcy nie </w:t>
      </w:r>
      <w:r>
        <w:rPr>
          <w:rFonts w:cs="Calibri"/>
          <w:sz w:val="24"/>
          <w:szCs w:val="24"/>
        </w:rPr>
        <w:t xml:space="preserve">potwierdzają </w:t>
      </w:r>
      <w:r w:rsidRPr="005641F0">
        <w:rPr>
          <w:rFonts w:cs="Calibri"/>
          <w:sz w:val="24"/>
          <w:szCs w:val="24"/>
        </w:rPr>
        <w:t>także przywołan</w:t>
      </w:r>
      <w:r>
        <w:rPr>
          <w:rFonts w:cs="Calibri"/>
          <w:sz w:val="24"/>
          <w:szCs w:val="24"/>
        </w:rPr>
        <w:t>e</w:t>
      </w:r>
      <w:r w:rsidRPr="005641F0">
        <w:rPr>
          <w:rFonts w:cs="Calibri"/>
          <w:sz w:val="24"/>
          <w:szCs w:val="24"/>
        </w:rPr>
        <w:t xml:space="preserve"> przez niego wyrok</w:t>
      </w:r>
      <w:r>
        <w:rPr>
          <w:rFonts w:cs="Calibri"/>
          <w:sz w:val="24"/>
          <w:szCs w:val="24"/>
        </w:rPr>
        <w:t>i sądowe, ponieważ nie odnoszą się one w żaden sposób do sukcesji administracyjnoprawnej</w:t>
      </w:r>
      <w:r w:rsidR="00000C8F">
        <w:rPr>
          <w:rFonts w:cs="Calibri"/>
          <w:sz w:val="24"/>
          <w:szCs w:val="24"/>
        </w:rPr>
        <w:t>, a jedynie do bycia stroną postępowania sądowoadministracyjnego czy do prowadzenia czynności sądowych lub pozasądowych</w:t>
      </w:r>
      <w:r>
        <w:rPr>
          <w:rFonts w:cs="Calibri"/>
          <w:sz w:val="24"/>
          <w:szCs w:val="24"/>
        </w:rPr>
        <w:t>.</w:t>
      </w:r>
    </w:p>
    <w:p w14:paraId="4CA65744" w14:textId="5362FB6F" w:rsidR="00010B2E" w:rsidRPr="005641F0" w:rsidRDefault="005641F0" w:rsidP="00010B2E">
      <w:pPr>
        <w:spacing w:after="0" w:line="360" w:lineRule="auto"/>
        <w:jc w:val="both"/>
        <w:rPr>
          <w:rFonts w:cs="Calibri"/>
          <w:sz w:val="24"/>
          <w:szCs w:val="24"/>
        </w:rPr>
      </w:pPr>
      <w:bookmarkStart w:id="7" w:name="_Hlk43387055"/>
      <w:r w:rsidRPr="005641F0">
        <w:rPr>
          <w:rFonts w:cs="Calibri"/>
          <w:sz w:val="24"/>
          <w:szCs w:val="24"/>
        </w:rPr>
        <w:t>D</w:t>
      </w:r>
      <w:r w:rsidR="00010B2E" w:rsidRPr="005641F0">
        <w:rPr>
          <w:rFonts w:cs="Calibri"/>
          <w:sz w:val="24"/>
          <w:szCs w:val="24"/>
        </w:rPr>
        <w:t>ecyzj</w:t>
      </w:r>
      <w:r w:rsidRPr="005641F0">
        <w:rPr>
          <w:rFonts w:cs="Calibri"/>
          <w:sz w:val="24"/>
          <w:szCs w:val="24"/>
        </w:rPr>
        <w:t>a</w:t>
      </w:r>
      <w:r w:rsidR="00010B2E" w:rsidRPr="005641F0">
        <w:rPr>
          <w:rFonts w:cs="Calibri"/>
          <w:sz w:val="24"/>
          <w:szCs w:val="24"/>
        </w:rPr>
        <w:t xml:space="preserve"> wojewody dotycząc</w:t>
      </w:r>
      <w:r w:rsidRPr="005641F0">
        <w:rPr>
          <w:rFonts w:cs="Calibri"/>
          <w:sz w:val="24"/>
          <w:szCs w:val="24"/>
        </w:rPr>
        <w:t>a</w:t>
      </w:r>
      <w:r w:rsidR="00010B2E" w:rsidRPr="005641F0">
        <w:rPr>
          <w:rFonts w:cs="Calibri"/>
          <w:sz w:val="24"/>
          <w:szCs w:val="24"/>
        </w:rPr>
        <w:t xml:space="preserve"> statusu zakładu pracy chronionej ma charakter podmiotowy</w:t>
      </w:r>
      <w:r w:rsidRPr="005641F0">
        <w:rPr>
          <w:rFonts w:cs="Calibri"/>
          <w:sz w:val="24"/>
          <w:szCs w:val="24"/>
        </w:rPr>
        <w:t xml:space="preserve"> </w:t>
      </w:r>
      <w:r w:rsidR="00000C8F">
        <w:rPr>
          <w:rFonts w:cs="Calibri"/>
          <w:sz w:val="24"/>
          <w:szCs w:val="24"/>
        </w:rPr>
        <w:br/>
      </w:r>
      <w:r w:rsidRPr="005641F0">
        <w:rPr>
          <w:rFonts w:cs="Calibri"/>
          <w:sz w:val="24"/>
          <w:szCs w:val="24"/>
        </w:rPr>
        <w:t xml:space="preserve">i jest </w:t>
      </w:r>
      <w:r w:rsidR="00010B2E" w:rsidRPr="005641F0">
        <w:rPr>
          <w:rFonts w:cs="Calibri"/>
          <w:sz w:val="24"/>
          <w:szCs w:val="24"/>
        </w:rPr>
        <w:t>wydawan</w:t>
      </w:r>
      <w:r w:rsidRPr="005641F0">
        <w:rPr>
          <w:rFonts w:cs="Calibri"/>
          <w:sz w:val="24"/>
          <w:szCs w:val="24"/>
        </w:rPr>
        <w:t>a</w:t>
      </w:r>
      <w:r w:rsidR="00010B2E" w:rsidRPr="005641F0">
        <w:rPr>
          <w:rFonts w:cs="Calibri"/>
          <w:sz w:val="24"/>
          <w:szCs w:val="24"/>
        </w:rPr>
        <w:t xml:space="preserve"> konkretnemu pracodawcy po spełnieniu ściśle określonych przesłanek ustawowych. Nie </w:t>
      </w:r>
      <w:r w:rsidRPr="005641F0">
        <w:rPr>
          <w:rFonts w:cs="Calibri"/>
          <w:sz w:val="24"/>
          <w:szCs w:val="24"/>
        </w:rPr>
        <w:t xml:space="preserve">jest </w:t>
      </w:r>
      <w:r w:rsidR="00010B2E" w:rsidRPr="005641F0">
        <w:rPr>
          <w:rFonts w:cs="Calibri"/>
          <w:sz w:val="24"/>
          <w:szCs w:val="24"/>
        </w:rPr>
        <w:t>zatem decyzj</w:t>
      </w:r>
      <w:r w:rsidRPr="005641F0">
        <w:rPr>
          <w:rFonts w:cs="Calibri"/>
          <w:sz w:val="24"/>
          <w:szCs w:val="24"/>
        </w:rPr>
        <w:t>ą</w:t>
      </w:r>
      <w:r w:rsidR="00010B2E" w:rsidRPr="005641F0">
        <w:rPr>
          <w:rFonts w:cs="Calibri"/>
          <w:sz w:val="24"/>
          <w:szCs w:val="24"/>
        </w:rPr>
        <w:t xml:space="preserve"> przedmiotow</w:t>
      </w:r>
      <w:r w:rsidRPr="005641F0">
        <w:rPr>
          <w:rFonts w:cs="Calibri"/>
          <w:sz w:val="24"/>
          <w:szCs w:val="24"/>
        </w:rPr>
        <w:t>ą</w:t>
      </w:r>
      <w:r w:rsidR="00010B2E" w:rsidRPr="005641F0">
        <w:rPr>
          <w:rFonts w:cs="Calibri"/>
          <w:sz w:val="24"/>
          <w:szCs w:val="24"/>
        </w:rPr>
        <w:t xml:space="preserve"> – </w:t>
      </w:r>
      <w:r w:rsidRPr="005641F0">
        <w:rPr>
          <w:rFonts w:cs="Calibri"/>
          <w:sz w:val="24"/>
          <w:szCs w:val="24"/>
        </w:rPr>
        <w:t>jej</w:t>
      </w:r>
      <w:r w:rsidR="00010B2E" w:rsidRPr="005641F0">
        <w:rPr>
          <w:rFonts w:cs="Calibri"/>
          <w:sz w:val="24"/>
          <w:szCs w:val="24"/>
        </w:rPr>
        <w:t xml:space="preserve"> uzyskanie nie jest związane ani ze składnikami majątku, ani też z działalnością prowadzoną przez pracodawcę. </w:t>
      </w:r>
    </w:p>
    <w:p w14:paraId="246EA8EA" w14:textId="18F5EFD9" w:rsidR="00010B2E" w:rsidRPr="00010B2E" w:rsidRDefault="00010B2E" w:rsidP="00010B2E">
      <w:pPr>
        <w:spacing w:after="0" w:line="360" w:lineRule="auto"/>
        <w:jc w:val="both"/>
        <w:rPr>
          <w:rFonts w:cs="Calibri"/>
          <w:sz w:val="24"/>
          <w:szCs w:val="24"/>
        </w:rPr>
      </w:pPr>
      <w:r w:rsidRPr="005641F0">
        <w:rPr>
          <w:rFonts w:cs="Calibri"/>
          <w:sz w:val="24"/>
          <w:szCs w:val="24"/>
        </w:rPr>
        <w:t>Z kolei tylko pracodawca posiadający status zakładu pracy chronionej jest dysponentem ZFRON.</w:t>
      </w:r>
      <w:r w:rsidRPr="00010B2E">
        <w:rPr>
          <w:rFonts w:cs="Calibri"/>
          <w:sz w:val="24"/>
          <w:szCs w:val="24"/>
        </w:rPr>
        <w:t xml:space="preserve"> Zatem wyłącznie następca prawny decyzji wojewody </w:t>
      </w:r>
      <w:r w:rsidR="00000C8F">
        <w:rPr>
          <w:rFonts w:cs="Calibri"/>
          <w:sz w:val="24"/>
          <w:szCs w:val="24"/>
        </w:rPr>
        <w:t xml:space="preserve">przyznającej </w:t>
      </w:r>
      <w:r w:rsidRPr="00010B2E">
        <w:rPr>
          <w:rFonts w:cs="Calibri"/>
          <w:sz w:val="24"/>
          <w:szCs w:val="24"/>
        </w:rPr>
        <w:t xml:space="preserve">status zakładu pracy chronionej </w:t>
      </w:r>
      <w:r w:rsidR="00000C8F">
        <w:rPr>
          <w:rFonts w:cs="Calibri"/>
          <w:sz w:val="24"/>
          <w:szCs w:val="24"/>
        </w:rPr>
        <w:t xml:space="preserve">- </w:t>
      </w:r>
      <w:r w:rsidRPr="00010B2E">
        <w:rPr>
          <w:rFonts w:cs="Calibri"/>
          <w:sz w:val="24"/>
          <w:szCs w:val="24"/>
        </w:rPr>
        <w:t>przejmuje ogół praw</w:t>
      </w:r>
      <w:r w:rsidR="00000C8F">
        <w:rPr>
          <w:rFonts w:cs="Calibri"/>
          <w:sz w:val="24"/>
          <w:szCs w:val="24"/>
        </w:rPr>
        <w:t xml:space="preserve"> i</w:t>
      </w:r>
      <w:r w:rsidRPr="00010B2E">
        <w:rPr>
          <w:rFonts w:cs="Calibri"/>
          <w:sz w:val="24"/>
          <w:szCs w:val="24"/>
        </w:rPr>
        <w:t xml:space="preserve"> obowiązków oraz majątku odnoszącego się do ZFRON.       </w:t>
      </w:r>
      <w:bookmarkEnd w:id="7"/>
    </w:p>
    <w:p w14:paraId="2D49E788" w14:textId="4157AE38" w:rsidR="005641F0" w:rsidRPr="005641F0" w:rsidRDefault="00000C8F" w:rsidP="005641F0">
      <w:pPr>
        <w:spacing w:after="0" w:line="360" w:lineRule="auto"/>
        <w:jc w:val="both"/>
        <w:rPr>
          <w:rFonts w:cs="Calibri"/>
          <w:sz w:val="24"/>
          <w:szCs w:val="24"/>
        </w:rPr>
      </w:pPr>
      <w:r>
        <w:rPr>
          <w:rFonts w:cs="Calibri"/>
          <w:sz w:val="24"/>
          <w:szCs w:val="24"/>
        </w:rPr>
        <w:t>Jednocześnie b</w:t>
      </w:r>
      <w:r w:rsidR="00A23F20" w:rsidRPr="00A23F20">
        <w:rPr>
          <w:rFonts w:cs="Calibri"/>
          <w:sz w:val="24"/>
          <w:szCs w:val="24"/>
        </w:rPr>
        <w:t xml:space="preserve">rak </w:t>
      </w:r>
      <w:r w:rsidR="005641F0" w:rsidRPr="00A23F20">
        <w:rPr>
          <w:rFonts w:cs="Calibri"/>
          <w:sz w:val="24"/>
          <w:szCs w:val="24"/>
        </w:rPr>
        <w:t xml:space="preserve">następcy prawnego decyzji wojewody </w:t>
      </w:r>
      <w:r>
        <w:rPr>
          <w:rFonts w:cs="Calibri"/>
          <w:sz w:val="24"/>
          <w:szCs w:val="24"/>
        </w:rPr>
        <w:t xml:space="preserve">przyznającej </w:t>
      </w:r>
      <w:r w:rsidR="005641F0" w:rsidRPr="00A23F20">
        <w:rPr>
          <w:rFonts w:cs="Calibri"/>
          <w:sz w:val="24"/>
          <w:szCs w:val="24"/>
        </w:rPr>
        <w:t xml:space="preserve">status zakładu pracy chronionej </w:t>
      </w:r>
      <w:r>
        <w:rPr>
          <w:rFonts w:cs="Calibri"/>
          <w:sz w:val="24"/>
          <w:szCs w:val="24"/>
        </w:rPr>
        <w:t xml:space="preserve">skutkuje brakiem </w:t>
      </w:r>
      <w:r w:rsidR="00A23F20" w:rsidRPr="00A23F20">
        <w:rPr>
          <w:rFonts w:cs="Calibri"/>
          <w:sz w:val="24"/>
          <w:szCs w:val="24"/>
        </w:rPr>
        <w:t>dysponenta ZFRON</w:t>
      </w:r>
      <w:r w:rsidR="005641F0" w:rsidRPr="00A23F20">
        <w:rPr>
          <w:rFonts w:cs="Calibri"/>
          <w:sz w:val="24"/>
          <w:szCs w:val="24"/>
        </w:rPr>
        <w:t xml:space="preserve">. </w:t>
      </w:r>
    </w:p>
    <w:p w14:paraId="2637DCD7" w14:textId="71BB3AA9" w:rsidR="00BB44A4" w:rsidRPr="00BB44A4" w:rsidRDefault="00BB44A4" w:rsidP="00000C8F">
      <w:pPr>
        <w:spacing w:after="0" w:line="360" w:lineRule="auto"/>
        <w:ind w:firstLine="708"/>
        <w:jc w:val="both"/>
        <w:rPr>
          <w:rFonts w:cs="Calibri"/>
          <w:sz w:val="24"/>
          <w:szCs w:val="24"/>
        </w:rPr>
      </w:pPr>
      <w:r w:rsidRPr="00BB44A4">
        <w:rPr>
          <w:rFonts w:cs="Calibri"/>
          <w:sz w:val="24"/>
          <w:szCs w:val="24"/>
        </w:rPr>
        <w:t>Na podstawie art.33 ust.7 ustawy o rehabilitacji w razie likwidacji, upadłości albo wykreślenia z ewidencji działalności gospodarczej prowadzonego przez pracodawcę zakładu pracy chronionej lub utraty statusu zakładu pracy chronionej niewykorzystane według stanu na dzień likwidacji, upadłości lub utraty statusu zakładu pracy chronionej środki ZFRON podlegają niezwłocznie wpłacie do PFRON, z zastrzeżeniem ust.7a i 7b.</w:t>
      </w:r>
    </w:p>
    <w:p w14:paraId="7104BACC" w14:textId="4989B0A2" w:rsidR="00BB44A4" w:rsidRPr="00BB44A4" w:rsidRDefault="00BB44A4" w:rsidP="00BB44A4">
      <w:pPr>
        <w:spacing w:after="0" w:line="360" w:lineRule="auto"/>
        <w:jc w:val="both"/>
        <w:rPr>
          <w:rFonts w:cs="Calibri"/>
          <w:sz w:val="24"/>
          <w:szCs w:val="24"/>
        </w:rPr>
      </w:pPr>
      <w:r w:rsidRPr="00BB44A4">
        <w:rPr>
          <w:rFonts w:cs="Calibri"/>
          <w:sz w:val="24"/>
          <w:szCs w:val="24"/>
        </w:rPr>
        <w:t xml:space="preserve">Z kolei art.33 ust.7a ustawy o rehabilitacji wskazuje, że na dzień zaistnienia okoliczności, </w:t>
      </w:r>
      <w:r w:rsidR="00000C8F">
        <w:rPr>
          <w:rFonts w:cs="Calibri"/>
          <w:sz w:val="24"/>
          <w:szCs w:val="24"/>
        </w:rPr>
        <w:br/>
      </w:r>
      <w:r w:rsidRPr="00BB44A4">
        <w:rPr>
          <w:rFonts w:cs="Calibri"/>
          <w:sz w:val="24"/>
          <w:szCs w:val="24"/>
        </w:rPr>
        <w:t xml:space="preserve">o których mowa w ust.7 – wpłacie do Funduszu podlega także kwota odpowiadającą kwocie wydatkowanej ze środków ZFRON na nabycie, wytworzenie lub ulepszenie środków trwałych w związku z modernizacją zakładu, utworzeniem lub przystosowaniem stanowisk pracy </w:t>
      </w:r>
      <w:r w:rsidR="00000C8F">
        <w:rPr>
          <w:rFonts w:cs="Calibri"/>
          <w:sz w:val="24"/>
          <w:szCs w:val="24"/>
        </w:rPr>
        <w:br/>
      </w:r>
      <w:r w:rsidRPr="00BB44A4">
        <w:rPr>
          <w:rFonts w:cs="Calibri"/>
          <w:sz w:val="24"/>
          <w:szCs w:val="24"/>
        </w:rPr>
        <w:t xml:space="preserve">dla osób niepełnosprawnych, budową lub rozbudową bazy rehabilitacyjnej, wypoczynkowej </w:t>
      </w:r>
      <w:r w:rsidR="00000C8F">
        <w:rPr>
          <w:rFonts w:cs="Calibri"/>
          <w:sz w:val="24"/>
          <w:szCs w:val="24"/>
        </w:rPr>
        <w:br/>
      </w:r>
      <w:r w:rsidRPr="00BB44A4">
        <w:rPr>
          <w:rFonts w:cs="Calibri"/>
          <w:sz w:val="24"/>
          <w:szCs w:val="24"/>
        </w:rPr>
        <w:t xml:space="preserve">i socjalnej oraz na zakup środków transportu - w części, która nie została pokryta odpisami amortyzacyjnymi, ustalonymi przy zastosowaniu stawek amortyzacyjnych wynikających </w:t>
      </w:r>
      <w:r w:rsidR="00000C8F">
        <w:rPr>
          <w:rFonts w:cs="Calibri"/>
          <w:sz w:val="24"/>
          <w:szCs w:val="24"/>
        </w:rPr>
        <w:br/>
      </w:r>
      <w:r w:rsidRPr="00BB44A4">
        <w:rPr>
          <w:rFonts w:cs="Calibri"/>
          <w:sz w:val="24"/>
          <w:szCs w:val="24"/>
        </w:rPr>
        <w:t>z Wykazu rocznych stawek amortyzacyjnych.</w:t>
      </w:r>
    </w:p>
    <w:p w14:paraId="5D7F274F" w14:textId="77777777" w:rsidR="00BB44A4" w:rsidRPr="00BB44A4" w:rsidRDefault="00BB44A4" w:rsidP="00BB44A4">
      <w:pPr>
        <w:spacing w:after="0" w:line="360" w:lineRule="auto"/>
        <w:jc w:val="both"/>
        <w:rPr>
          <w:rFonts w:cs="Calibri"/>
          <w:sz w:val="24"/>
          <w:szCs w:val="24"/>
        </w:rPr>
      </w:pPr>
      <w:r w:rsidRPr="00BB44A4">
        <w:rPr>
          <w:rFonts w:cs="Calibri"/>
          <w:sz w:val="24"/>
          <w:szCs w:val="24"/>
        </w:rPr>
        <w:t xml:space="preserve">Przepisy art.33 ust. 7 i 7a ustawy o rehabilitacji określają zatem podstawowy zakres obowiązku wpłaty na PFRON związanej z określoną zmianą organizacyjną u dysponenta ZFRON. </w:t>
      </w:r>
    </w:p>
    <w:p w14:paraId="5B30DACA" w14:textId="3172800F" w:rsidR="00BB44A4" w:rsidRPr="00BB44A4" w:rsidRDefault="00BB44A4" w:rsidP="00BB44A4">
      <w:pPr>
        <w:spacing w:after="0" w:line="360" w:lineRule="auto"/>
        <w:jc w:val="both"/>
        <w:rPr>
          <w:rFonts w:cs="Calibri"/>
          <w:sz w:val="24"/>
          <w:szCs w:val="24"/>
        </w:rPr>
      </w:pPr>
      <w:r w:rsidRPr="00BB44A4">
        <w:rPr>
          <w:rFonts w:cs="Calibri"/>
          <w:sz w:val="24"/>
          <w:szCs w:val="24"/>
        </w:rPr>
        <w:t xml:space="preserve">Z zaistnieniem którejkolwiek z przesłanek określonych w art.33 ust.7 ustawy o rehabilitacji </w:t>
      </w:r>
      <w:r w:rsidR="006E3B8C">
        <w:rPr>
          <w:rFonts w:cs="Calibri"/>
          <w:sz w:val="24"/>
          <w:szCs w:val="24"/>
        </w:rPr>
        <w:br/>
      </w:r>
      <w:r w:rsidRPr="00BB44A4">
        <w:rPr>
          <w:rFonts w:cs="Calibri"/>
          <w:sz w:val="24"/>
          <w:szCs w:val="24"/>
        </w:rPr>
        <w:t xml:space="preserve">co do zasady wiąże się powstanie zobowiązania z tytułu wpłaty w wysokości określonej </w:t>
      </w:r>
      <w:r w:rsidR="006E3B8C">
        <w:rPr>
          <w:rFonts w:cs="Calibri"/>
          <w:sz w:val="24"/>
          <w:szCs w:val="24"/>
        </w:rPr>
        <w:br/>
      </w:r>
      <w:r w:rsidRPr="00BB44A4">
        <w:rPr>
          <w:rFonts w:cs="Calibri"/>
          <w:sz w:val="24"/>
          <w:szCs w:val="24"/>
        </w:rPr>
        <w:t xml:space="preserve">w art.33 ust.7 i 7a ustawy o rehabilitacji, którą należy zgłosić w deklaracji DEK-II-a i wpłacić </w:t>
      </w:r>
      <w:r w:rsidR="007216AD">
        <w:rPr>
          <w:rFonts w:cs="Calibri"/>
          <w:sz w:val="24"/>
          <w:szCs w:val="24"/>
        </w:rPr>
        <w:br/>
      </w:r>
      <w:r w:rsidRPr="00BB44A4">
        <w:rPr>
          <w:rFonts w:cs="Calibri"/>
          <w:sz w:val="24"/>
          <w:szCs w:val="24"/>
        </w:rPr>
        <w:t>w terminie określonym w art.49 ust. 2 ustawy o rehabilitacji, tj. w terminie do 20. dnia miesiąca następującego po miesiącu zaistnienia tych okoliczności.</w:t>
      </w:r>
    </w:p>
    <w:p w14:paraId="2B0DDA70" w14:textId="0688B279" w:rsidR="002626C7" w:rsidRDefault="00FD40C1" w:rsidP="006E3B8C">
      <w:pPr>
        <w:spacing w:after="0" w:line="360" w:lineRule="auto"/>
        <w:jc w:val="both"/>
        <w:rPr>
          <w:rFonts w:cs="Calibri"/>
          <w:sz w:val="24"/>
          <w:szCs w:val="24"/>
        </w:rPr>
      </w:pPr>
      <w:r>
        <w:rPr>
          <w:rFonts w:cs="Calibri"/>
          <w:sz w:val="24"/>
          <w:szCs w:val="24"/>
        </w:rPr>
        <w:t xml:space="preserve">Użyte w art.33 ust.7 ustawy o rehabilitacji pojęcie „w likwidacji” należy rozumieć w sensie </w:t>
      </w:r>
      <w:r w:rsidR="006E3B8C">
        <w:rPr>
          <w:rFonts w:cs="Calibri"/>
          <w:sz w:val="24"/>
          <w:szCs w:val="24"/>
        </w:rPr>
        <w:t>szerokim</w:t>
      </w:r>
      <w:r>
        <w:rPr>
          <w:rFonts w:cs="Calibri"/>
          <w:sz w:val="24"/>
          <w:szCs w:val="24"/>
        </w:rPr>
        <w:t xml:space="preserve">. </w:t>
      </w:r>
      <w:r w:rsidR="006E3B8C">
        <w:rPr>
          <w:rFonts w:cs="Calibri"/>
          <w:sz w:val="24"/>
          <w:szCs w:val="24"/>
        </w:rPr>
        <w:t>Z</w:t>
      </w:r>
      <w:r w:rsidR="0008726A">
        <w:rPr>
          <w:rFonts w:cs="Calibri"/>
          <w:sz w:val="24"/>
          <w:szCs w:val="24"/>
        </w:rPr>
        <w:t xml:space="preserve">akres tego pojęcia obejmuje nie tylko </w:t>
      </w:r>
      <w:r>
        <w:rPr>
          <w:rFonts w:cs="Calibri"/>
          <w:sz w:val="24"/>
          <w:szCs w:val="24"/>
        </w:rPr>
        <w:t xml:space="preserve">bycie w likwidacji w wyniku prowadzonego przez likwidatora postępowania likwidacyjnego, lecz również wszelkie inne działania zmierzające do ustania bytu </w:t>
      </w:r>
      <w:r w:rsidR="002E7767">
        <w:rPr>
          <w:rFonts w:cs="Calibri"/>
          <w:sz w:val="24"/>
          <w:szCs w:val="24"/>
        </w:rPr>
        <w:t xml:space="preserve">pracodawcy będącego </w:t>
      </w:r>
      <w:r>
        <w:rPr>
          <w:rFonts w:cs="Calibri"/>
          <w:sz w:val="24"/>
          <w:szCs w:val="24"/>
        </w:rPr>
        <w:t>dysponent</w:t>
      </w:r>
      <w:r w:rsidR="002E7767">
        <w:rPr>
          <w:rFonts w:cs="Calibri"/>
          <w:sz w:val="24"/>
          <w:szCs w:val="24"/>
        </w:rPr>
        <w:t>em</w:t>
      </w:r>
      <w:r>
        <w:rPr>
          <w:rFonts w:cs="Calibri"/>
          <w:sz w:val="24"/>
          <w:szCs w:val="24"/>
        </w:rPr>
        <w:t xml:space="preserve"> ZFRON</w:t>
      </w:r>
      <w:r w:rsidR="002E7767">
        <w:rPr>
          <w:rFonts w:cs="Calibri"/>
          <w:sz w:val="24"/>
          <w:szCs w:val="24"/>
        </w:rPr>
        <w:t xml:space="preserve">, </w:t>
      </w:r>
      <w:r w:rsidR="0008726A">
        <w:rPr>
          <w:rFonts w:cs="Calibri"/>
          <w:sz w:val="24"/>
          <w:szCs w:val="24"/>
        </w:rPr>
        <w:t xml:space="preserve">a </w:t>
      </w:r>
      <w:r w:rsidR="002E7767">
        <w:rPr>
          <w:rFonts w:cs="Calibri"/>
          <w:sz w:val="24"/>
          <w:szCs w:val="24"/>
        </w:rPr>
        <w:t>które nie są upadłością, wykreśleniem z ewidencji działalności gospodarczej oraz utratą statusu zakładu pracy chronionej.</w:t>
      </w:r>
      <w:r w:rsidR="002626C7">
        <w:rPr>
          <w:rFonts w:cs="Calibri"/>
          <w:sz w:val="24"/>
          <w:szCs w:val="24"/>
        </w:rPr>
        <w:t xml:space="preserve"> </w:t>
      </w:r>
    </w:p>
    <w:p w14:paraId="4A81F9DC" w14:textId="3BB1BD72" w:rsidR="00146167" w:rsidRDefault="002E7767" w:rsidP="002626C7">
      <w:pPr>
        <w:spacing w:after="0" w:line="360" w:lineRule="auto"/>
        <w:jc w:val="both"/>
        <w:rPr>
          <w:rFonts w:cs="Calibri"/>
          <w:sz w:val="24"/>
          <w:szCs w:val="24"/>
        </w:rPr>
      </w:pPr>
      <w:r>
        <w:rPr>
          <w:rFonts w:cs="Calibri"/>
          <w:sz w:val="24"/>
          <w:szCs w:val="24"/>
        </w:rPr>
        <w:t>Ustawodawca w ten sposób dążył do tego</w:t>
      </w:r>
      <w:r w:rsidR="002626C7">
        <w:rPr>
          <w:rFonts w:cs="Calibri"/>
          <w:sz w:val="24"/>
          <w:szCs w:val="24"/>
        </w:rPr>
        <w:t xml:space="preserve">, aby </w:t>
      </w:r>
      <w:r>
        <w:rPr>
          <w:rFonts w:cs="Calibri"/>
          <w:sz w:val="24"/>
          <w:szCs w:val="24"/>
        </w:rPr>
        <w:t xml:space="preserve">środki ZFRON nie były wykorzystywane na inne cele niż określone w przepisach ustawy o rehabilitacji. </w:t>
      </w:r>
      <w:r w:rsidR="002626C7" w:rsidRPr="002626C7">
        <w:rPr>
          <w:rFonts w:cs="Calibri"/>
          <w:sz w:val="24"/>
          <w:szCs w:val="24"/>
        </w:rPr>
        <w:t xml:space="preserve">Cele na jakie mogą być wydatkowane środki ZFRON </w:t>
      </w:r>
      <w:r w:rsidR="002626C7">
        <w:rPr>
          <w:rFonts w:cs="Calibri"/>
          <w:sz w:val="24"/>
          <w:szCs w:val="24"/>
        </w:rPr>
        <w:t xml:space="preserve">określa </w:t>
      </w:r>
      <w:r w:rsidR="002626C7" w:rsidRPr="002626C7">
        <w:rPr>
          <w:rFonts w:cs="Calibri"/>
          <w:sz w:val="24"/>
          <w:szCs w:val="24"/>
        </w:rPr>
        <w:t>art.33 ust.4 ustawy o rehabilitacji. Zgodnie z tym przepisem pracodawca jest obowiązany przeznaczać środki ZFRON na finansowanie rehabilitacji zawodowej, społecznej i leczniczej, w tym na indywidualne programy rehabilitacji osób niepełnosprawnych opracowywane przez powołane przez pracodawcę komisje rehabilitacyjne oraz ubezpieczenie osób niepełnosprawnych, zgodnie z zakładowym regulaminem wykorzystania tych środków</w:t>
      </w:r>
      <w:r w:rsidR="002626C7">
        <w:rPr>
          <w:rFonts w:cs="Calibri"/>
          <w:sz w:val="24"/>
          <w:szCs w:val="24"/>
        </w:rPr>
        <w:t xml:space="preserve">. </w:t>
      </w:r>
      <w:r>
        <w:rPr>
          <w:rFonts w:cs="Calibri"/>
          <w:sz w:val="24"/>
          <w:szCs w:val="24"/>
        </w:rPr>
        <w:t xml:space="preserve">Należy </w:t>
      </w:r>
      <w:r w:rsidR="006E3B8C">
        <w:rPr>
          <w:rFonts w:cs="Calibri"/>
          <w:sz w:val="24"/>
          <w:szCs w:val="24"/>
        </w:rPr>
        <w:t>m</w:t>
      </w:r>
      <w:r>
        <w:rPr>
          <w:rFonts w:cs="Calibri"/>
          <w:sz w:val="24"/>
          <w:szCs w:val="24"/>
        </w:rPr>
        <w:t xml:space="preserve">ieć na uwadze, że środki te nie są własnością dysponenta ZFRON – są </w:t>
      </w:r>
      <w:r w:rsidR="002626C7">
        <w:rPr>
          <w:rFonts w:cs="Calibri"/>
          <w:sz w:val="24"/>
          <w:szCs w:val="24"/>
        </w:rPr>
        <w:t>jedynie w jego dyspozycji</w:t>
      </w:r>
      <w:r w:rsidR="00146167">
        <w:rPr>
          <w:rFonts w:cs="Calibri"/>
          <w:sz w:val="24"/>
          <w:szCs w:val="24"/>
        </w:rPr>
        <w:t xml:space="preserve">. </w:t>
      </w:r>
      <w:r w:rsidR="002626C7">
        <w:rPr>
          <w:rFonts w:cs="Calibri"/>
          <w:sz w:val="24"/>
          <w:szCs w:val="24"/>
        </w:rPr>
        <w:t>Fakt ten również przemawia za tym, że</w:t>
      </w:r>
      <w:r w:rsidR="00146167">
        <w:rPr>
          <w:rFonts w:cs="Calibri"/>
          <w:sz w:val="24"/>
          <w:szCs w:val="24"/>
        </w:rPr>
        <w:t xml:space="preserve"> pojęcie „w likwidacji” należy rozumieć </w:t>
      </w:r>
      <w:r w:rsidR="007216AD">
        <w:rPr>
          <w:rFonts w:cs="Calibri"/>
          <w:sz w:val="24"/>
          <w:szCs w:val="24"/>
        </w:rPr>
        <w:br/>
      </w:r>
      <w:r w:rsidR="00146167">
        <w:rPr>
          <w:rFonts w:cs="Calibri"/>
          <w:sz w:val="24"/>
          <w:szCs w:val="24"/>
        </w:rPr>
        <w:t>sensu largo, a nie sensu s</w:t>
      </w:r>
      <w:r w:rsidR="0008726A">
        <w:rPr>
          <w:rFonts w:cs="Calibri"/>
          <w:sz w:val="24"/>
          <w:szCs w:val="24"/>
        </w:rPr>
        <w:t>t</w:t>
      </w:r>
      <w:r w:rsidR="00146167">
        <w:rPr>
          <w:rFonts w:cs="Calibri"/>
          <w:sz w:val="24"/>
          <w:szCs w:val="24"/>
        </w:rPr>
        <w:t>rict</w:t>
      </w:r>
      <w:r w:rsidR="007216AD">
        <w:rPr>
          <w:rFonts w:cs="Calibri"/>
          <w:sz w:val="24"/>
          <w:szCs w:val="24"/>
        </w:rPr>
        <w:t>o</w:t>
      </w:r>
      <w:r w:rsidR="00146167">
        <w:rPr>
          <w:rFonts w:cs="Calibri"/>
          <w:sz w:val="24"/>
          <w:szCs w:val="24"/>
        </w:rPr>
        <w:t>.</w:t>
      </w:r>
    </w:p>
    <w:p w14:paraId="08F39983" w14:textId="59ACD1AE" w:rsidR="00087382" w:rsidRDefault="004540DC" w:rsidP="002626C7">
      <w:pPr>
        <w:spacing w:after="0" w:line="360" w:lineRule="auto"/>
        <w:jc w:val="both"/>
        <w:rPr>
          <w:rFonts w:cs="Calibri"/>
          <w:sz w:val="24"/>
          <w:szCs w:val="24"/>
        </w:rPr>
      </w:pPr>
      <w:r>
        <w:rPr>
          <w:rFonts w:cs="Calibri"/>
          <w:sz w:val="24"/>
          <w:szCs w:val="24"/>
        </w:rPr>
        <w:t>Z</w:t>
      </w:r>
      <w:r w:rsidR="00087382">
        <w:rPr>
          <w:rFonts w:cs="Calibri"/>
          <w:sz w:val="24"/>
          <w:szCs w:val="24"/>
        </w:rPr>
        <w:t xml:space="preserve">akończenie działalności spółki jawnej </w:t>
      </w:r>
      <w:r>
        <w:rPr>
          <w:rFonts w:cs="Calibri"/>
          <w:sz w:val="24"/>
          <w:szCs w:val="24"/>
        </w:rPr>
        <w:t xml:space="preserve">czy to wskutek </w:t>
      </w:r>
      <w:r w:rsidR="00087382">
        <w:rPr>
          <w:rFonts w:cs="Calibri"/>
          <w:sz w:val="24"/>
          <w:szCs w:val="24"/>
        </w:rPr>
        <w:t>przeprowadzenia p</w:t>
      </w:r>
      <w:r w:rsidR="00146167">
        <w:rPr>
          <w:rFonts w:cs="Calibri"/>
          <w:sz w:val="24"/>
          <w:szCs w:val="24"/>
        </w:rPr>
        <w:t>ostępowania likwidacyjnego</w:t>
      </w:r>
      <w:r w:rsidR="00087382">
        <w:rPr>
          <w:rFonts w:cs="Calibri"/>
          <w:sz w:val="24"/>
          <w:szCs w:val="24"/>
        </w:rPr>
        <w:t xml:space="preserve"> czy też bez jego przeprowadzenia – </w:t>
      </w:r>
      <w:r>
        <w:rPr>
          <w:rFonts w:cs="Calibri"/>
          <w:sz w:val="24"/>
          <w:szCs w:val="24"/>
        </w:rPr>
        <w:t xml:space="preserve">jednakowo </w:t>
      </w:r>
      <w:r w:rsidR="00087382">
        <w:rPr>
          <w:rFonts w:cs="Calibri"/>
          <w:sz w:val="24"/>
          <w:szCs w:val="24"/>
        </w:rPr>
        <w:t xml:space="preserve">prowadzi do ustania jej bytu prawnego poprzez </w:t>
      </w:r>
      <w:r w:rsidR="00146167">
        <w:rPr>
          <w:rFonts w:cs="Calibri"/>
          <w:sz w:val="24"/>
          <w:szCs w:val="24"/>
        </w:rPr>
        <w:t>wykreśleni</w:t>
      </w:r>
      <w:r>
        <w:rPr>
          <w:rFonts w:cs="Calibri"/>
          <w:sz w:val="24"/>
          <w:szCs w:val="24"/>
        </w:rPr>
        <w:t>e</w:t>
      </w:r>
      <w:r w:rsidR="00146167">
        <w:rPr>
          <w:rFonts w:cs="Calibri"/>
          <w:sz w:val="24"/>
          <w:szCs w:val="24"/>
        </w:rPr>
        <w:t xml:space="preserve"> z rejestru</w:t>
      </w:r>
      <w:r w:rsidR="006E3B8C">
        <w:rPr>
          <w:rFonts w:cs="Calibri"/>
          <w:sz w:val="24"/>
          <w:szCs w:val="24"/>
        </w:rPr>
        <w:t xml:space="preserve"> KRS</w:t>
      </w:r>
      <w:r w:rsidR="00146167">
        <w:rPr>
          <w:rFonts w:cs="Calibri"/>
          <w:sz w:val="24"/>
          <w:szCs w:val="24"/>
        </w:rPr>
        <w:t xml:space="preserve">. </w:t>
      </w:r>
      <w:r w:rsidR="00087382">
        <w:rPr>
          <w:rFonts w:cs="Calibri"/>
          <w:sz w:val="24"/>
          <w:szCs w:val="24"/>
        </w:rPr>
        <w:t>Spółka jawna przestaje istnieć – jest zlikwidowana.</w:t>
      </w:r>
    </w:p>
    <w:p w14:paraId="0281FDE6" w14:textId="77777777" w:rsidR="006E3B8C" w:rsidRDefault="006E3B8C" w:rsidP="002626C7">
      <w:pPr>
        <w:spacing w:after="0" w:line="360" w:lineRule="auto"/>
        <w:jc w:val="both"/>
        <w:rPr>
          <w:rFonts w:cs="Calibri"/>
          <w:sz w:val="24"/>
          <w:szCs w:val="24"/>
        </w:rPr>
      </w:pPr>
    </w:p>
    <w:p w14:paraId="3059B256" w14:textId="77777777" w:rsidR="006E3B8C" w:rsidRDefault="006E3B8C" w:rsidP="002626C7">
      <w:pPr>
        <w:spacing w:after="0" w:line="360" w:lineRule="auto"/>
        <w:jc w:val="both"/>
        <w:rPr>
          <w:rFonts w:cs="Calibri"/>
          <w:sz w:val="24"/>
          <w:szCs w:val="24"/>
        </w:rPr>
      </w:pPr>
    </w:p>
    <w:p w14:paraId="2A055EB6" w14:textId="4FF620EB" w:rsidR="00FA62EA" w:rsidRDefault="004540DC" w:rsidP="002626C7">
      <w:pPr>
        <w:spacing w:after="0" w:line="360" w:lineRule="auto"/>
        <w:jc w:val="both"/>
        <w:rPr>
          <w:rFonts w:cs="Calibri"/>
          <w:sz w:val="24"/>
          <w:szCs w:val="24"/>
        </w:rPr>
      </w:pPr>
      <w:r>
        <w:rPr>
          <w:rFonts w:cs="Calibri"/>
          <w:sz w:val="24"/>
          <w:szCs w:val="24"/>
        </w:rPr>
        <w:t xml:space="preserve">Wnioskodawca jest dwuosobową spółka jawną posiadającą status zakładu pracy chronionej. W jego przypadku przyczyną rozwiązania, o którym mowa w art.58 </w:t>
      </w:r>
      <w:r>
        <w:rPr>
          <w:rFonts w:cstheme="minorHAnsi"/>
          <w:sz w:val="24"/>
          <w:szCs w:val="24"/>
        </w:rPr>
        <w:t>§</w:t>
      </w:r>
      <w:r>
        <w:rPr>
          <w:rFonts w:cs="Calibri"/>
          <w:sz w:val="24"/>
          <w:szCs w:val="24"/>
        </w:rPr>
        <w:t xml:space="preserve">1 KSH  jest wypowiedzenie umowy spółki przez wspólnika. Wnioskodawca planuje zakończyć działalności spółki bez przeprowadzania postępowania likwidacyjnego. W wyniku zawartego porozumienia drugi </w:t>
      </w:r>
      <w:r w:rsidR="006E3B8C">
        <w:rPr>
          <w:rFonts w:cs="Calibri"/>
          <w:sz w:val="24"/>
          <w:szCs w:val="24"/>
        </w:rPr>
        <w:br/>
      </w:r>
      <w:r>
        <w:rPr>
          <w:rFonts w:cs="Calibri"/>
          <w:sz w:val="24"/>
          <w:szCs w:val="24"/>
        </w:rPr>
        <w:t>ze wspólników przejmie całość majątku spółki jawnej wraz z jej zobowiązaniami.</w:t>
      </w:r>
    </w:p>
    <w:p w14:paraId="71A21AA8" w14:textId="55F4F3AD" w:rsidR="00FA62EA" w:rsidRDefault="00146167" w:rsidP="002626C7">
      <w:pPr>
        <w:spacing w:after="0" w:line="360" w:lineRule="auto"/>
        <w:jc w:val="both"/>
        <w:rPr>
          <w:rFonts w:cs="Calibri"/>
          <w:sz w:val="24"/>
          <w:szCs w:val="24"/>
        </w:rPr>
      </w:pPr>
      <w:r>
        <w:rPr>
          <w:rFonts w:cs="Calibri"/>
          <w:sz w:val="24"/>
          <w:szCs w:val="24"/>
        </w:rPr>
        <w:t xml:space="preserve">Konsekwencją rozwiązania spółki jawnej </w:t>
      </w:r>
      <w:r w:rsidR="00FA62EA">
        <w:rPr>
          <w:rFonts w:cs="Calibri"/>
          <w:sz w:val="24"/>
          <w:szCs w:val="24"/>
        </w:rPr>
        <w:t xml:space="preserve">bez przeprowadzania postępowania likwidacyjnego </w:t>
      </w:r>
      <w:r>
        <w:rPr>
          <w:rFonts w:cs="Calibri"/>
          <w:sz w:val="24"/>
          <w:szCs w:val="24"/>
        </w:rPr>
        <w:t xml:space="preserve">będzie ustanie bytu prawnego </w:t>
      </w:r>
      <w:r w:rsidR="005600F5">
        <w:rPr>
          <w:rFonts w:cs="Calibri"/>
          <w:sz w:val="24"/>
          <w:szCs w:val="24"/>
        </w:rPr>
        <w:t>dysponenta ZFRON</w:t>
      </w:r>
      <w:r w:rsidR="00FA62EA">
        <w:rPr>
          <w:rFonts w:cs="Calibri"/>
          <w:sz w:val="24"/>
          <w:szCs w:val="24"/>
        </w:rPr>
        <w:t xml:space="preserve"> jakim jest Wnioskodawca</w:t>
      </w:r>
      <w:r w:rsidR="005600F5">
        <w:rPr>
          <w:rFonts w:cs="Calibri"/>
          <w:sz w:val="24"/>
          <w:szCs w:val="24"/>
        </w:rPr>
        <w:t xml:space="preserve">. </w:t>
      </w:r>
      <w:r w:rsidR="00FA62EA">
        <w:rPr>
          <w:rFonts w:cs="Calibri"/>
          <w:sz w:val="24"/>
          <w:szCs w:val="24"/>
        </w:rPr>
        <w:t>Jednocześnie jak przedstawiono to powyżej – wspólnik przejmujący całość majątku spółki jawnej wraz z jej zobowiązaniami – nie stanie się jej następcą prawnym w zakresie decyzji wojewody przyznającej status zakładu pracy chronionej. Nie będąc następcą prawnym w ww. zakresie nie będzie również następcą prawnym w zakresie dysponowania środkami ZFRON Wnioskodawcy.</w:t>
      </w:r>
      <w:r w:rsidR="00000C8F">
        <w:rPr>
          <w:rFonts w:cs="Calibri"/>
          <w:sz w:val="24"/>
          <w:szCs w:val="24"/>
        </w:rPr>
        <w:t xml:space="preserve"> </w:t>
      </w:r>
    </w:p>
    <w:p w14:paraId="718A1B72" w14:textId="55410AB8" w:rsidR="00FA62EA" w:rsidRDefault="00EE25BB" w:rsidP="002626C7">
      <w:pPr>
        <w:spacing w:after="0" w:line="360" w:lineRule="auto"/>
        <w:jc w:val="both"/>
        <w:rPr>
          <w:rFonts w:cs="Calibri"/>
          <w:sz w:val="24"/>
          <w:szCs w:val="24"/>
        </w:rPr>
      </w:pPr>
      <w:r>
        <w:rPr>
          <w:rFonts w:cs="Calibri"/>
          <w:sz w:val="24"/>
          <w:szCs w:val="24"/>
        </w:rPr>
        <w:t xml:space="preserve">Dlatego też </w:t>
      </w:r>
      <w:r w:rsidRPr="00EE25BB">
        <w:rPr>
          <w:rFonts w:cs="Calibri"/>
          <w:sz w:val="24"/>
          <w:szCs w:val="24"/>
        </w:rPr>
        <w:t xml:space="preserve">planowane przez wspólników spółki jawnej przejęcie przez jednego z nich całości majątku spółki prowadzącej zakład pracy chronionej, w oparciu o art.67 §1 KSH, skutkujące sukcesją </w:t>
      </w:r>
      <w:r>
        <w:rPr>
          <w:rFonts w:cs="Calibri"/>
          <w:sz w:val="24"/>
          <w:szCs w:val="24"/>
        </w:rPr>
        <w:t>o</w:t>
      </w:r>
      <w:r w:rsidRPr="00EE25BB">
        <w:rPr>
          <w:rFonts w:cs="Calibri"/>
          <w:sz w:val="24"/>
          <w:szCs w:val="24"/>
        </w:rPr>
        <w:t xml:space="preserve">gółu praw i obowiązków spółki, </w:t>
      </w:r>
      <w:r>
        <w:rPr>
          <w:rFonts w:cs="Calibri"/>
          <w:sz w:val="24"/>
          <w:szCs w:val="24"/>
        </w:rPr>
        <w:t>należy uznać za</w:t>
      </w:r>
      <w:r w:rsidRPr="00EE25BB">
        <w:rPr>
          <w:rFonts w:cs="Calibri"/>
          <w:sz w:val="24"/>
          <w:szCs w:val="24"/>
        </w:rPr>
        <w:t xml:space="preserve"> przypadek likwidacji zakładu pracy chronionej, o którym mowa w art.33 ust.7 ustawy o rehabilitacji, skutkujący obowiązkiem wpłaty do PFRON niewykorzystanych środków zakładowego funduszu rehabilitacji osób niepełnosprawnych spółki jawnej</w:t>
      </w:r>
      <w:r>
        <w:rPr>
          <w:rFonts w:cs="Calibri"/>
          <w:sz w:val="24"/>
          <w:szCs w:val="24"/>
        </w:rPr>
        <w:t>.</w:t>
      </w:r>
      <w:r w:rsidRPr="00EE25BB">
        <w:rPr>
          <w:rFonts w:cs="Calibri"/>
          <w:sz w:val="24"/>
          <w:szCs w:val="24"/>
        </w:rPr>
        <w:t xml:space="preserve">   </w:t>
      </w:r>
    </w:p>
    <w:p w14:paraId="08B04B55" w14:textId="4ABD944E" w:rsidR="00DC1770" w:rsidRPr="00BA3632" w:rsidRDefault="00FA62EA" w:rsidP="00DC1770">
      <w:pPr>
        <w:spacing w:after="0" w:line="360" w:lineRule="auto"/>
        <w:jc w:val="both"/>
        <w:rPr>
          <w:rFonts w:cs="Arial"/>
          <w:sz w:val="24"/>
          <w:szCs w:val="24"/>
          <w:u w:val="single"/>
        </w:rPr>
      </w:pPr>
      <w:r>
        <w:rPr>
          <w:rFonts w:cs="Calibri"/>
          <w:sz w:val="24"/>
          <w:szCs w:val="24"/>
        </w:rPr>
        <w:t xml:space="preserve"> </w:t>
      </w:r>
    </w:p>
    <w:p w14:paraId="204F65BA" w14:textId="30E34334" w:rsidR="009C7AF8" w:rsidRPr="006E3B8C" w:rsidRDefault="00DC1770" w:rsidP="00DC1770">
      <w:pPr>
        <w:spacing w:after="0" w:line="360" w:lineRule="auto"/>
        <w:jc w:val="both"/>
        <w:rPr>
          <w:rFonts w:cs="Arial"/>
          <w:b/>
          <w:bCs/>
          <w:sz w:val="24"/>
          <w:szCs w:val="24"/>
        </w:rPr>
      </w:pPr>
      <w:r w:rsidRPr="00BA3632">
        <w:rPr>
          <w:rFonts w:cs="Arial"/>
          <w:sz w:val="24"/>
          <w:szCs w:val="24"/>
        </w:rPr>
        <w:t xml:space="preserve">     Mając powyższe na uwadze, stanowisko </w:t>
      </w:r>
      <w:r w:rsidR="00340835" w:rsidRPr="00883C4D">
        <w:rPr>
          <w:rFonts w:cstheme="minorHAnsi"/>
          <w:bCs/>
          <w:i/>
          <w:iCs/>
          <w:sz w:val="24"/>
          <w:szCs w:val="24"/>
        </w:rPr>
        <w:t>(dane zanonimizowane)</w:t>
      </w:r>
      <w:r w:rsidR="00340835">
        <w:rPr>
          <w:rFonts w:cstheme="minorHAnsi"/>
          <w:bCs/>
          <w:i/>
          <w:iCs/>
          <w:sz w:val="24"/>
          <w:szCs w:val="24"/>
        </w:rPr>
        <w:t xml:space="preserve"> </w:t>
      </w:r>
      <w:r w:rsidR="00EE25BB">
        <w:rPr>
          <w:rFonts w:cs="Arial"/>
          <w:sz w:val="24"/>
          <w:szCs w:val="24"/>
        </w:rPr>
        <w:t xml:space="preserve">z siedzibą </w:t>
      </w:r>
      <w:r w:rsidR="00EE25BB" w:rsidRPr="00EE25BB">
        <w:rPr>
          <w:rFonts w:cs="Arial"/>
          <w:sz w:val="24"/>
          <w:szCs w:val="24"/>
        </w:rPr>
        <w:t xml:space="preserve">w </w:t>
      </w:r>
      <w:r w:rsidR="00340835" w:rsidRPr="00883C4D">
        <w:rPr>
          <w:rFonts w:cstheme="minorHAnsi"/>
          <w:bCs/>
          <w:i/>
          <w:iCs/>
          <w:sz w:val="24"/>
          <w:szCs w:val="24"/>
        </w:rPr>
        <w:t>(dane zanonimizowane)</w:t>
      </w:r>
      <w:r w:rsidR="00EE25BB" w:rsidRPr="00EE25BB">
        <w:rPr>
          <w:rFonts w:cs="Arial"/>
          <w:sz w:val="24"/>
          <w:szCs w:val="24"/>
        </w:rPr>
        <w:t xml:space="preserve"> </w:t>
      </w:r>
      <w:r w:rsidR="009C7AF8">
        <w:rPr>
          <w:rFonts w:cs="Calibri"/>
          <w:sz w:val="24"/>
          <w:szCs w:val="24"/>
        </w:rPr>
        <w:t>wy</w:t>
      </w:r>
      <w:r>
        <w:rPr>
          <w:rFonts w:cs="Arial"/>
          <w:sz w:val="24"/>
          <w:szCs w:val="24"/>
        </w:rPr>
        <w:t>rażone</w:t>
      </w:r>
      <w:r w:rsidR="00EE25BB">
        <w:rPr>
          <w:rFonts w:cs="Arial"/>
          <w:sz w:val="24"/>
          <w:szCs w:val="24"/>
        </w:rPr>
        <w:t xml:space="preserve"> </w:t>
      </w:r>
      <w:r>
        <w:rPr>
          <w:rFonts w:cs="Arial"/>
          <w:sz w:val="24"/>
          <w:szCs w:val="24"/>
        </w:rPr>
        <w:t>w</w:t>
      </w:r>
      <w:r w:rsidR="009C7AF8">
        <w:rPr>
          <w:rFonts w:cs="Arial"/>
          <w:sz w:val="24"/>
          <w:szCs w:val="24"/>
        </w:rPr>
        <w:t>e</w:t>
      </w:r>
      <w:r>
        <w:rPr>
          <w:rFonts w:cs="Arial"/>
          <w:sz w:val="24"/>
          <w:szCs w:val="24"/>
        </w:rPr>
        <w:t xml:space="preserve"> </w:t>
      </w:r>
      <w:r w:rsidR="009C7AF8">
        <w:rPr>
          <w:rFonts w:cs="Arial"/>
          <w:sz w:val="24"/>
          <w:szCs w:val="24"/>
        </w:rPr>
        <w:t xml:space="preserve">wniosku </w:t>
      </w:r>
      <w:r w:rsidR="00EE25BB" w:rsidRPr="00EE25BB">
        <w:rPr>
          <w:rFonts w:cs="Arial"/>
          <w:sz w:val="24"/>
          <w:szCs w:val="24"/>
        </w:rPr>
        <w:t xml:space="preserve">dnia </w:t>
      </w:r>
      <w:bookmarkStart w:id="8" w:name="_GoBack"/>
      <w:bookmarkEnd w:id="8"/>
      <w:r w:rsidR="00EE25BB" w:rsidRPr="00EE25BB">
        <w:rPr>
          <w:rFonts w:cs="Arial"/>
          <w:sz w:val="24"/>
          <w:szCs w:val="24"/>
        </w:rPr>
        <w:t>25 listopada 2019 r., uzupełnionym pismami z dnia</w:t>
      </w:r>
      <w:r w:rsidR="006E3B8C">
        <w:rPr>
          <w:rFonts w:cs="Arial"/>
          <w:sz w:val="24"/>
          <w:szCs w:val="24"/>
        </w:rPr>
        <w:t>:</w:t>
      </w:r>
      <w:r w:rsidR="00EE25BB" w:rsidRPr="00EE25BB">
        <w:rPr>
          <w:rFonts w:cs="Arial"/>
          <w:sz w:val="24"/>
          <w:szCs w:val="24"/>
        </w:rPr>
        <w:t xml:space="preserve"> 19 grudnia 2019 r., 6 lutego 2020 r. oraz 31 marca 2020 r. </w:t>
      </w:r>
      <w:r w:rsidR="00EE25BB">
        <w:rPr>
          <w:rFonts w:cs="Arial"/>
          <w:sz w:val="24"/>
          <w:szCs w:val="24"/>
        </w:rPr>
        <w:t xml:space="preserve">w sprawie </w:t>
      </w:r>
      <w:r w:rsidR="00EE25BB" w:rsidRPr="00EE25BB">
        <w:rPr>
          <w:rFonts w:cs="Arial"/>
          <w:sz w:val="24"/>
          <w:szCs w:val="24"/>
        </w:rPr>
        <w:t xml:space="preserve">interpretacji art.33 ust.7 ustawy </w:t>
      </w:r>
      <w:r w:rsidR="00EE25BB">
        <w:rPr>
          <w:rFonts w:cs="Arial"/>
          <w:sz w:val="24"/>
          <w:szCs w:val="24"/>
        </w:rPr>
        <w:t xml:space="preserve">o rehabilitacji </w:t>
      </w:r>
      <w:r w:rsidR="00C65DB5">
        <w:rPr>
          <w:rFonts w:cs="Arial"/>
          <w:sz w:val="24"/>
          <w:szCs w:val="24"/>
        </w:rPr>
        <w:t xml:space="preserve">– </w:t>
      </w:r>
      <w:r w:rsidR="00C65DB5" w:rsidRPr="006E3B8C">
        <w:rPr>
          <w:rFonts w:cs="Arial"/>
          <w:b/>
          <w:bCs/>
          <w:sz w:val="24"/>
          <w:szCs w:val="24"/>
        </w:rPr>
        <w:t>jest nieprawidłowe.</w:t>
      </w:r>
    </w:p>
    <w:p w14:paraId="2A20B7F4" w14:textId="0B21DCF4" w:rsidR="00DC1770" w:rsidRDefault="00DC1770" w:rsidP="00DC1770">
      <w:pPr>
        <w:spacing w:after="0" w:line="360" w:lineRule="auto"/>
        <w:jc w:val="both"/>
        <w:rPr>
          <w:rFonts w:cs="Calibri"/>
          <w:sz w:val="24"/>
          <w:szCs w:val="24"/>
        </w:rPr>
      </w:pPr>
      <w:r>
        <w:rPr>
          <w:rFonts w:cs="Calibri"/>
          <w:sz w:val="24"/>
          <w:szCs w:val="24"/>
        </w:rPr>
        <w:t>W związku z powyższym postanowiono, jak w sentencji.</w:t>
      </w:r>
    </w:p>
    <w:p w14:paraId="2D264685" w14:textId="77777777" w:rsidR="00010B2E" w:rsidRDefault="00010B2E" w:rsidP="00DC1770">
      <w:pPr>
        <w:spacing w:after="0" w:line="360" w:lineRule="auto"/>
        <w:jc w:val="both"/>
        <w:rPr>
          <w:rFonts w:cs="Calibri"/>
          <w:sz w:val="24"/>
          <w:szCs w:val="24"/>
        </w:rPr>
      </w:pPr>
    </w:p>
    <w:p w14:paraId="14ECF91E" w14:textId="5D3EA75E" w:rsidR="00DC1770" w:rsidRDefault="00DC1770" w:rsidP="00DC1770">
      <w:pPr>
        <w:spacing w:after="120" w:line="360" w:lineRule="auto"/>
        <w:jc w:val="both"/>
        <w:rPr>
          <w:rFonts w:cs="Calibri"/>
          <w:sz w:val="18"/>
          <w:szCs w:val="18"/>
        </w:rPr>
      </w:pPr>
      <w:r>
        <w:rPr>
          <w:rFonts w:cs="Calibri"/>
          <w:sz w:val="18"/>
          <w:szCs w:val="18"/>
        </w:rPr>
        <w:t xml:space="preserve">Interpretacja dotyczy stanu faktycznego przedstawionego przez Wnioskodawcę i stanu prawnego obowiązującego w dniu wydania interpretacji. Organ w postępowaniu w sprawie urzędowej interpretacji nie może prowadzić żadnego postępowania dowodowego, bowiem przedmiotem postępowania nie jest ustalenie stanu faktycznego – stan ten jest stanem hipotetycznym, określonym przez wnioskującego o interpretację. Nie może go własnymi ocenami podważać, ustalać, uzupełniać ani też zmieniać w jakimkolwiek zakresie, nawet wówczas, gdy w oparciu o inne źródła, czy wiedzę znaną mu z urzędu, powziąłby uzasadnione wątpliwości co do zgodności przedstawionego przez przedsiębiorcę-wnioskodawcę stanu faktycznego z obiektywną rzeczywistością (wyrok Wojewódzkiego Sądu Administracyjnego w Gorzowie Wlkp. z dnia 16 lipca 2009 r., sygn. </w:t>
      </w:r>
      <w:r w:rsidR="00E95486">
        <w:rPr>
          <w:rFonts w:cs="Calibri"/>
          <w:sz w:val="18"/>
          <w:szCs w:val="18"/>
        </w:rPr>
        <w:t>a</w:t>
      </w:r>
      <w:r>
        <w:rPr>
          <w:rFonts w:cs="Calibri"/>
          <w:sz w:val="18"/>
          <w:szCs w:val="18"/>
        </w:rPr>
        <w:t xml:space="preserve">kt II SAB/Go 8/09).      </w:t>
      </w:r>
    </w:p>
    <w:p w14:paraId="292902D7" w14:textId="25BA581C" w:rsidR="00DC1770" w:rsidRDefault="00DC1770" w:rsidP="00DC1770">
      <w:pPr>
        <w:jc w:val="both"/>
        <w:rPr>
          <w:rFonts w:cs="Calibri"/>
          <w:b/>
          <w:sz w:val="24"/>
          <w:szCs w:val="24"/>
        </w:rPr>
      </w:pPr>
      <w:r>
        <w:rPr>
          <w:rFonts w:cs="Calibri"/>
          <w:b/>
          <w:sz w:val="24"/>
          <w:szCs w:val="24"/>
        </w:rPr>
        <w:t>Pouczenie:</w:t>
      </w:r>
    </w:p>
    <w:p w14:paraId="255EAAFA" w14:textId="15DAD759" w:rsidR="00DC1770" w:rsidRDefault="00DC1770" w:rsidP="00DC1770">
      <w:pPr>
        <w:pStyle w:val="NormalnyWeb"/>
        <w:spacing w:before="0" w:beforeAutospacing="0" w:after="0" w:afterAutospacing="0" w:line="360" w:lineRule="auto"/>
        <w:jc w:val="both"/>
        <w:rPr>
          <w:rFonts w:asciiTheme="minorHAnsi" w:hAnsiTheme="minorHAnsi" w:cs="Calibri"/>
        </w:rPr>
      </w:pPr>
      <w:r>
        <w:rPr>
          <w:rFonts w:asciiTheme="minorHAnsi" w:hAnsiTheme="minorHAnsi" w:cs="Calibri"/>
        </w:rPr>
        <w:t xml:space="preserve">Od niniejszej decyzji przysługuje Stronie, za pośrednictwem Prezesa Zarządu PFRON odwołanie do Ministra Rodziny, Pracy i Polityki Społecznej w terminie 14 dni od dnia </w:t>
      </w:r>
      <w:r w:rsidR="00B52D20">
        <w:rPr>
          <w:rFonts w:asciiTheme="minorHAnsi" w:hAnsiTheme="minorHAnsi" w:cs="Calibri"/>
        </w:rPr>
        <w:br/>
      </w:r>
      <w:r>
        <w:rPr>
          <w:rFonts w:asciiTheme="minorHAnsi" w:hAnsiTheme="minorHAnsi" w:cs="Calibri"/>
        </w:rPr>
        <w:t>jej doręczenia.  W trakcie biegu terminu do wniesienia odwołania Strona może zrzec się prawa do jego wniesienia. Z dniem doręczenia Prezesowi Zarządu PFRON oświadczenia o zrzeczeniu się prawa do wniesienia odwołania przez Stronę, decyzja staje się ostateczna i prawomocna.</w:t>
      </w:r>
    </w:p>
    <w:p w14:paraId="66D32511" w14:textId="77777777" w:rsidR="007978AD" w:rsidRDefault="007978AD"/>
    <w:sectPr w:rsidR="007978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883E4" w14:textId="77777777" w:rsidR="00310A61" w:rsidRDefault="00310A61" w:rsidP="009C2BDB">
      <w:pPr>
        <w:spacing w:after="0" w:line="240" w:lineRule="auto"/>
      </w:pPr>
      <w:r>
        <w:separator/>
      </w:r>
    </w:p>
  </w:endnote>
  <w:endnote w:type="continuationSeparator" w:id="0">
    <w:p w14:paraId="52268F8C" w14:textId="77777777" w:rsidR="00310A61" w:rsidRDefault="00310A61" w:rsidP="009C2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CFB98" w14:textId="77777777" w:rsidR="00310A61" w:rsidRDefault="00310A61" w:rsidP="009C2BDB">
      <w:pPr>
        <w:spacing w:after="0" w:line="240" w:lineRule="auto"/>
      </w:pPr>
      <w:r>
        <w:separator/>
      </w:r>
    </w:p>
  </w:footnote>
  <w:footnote w:type="continuationSeparator" w:id="0">
    <w:p w14:paraId="0BE5458A" w14:textId="77777777" w:rsidR="00310A61" w:rsidRDefault="00310A61" w:rsidP="009C2B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0F6"/>
    <w:multiLevelType w:val="hybridMultilevel"/>
    <w:tmpl w:val="FFCCED26"/>
    <w:lvl w:ilvl="0" w:tplc="1EDADE5C">
      <w:numFmt w:val="bullet"/>
      <w:lvlText w:val="•"/>
      <w:lvlJc w:val="left"/>
      <w:pPr>
        <w:ind w:left="1065" w:hanging="705"/>
      </w:pPr>
      <w:rPr>
        <w:rFonts w:ascii="Calibri" w:eastAsiaTheme="minorEastAsia"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703641"/>
    <w:multiLevelType w:val="hybridMultilevel"/>
    <w:tmpl w:val="30F0D676"/>
    <w:lvl w:ilvl="0" w:tplc="04150001">
      <w:start w:val="1"/>
      <w:numFmt w:val="bullet"/>
      <w:lvlText w:val=""/>
      <w:lvlJc w:val="left"/>
      <w:pPr>
        <w:ind w:left="930" w:hanging="360"/>
      </w:pPr>
      <w:rPr>
        <w:rFonts w:ascii="Symbol" w:hAnsi="Symbol"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2" w15:restartNumberingAfterBreak="0">
    <w:nsid w:val="10EF5A84"/>
    <w:multiLevelType w:val="hybridMultilevel"/>
    <w:tmpl w:val="A192FB0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21450F94"/>
    <w:multiLevelType w:val="hybridMultilevel"/>
    <w:tmpl w:val="A54023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B94026"/>
    <w:multiLevelType w:val="hybridMultilevel"/>
    <w:tmpl w:val="8AC088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C213E0"/>
    <w:multiLevelType w:val="hybridMultilevel"/>
    <w:tmpl w:val="0652BDC4"/>
    <w:lvl w:ilvl="0" w:tplc="0415000F">
      <w:start w:val="2"/>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4D1B2A"/>
    <w:multiLevelType w:val="hybridMultilevel"/>
    <w:tmpl w:val="C1FA2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A234C26"/>
    <w:multiLevelType w:val="hybridMultilevel"/>
    <w:tmpl w:val="C2666604"/>
    <w:lvl w:ilvl="0" w:tplc="6574780A">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270BAD"/>
    <w:multiLevelType w:val="hybridMultilevel"/>
    <w:tmpl w:val="5324FF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D3518A0"/>
    <w:multiLevelType w:val="hybridMultilevel"/>
    <w:tmpl w:val="BEDEBD5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33975EA7"/>
    <w:multiLevelType w:val="hybridMultilevel"/>
    <w:tmpl w:val="0CFA3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4A7249C"/>
    <w:multiLevelType w:val="hybridMultilevel"/>
    <w:tmpl w:val="53B84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5F35FD5"/>
    <w:multiLevelType w:val="hybridMultilevel"/>
    <w:tmpl w:val="756AEF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65047B1"/>
    <w:multiLevelType w:val="hybridMultilevel"/>
    <w:tmpl w:val="4C829C4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87B04D2"/>
    <w:multiLevelType w:val="hybridMultilevel"/>
    <w:tmpl w:val="365CF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7B362ED"/>
    <w:multiLevelType w:val="hybridMultilevel"/>
    <w:tmpl w:val="EC365F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C1216E2"/>
    <w:multiLevelType w:val="hybridMultilevel"/>
    <w:tmpl w:val="36FCCC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D783668"/>
    <w:multiLevelType w:val="hybridMultilevel"/>
    <w:tmpl w:val="DC402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342543B"/>
    <w:multiLevelType w:val="hybridMultilevel"/>
    <w:tmpl w:val="C07CF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94640C"/>
    <w:multiLevelType w:val="hybridMultilevel"/>
    <w:tmpl w:val="F46212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4907F7E"/>
    <w:multiLevelType w:val="hybridMultilevel"/>
    <w:tmpl w:val="20BAC5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150A5A"/>
    <w:multiLevelType w:val="hybridMultilevel"/>
    <w:tmpl w:val="8DD2220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D946320"/>
    <w:multiLevelType w:val="hybridMultilevel"/>
    <w:tmpl w:val="0630A4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E486597"/>
    <w:multiLevelType w:val="hybridMultilevel"/>
    <w:tmpl w:val="E1FC004C"/>
    <w:lvl w:ilvl="0" w:tplc="6574780A">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0"/>
  </w:num>
  <w:num w:numId="3">
    <w:abstractNumId w:val="14"/>
  </w:num>
  <w:num w:numId="4">
    <w:abstractNumId w:val="16"/>
  </w:num>
  <w:num w:numId="5">
    <w:abstractNumId w:val="17"/>
  </w:num>
  <w:num w:numId="6">
    <w:abstractNumId w:val="12"/>
  </w:num>
  <w:num w:numId="7">
    <w:abstractNumId w:val="1"/>
  </w:num>
  <w:num w:numId="8">
    <w:abstractNumId w:val="13"/>
  </w:num>
  <w:num w:numId="9">
    <w:abstractNumId w:val="19"/>
  </w:num>
  <w:num w:numId="10">
    <w:abstractNumId w:val="5"/>
  </w:num>
  <w:num w:numId="11">
    <w:abstractNumId w:val="10"/>
  </w:num>
  <w:num w:numId="12">
    <w:abstractNumId w:val="15"/>
  </w:num>
  <w:num w:numId="13">
    <w:abstractNumId w:val="22"/>
  </w:num>
  <w:num w:numId="14">
    <w:abstractNumId w:val="11"/>
  </w:num>
  <w:num w:numId="15">
    <w:abstractNumId w:val="9"/>
  </w:num>
  <w:num w:numId="16">
    <w:abstractNumId w:val="6"/>
  </w:num>
  <w:num w:numId="17">
    <w:abstractNumId w:val="21"/>
  </w:num>
  <w:num w:numId="18">
    <w:abstractNumId w:val="23"/>
  </w:num>
  <w:num w:numId="19">
    <w:abstractNumId w:val="18"/>
  </w:num>
  <w:num w:numId="20">
    <w:abstractNumId w:val="7"/>
  </w:num>
  <w:num w:numId="21">
    <w:abstractNumId w:val="3"/>
  </w:num>
  <w:num w:numId="22">
    <w:abstractNumId w:val="0"/>
  </w:num>
  <w:num w:numId="23">
    <w:abstractNumId w:val="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4D8"/>
    <w:rsid w:val="00000C8F"/>
    <w:rsid w:val="000061F3"/>
    <w:rsid w:val="00010B2E"/>
    <w:rsid w:val="0001559D"/>
    <w:rsid w:val="0001733B"/>
    <w:rsid w:val="0002498C"/>
    <w:rsid w:val="00026DF3"/>
    <w:rsid w:val="0003366A"/>
    <w:rsid w:val="00037252"/>
    <w:rsid w:val="00046B1C"/>
    <w:rsid w:val="000661E9"/>
    <w:rsid w:val="00067E7C"/>
    <w:rsid w:val="0008726A"/>
    <w:rsid w:val="00087382"/>
    <w:rsid w:val="00094AFD"/>
    <w:rsid w:val="000A1237"/>
    <w:rsid w:val="000B0C0F"/>
    <w:rsid w:val="000C0384"/>
    <w:rsid w:val="000D41CA"/>
    <w:rsid w:val="000E0D31"/>
    <w:rsid w:val="000E7995"/>
    <w:rsid w:val="000F79AE"/>
    <w:rsid w:val="001235F7"/>
    <w:rsid w:val="0013736A"/>
    <w:rsid w:val="00146167"/>
    <w:rsid w:val="00152B6A"/>
    <w:rsid w:val="00167F47"/>
    <w:rsid w:val="001765A9"/>
    <w:rsid w:val="00194767"/>
    <w:rsid w:val="001A456D"/>
    <w:rsid w:val="001B27E9"/>
    <w:rsid w:val="001D0C5C"/>
    <w:rsid w:val="001D3968"/>
    <w:rsid w:val="001E1D50"/>
    <w:rsid w:val="001E3B42"/>
    <w:rsid w:val="001E6168"/>
    <w:rsid w:val="001F3319"/>
    <w:rsid w:val="001F4D71"/>
    <w:rsid w:val="001F4E4C"/>
    <w:rsid w:val="001F690B"/>
    <w:rsid w:val="00214A24"/>
    <w:rsid w:val="00217E13"/>
    <w:rsid w:val="00220B2B"/>
    <w:rsid w:val="002417C6"/>
    <w:rsid w:val="00253811"/>
    <w:rsid w:val="00256AB8"/>
    <w:rsid w:val="00256DF5"/>
    <w:rsid w:val="002626C7"/>
    <w:rsid w:val="00262C8A"/>
    <w:rsid w:val="00263924"/>
    <w:rsid w:val="0026746A"/>
    <w:rsid w:val="00272C60"/>
    <w:rsid w:val="002773AB"/>
    <w:rsid w:val="00281ADC"/>
    <w:rsid w:val="002A15BB"/>
    <w:rsid w:val="002A2FFD"/>
    <w:rsid w:val="002A6756"/>
    <w:rsid w:val="002B00A2"/>
    <w:rsid w:val="002B2C72"/>
    <w:rsid w:val="002B3597"/>
    <w:rsid w:val="002C6131"/>
    <w:rsid w:val="002E1AB6"/>
    <w:rsid w:val="002E4805"/>
    <w:rsid w:val="002E74EB"/>
    <w:rsid w:val="002E7767"/>
    <w:rsid w:val="002F5DF1"/>
    <w:rsid w:val="003000BF"/>
    <w:rsid w:val="003014CE"/>
    <w:rsid w:val="00310A61"/>
    <w:rsid w:val="00321902"/>
    <w:rsid w:val="00322866"/>
    <w:rsid w:val="00322B37"/>
    <w:rsid w:val="00323FBC"/>
    <w:rsid w:val="0033245B"/>
    <w:rsid w:val="003361BC"/>
    <w:rsid w:val="00336775"/>
    <w:rsid w:val="00340835"/>
    <w:rsid w:val="003754F7"/>
    <w:rsid w:val="00377C56"/>
    <w:rsid w:val="00383006"/>
    <w:rsid w:val="003A00A5"/>
    <w:rsid w:val="003A709A"/>
    <w:rsid w:val="003B0230"/>
    <w:rsid w:val="003B059B"/>
    <w:rsid w:val="003B7220"/>
    <w:rsid w:val="003C083E"/>
    <w:rsid w:val="003C0A98"/>
    <w:rsid w:val="003D217D"/>
    <w:rsid w:val="003D4E4A"/>
    <w:rsid w:val="003E636D"/>
    <w:rsid w:val="003E702D"/>
    <w:rsid w:val="003F04D6"/>
    <w:rsid w:val="003F0D16"/>
    <w:rsid w:val="003F3D7D"/>
    <w:rsid w:val="003F57CB"/>
    <w:rsid w:val="00411108"/>
    <w:rsid w:val="00415971"/>
    <w:rsid w:val="004174D8"/>
    <w:rsid w:val="0043625A"/>
    <w:rsid w:val="00445842"/>
    <w:rsid w:val="00453ABB"/>
    <w:rsid w:val="004540DC"/>
    <w:rsid w:val="004632A7"/>
    <w:rsid w:val="00476ACD"/>
    <w:rsid w:val="0048272D"/>
    <w:rsid w:val="00485696"/>
    <w:rsid w:val="004921AC"/>
    <w:rsid w:val="00497D43"/>
    <w:rsid w:val="004B2180"/>
    <w:rsid w:val="004C33A8"/>
    <w:rsid w:val="004D7767"/>
    <w:rsid w:val="004E026E"/>
    <w:rsid w:val="004E793E"/>
    <w:rsid w:val="004F03FA"/>
    <w:rsid w:val="004F48A2"/>
    <w:rsid w:val="00500AD9"/>
    <w:rsid w:val="00503449"/>
    <w:rsid w:val="00515AA5"/>
    <w:rsid w:val="005219F3"/>
    <w:rsid w:val="00530493"/>
    <w:rsid w:val="00541856"/>
    <w:rsid w:val="00545221"/>
    <w:rsid w:val="005479DB"/>
    <w:rsid w:val="00552EF6"/>
    <w:rsid w:val="005600F5"/>
    <w:rsid w:val="0056241B"/>
    <w:rsid w:val="0056335D"/>
    <w:rsid w:val="005641F0"/>
    <w:rsid w:val="00564BD7"/>
    <w:rsid w:val="00582B10"/>
    <w:rsid w:val="00592120"/>
    <w:rsid w:val="005A2050"/>
    <w:rsid w:val="005A380D"/>
    <w:rsid w:val="005A792C"/>
    <w:rsid w:val="005E3560"/>
    <w:rsid w:val="005F1123"/>
    <w:rsid w:val="005F1A06"/>
    <w:rsid w:val="006005B4"/>
    <w:rsid w:val="00604DA7"/>
    <w:rsid w:val="0060733B"/>
    <w:rsid w:val="006075F0"/>
    <w:rsid w:val="00627A28"/>
    <w:rsid w:val="0064759A"/>
    <w:rsid w:val="0065221F"/>
    <w:rsid w:val="006534B2"/>
    <w:rsid w:val="00670483"/>
    <w:rsid w:val="006743CA"/>
    <w:rsid w:val="0067454A"/>
    <w:rsid w:val="00685B77"/>
    <w:rsid w:val="00686EE3"/>
    <w:rsid w:val="006876A4"/>
    <w:rsid w:val="006A5177"/>
    <w:rsid w:val="006A6467"/>
    <w:rsid w:val="006B05DD"/>
    <w:rsid w:val="006B131F"/>
    <w:rsid w:val="006B5154"/>
    <w:rsid w:val="006B6453"/>
    <w:rsid w:val="006B76A8"/>
    <w:rsid w:val="006C641D"/>
    <w:rsid w:val="006D045F"/>
    <w:rsid w:val="006D2C66"/>
    <w:rsid w:val="006D717E"/>
    <w:rsid w:val="006E3B8C"/>
    <w:rsid w:val="006E5B0C"/>
    <w:rsid w:val="006E6C8B"/>
    <w:rsid w:val="006F0106"/>
    <w:rsid w:val="006F5273"/>
    <w:rsid w:val="006F569C"/>
    <w:rsid w:val="007000DF"/>
    <w:rsid w:val="00707072"/>
    <w:rsid w:val="00711991"/>
    <w:rsid w:val="007216AD"/>
    <w:rsid w:val="00722ADF"/>
    <w:rsid w:val="00726AFE"/>
    <w:rsid w:val="00726E6A"/>
    <w:rsid w:val="00735E86"/>
    <w:rsid w:val="00750C7F"/>
    <w:rsid w:val="0075121D"/>
    <w:rsid w:val="007523FE"/>
    <w:rsid w:val="00752DEE"/>
    <w:rsid w:val="00757734"/>
    <w:rsid w:val="00774CDD"/>
    <w:rsid w:val="007806AD"/>
    <w:rsid w:val="00782470"/>
    <w:rsid w:val="00783466"/>
    <w:rsid w:val="00784B1A"/>
    <w:rsid w:val="0079530C"/>
    <w:rsid w:val="007978AD"/>
    <w:rsid w:val="007A04B2"/>
    <w:rsid w:val="007A04B5"/>
    <w:rsid w:val="007A3FFE"/>
    <w:rsid w:val="007B02BA"/>
    <w:rsid w:val="007B551E"/>
    <w:rsid w:val="007C6760"/>
    <w:rsid w:val="007E08F4"/>
    <w:rsid w:val="007E2CA7"/>
    <w:rsid w:val="007E30A2"/>
    <w:rsid w:val="007F0C24"/>
    <w:rsid w:val="007F4216"/>
    <w:rsid w:val="007F77D8"/>
    <w:rsid w:val="00804138"/>
    <w:rsid w:val="00804A2D"/>
    <w:rsid w:val="00807924"/>
    <w:rsid w:val="008127B7"/>
    <w:rsid w:val="008231C1"/>
    <w:rsid w:val="00833552"/>
    <w:rsid w:val="00842846"/>
    <w:rsid w:val="00861459"/>
    <w:rsid w:val="008808DD"/>
    <w:rsid w:val="00896886"/>
    <w:rsid w:val="008A1B9B"/>
    <w:rsid w:val="008A3A4D"/>
    <w:rsid w:val="008A4113"/>
    <w:rsid w:val="008C2680"/>
    <w:rsid w:val="008C339E"/>
    <w:rsid w:val="008C496C"/>
    <w:rsid w:val="008D5085"/>
    <w:rsid w:val="008D76F6"/>
    <w:rsid w:val="008E0AB8"/>
    <w:rsid w:val="008E5FA7"/>
    <w:rsid w:val="008F2202"/>
    <w:rsid w:val="008F6148"/>
    <w:rsid w:val="009006B6"/>
    <w:rsid w:val="00901BC4"/>
    <w:rsid w:val="009055BC"/>
    <w:rsid w:val="00905B73"/>
    <w:rsid w:val="00905FE1"/>
    <w:rsid w:val="00923509"/>
    <w:rsid w:val="00925841"/>
    <w:rsid w:val="00947B3D"/>
    <w:rsid w:val="0095366C"/>
    <w:rsid w:val="0095523C"/>
    <w:rsid w:val="009622E2"/>
    <w:rsid w:val="0096720E"/>
    <w:rsid w:val="00986F0C"/>
    <w:rsid w:val="009A0432"/>
    <w:rsid w:val="009A0D61"/>
    <w:rsid w:val="009A7D95"/>
    <w:rsid w:val="009B730E"/>
    <w:rsid w:val="009C2BDB"/>
    <w:rsid w:val="009C7AF8"/>
    <w:rsid w:val="009D6D23"/>
    <w:rsid w:val="009F23EA"/>
    <w:rsid w:val="00A13820"/>
    <w:rsid w:val="00A23F20"/>
    <w:rsid w:val="00A240CB"/>
    <w:rsid w:val="00A24BEA"/>
    <w:rsid w:val="00A46F4B"/>
    <w:rsid w:val="00A564CD"/>
    <w:rsid w:val="00A671BA"/>
    <w:rsid w:val="00A82025"/>
    <w:rsid w:val="00AA0C37"/>
    <w:rsid w:val="00AA4785"/>
    <w:rsid w:val="00AB1069"/>
    <w:rsid w:val="00AB24E4"/>
    <w:rsid w:val="00AB3B0D"/>
    <w:rsid w:val="00AB57FF"/>
    <w:rsid w:val="00AD3084"/>
    <w:rsid w:val="00AD617F"/>
    <w:rsid w:val="00AD7C2F"/>
    <w:rsid w:val="00AE0FFE"/>
    <w:rsid w:val="00B00A8D"/>
    <w:rsid w:val="00B037DC"/>
    <w:rsid w:val="00B155F6"/>
    <w:rsid w:val="00B15D46"/>
    <w:rsid w:val="00B26A8B"/>
    <w:rsid w:val="00B3096B"/>
    <w:rsid w:val="00B31D94"/>
    <w:rsid w:val="00B52D20"/>
    <w:rsid w:val="00B5635C"/>
    <w:rsid w:val="00B57407"/>
    <w:rsid w:val="00B57507"/>
    <w:rsid w:val="00B60E21"/>
    <w:rsid w:val="00B63503"/>
    <w:rsid w:val="00B64D33"/>
    <w:rsid w:val="00B70142"/>
    <w:rsid w:val="00B8173F"/>
    <w:rsid w:val="00B828B1"/>
    <w:rsid w:val="00B90295"/>
    <w:rsid w:val="00BA3632"/>
    <w:rsid w:val="00BB44A4"/>
    <w:rsid w:val="00BD513F"/>
    <w:rsid w:val="00BE7CD5"/>
    <w:rsid w:val="00BF0C2B"/>
    <w:rsid w:val="00BF2B91"/>
    <w:rsid w:val="00BF4EE1"/>
    <w:rsid w:val="00C06FC6"/>
    <w:rsid w:val="00C25278"/>
    <w:rsid w:val="00C33D13"/>
    <w:rsid w:val="00C47D3A"/>
    <w:rsid w:val="00C5483E"/>
    <w:rsid w:val="00C65DB5"/>
    <w:rsid w:val="00C83BB1"/>
    <w:rsid w:val="00C873DA"/>
    <w:rsid w:val="00C90FA3"/>
    <w:rsid w:val="00C94627"/>
    <w:rsid w:val="00CA210B"/>
    <w:rsid w:val="00CA7062"/>
    <w:rsid w:val="00CB696F"/>
    <w:rsid w:val="00CC168B"/>
    <w:rsid w:val="00CC19B0"/>
    <w:rsid w:val="00CC377F"/>
    <w:rsid w:val="00CD41CA"/>
    <w:rsid w:val="00CE0AA8"/>
    <w:rsid w:val="00CE1C03"/>
    <w:rsid w:val="00CF5766"/>
    <w:rsid w:val="00CF69F8"/>
    <w:rsid w:val="00CF7703"/>
    <w:rsid w:val="00D04502"/>
    <w:rsid w:val="00D12740"/>
    <w:rsid w:val="00D24523"/>
    <w:rsid w:val="00D2626B"/>
    <w:rsid w:val="00D267B7"/>
    <w:rsid w:val="00D27EE4"/>
    <w:rsid w:val="00D473E0"/>
    <w:rsid w:val="00D47504"/>
    <w:rsid w:val="00D7108A"/>
    <w:rsid w:val="00D74695"/>
    <w:rsid w:val="00D75934"/>
    <w:rsid w:val="00D764C5"/>
    <w:rsid w:val="00D81146"/>
    <w:rsid w:val="00D876C6"/>
    <w:rsid w:val="00D91F5B"/>
    <w:rsid w:val="00DA41A9"/>
    <w:rsid w:val="00DB10AB"/>
    <w:rsid w:val="00DC1770"/>
    <w:rsid w:val="00DC6915"/>
    <w:rsid w:val="00DE06FB"/>
    <w:rsid w:val="00DE433A"/>
    <w:rsid w:val="00DF115B"/>
    <w:rsid w:val="00DF2B7E"/>
    <w:rsid w:val="00E143DE"/>
    <w:rsid w:val="00E20DEE"/>
    <w:rsid w:val="00E40139"/>
    <w:rsid w:val="00E406B1"/>
    <w:rsid w:val="00E43AE2"/>
    <w:rsid w:val="00E45375"/>
    <w:rsid w:val="00E5638B"/>
    <w:rsid w:val="00E56CE9"/>
    <w:rsid w:val="00E60448"/>
    <w:rsid w:val="00E764D4"/>
    <w:rsid w:val="00E86EB8"/>
    <w:rsid w:val="00E873DA"/>
    <w:rsid w:val="00E91636"/>
    <w:rsid w:val="00E95486"/>
    <w:rsid w:val="00E95B24"/>
    <w:rsid w:val="00E96945"/>
    <w:rsid w:val="00E97F14"/>
    <w:rsid w:val="00EA06A4"/>
    <w:rsid w:val="00EB36A9"/>
    <w:rsid w:val="00EC4819"/>
    <w:rsid w:val="00EC501E"/>
    <w:rsid w:val="00ED70CC"/>
    <w:rsid w:val="00EE25BB"/>
    <w:rsid w:val="00EE7F3F"/>
    <w:rsid w:val="00EF6017"/>
    <w:rsid w:val="00F02D71"/>
    <w:rsid w:val="00F05866"/>
    <w:rsid w:val="00F17B7E"/>
    <w:rsid w:val="00F30CE1"/>
    <w:rsid w:val="00F3171F"/>
    <w:rsid w:val="00F35ED1"/>
    <w:rsid w:val="00F37223"/>
    <w:rsid w:val="00F42D14"/>
    <w:rsid w:val="00F44163"/>
    <w:rsid w:val="00F50F5F"/>
    <w:rsid w:val="00F70C23"/>
    <w:rsid w:val="00F716B8"/>
    <w:rsid w:val="00F84B5C"/>
    <w:rsid w:val="00F9087F"/>
    <w:rsid w:val="00FA0EC2"/>
    <w:rsid w:val="00FA5BBC"/>
    <w:rsid w:val="00FA62EA"/>
    <w:rsid w:val="00FB4EA1"/>
    <w:rsid w:val="00FB65A2"/>
    <w:rsid w:val="00FC1D00"/>
    <w:rsid w:val="00FC2237"/>
    <w:rsid w:val="00FC4C5A"/>
    <w:rsid w:val="00FD0C62"/>
    <w:rsid w:val="00FD40C1"/>
    <w:rsid w:val="00FF255C"/>
    <w:rsid w:val="00FF28FA"/>
    <w:rsid w:val="00FF42DC"/>
    <w:rsid w:val="00FF62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502EA"/>
  <w15:chartTrackingRefBased/>
  <w15:docId w15:val="{5974CBDA-4809-409A-BD2D-28AC3935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DC1770"/>
    <w:pPr>
      <w:spacing w:after="200" w:line="276" w:lineRule="auto"/>
    </w:pPr>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C1770"/>
    <w:pPr>
      <w:spacing w:before="100" w:beforeAutospacing="1" w:after="100" w:afterAutospacing="1" w:line="240" w:lineRule="auto"/>
    </w:pPr>
    <w:rPr>
      <w:rFonts w:ascii="Times New Roman" w:eastAsia="Times New Roman" w:hAnsi="Times New Roman"/>
      <w:sz w:val="24"/>
      <w:szCs w:val="24"/>
    </w:rPr>
  </w:style>
  <w:style w:type="paragraph" w:styleId="Akapitzlist">
    <w:name w:val="List Paragraph"/>
    <w:basedOn w:val="Normalny"/>
    <w:uiPriority w:val="34"/>
    <w:qFormat/>
    <w:rsid w:val="00DC1770"/>
    <w:pPr>
      <w:ind w:left="720"/>
      <w:contextualSpacing/>
    </w:pPr>
  </w:style>
  <w:style w:type="character" w:styleId="Odwoaniedokomentarza">
    <w:name w:val="annotation reference"/>
    <w:basedOn w:val="Domylnaczcionkaakapitu"/>
    <w:uiPriority w:val="99"/>
    <w:semiHidden/>
    <w:unhideWhenUsed/>
    <w:rsid w:val="00DC1770"/>
    <w:rPr>
      <w:rFonts w:ascii="Times New Roman" w:hAnsi="Times New Roman" w:cs="Times New Roman" w:hint="default"/>
      <w:sz w:val="16"/>
      <w:szCs w:val="16"/>
    </w:rPr>
  </w:style>
  <w:style w:type="paragraph" w:styleId="Tekstdymka">
    <w:name w:val="Balloon Text"/>
    <w:basedOn w:val="Normalny"/>
    <w:link w:val="TekstdymkaZnak"/>
    <w:uiPriority w:val="99"/>
    <w:semiHidden/>
    <w:unhideWhenUsed/>
    <w:rsid w:val="007119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1991"/>
    <w:rPr>
      <w:rFonts w:ascii="Segoe UI" w:eastAsiaTheme="minorEastAsia" w:hAnsi="Segoe UI" w:cs="Segoe UI"/>
      <w:sz w:val="18"/>
      <w:szCs w:val="18"/>
      <w:lang w:eastAsia="pl-PL"/>
    </w:rPr>
  </w:style>
  <w:style w:type="paragraph" w:styleId="Tekstprzypisukocowego">
    <w:name w:val="endnote text"/>
    <w:basedOn w:val="Normalny"/>
    <w:link w:val="TekstprzypisukocowegoZnak"/>
    <w:uiPriority w:val="99"/>
    <w:semiHidden/>
    <w:unhideWhenUsed/>
    <w:rsid w:val="009C2BD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C2BDB"/>
    <w:rPr>
      <w:rFonts w:eastAsiaTheme="minorEastAsia" w:cs="Times New Roman"/>
      <w:sz w:val="20"/>
      <w:szCs w:val="20"/>
      <w:lang w:eastAsia="pl-PL"/>
    </w:rPr>
  </w:style>
  <w:style w:type="character" w:styleId="Odwoanieprzypisukocowego">
    <w:name w:val="endnote reference"/>
    <w:basedOn w:val="Domylnaczcionkaakapitu"/>
    <w:uiPriority w:val="99"/>
    <w:semiHidden/>
    <w:unhideWhenUsed/>
    <w:rsid w:val="009C2BDB"/>
    <w:rPr>
      <w:vertAlign w:val="superscript"/>
    </w:rPr>
  </w:style>
  <w:style w:type="paragraph" w:styleId="Tekstpodstawowy">
    <w:name w:val="Body Text"/>
    <w:basedOn w:val="Normalny"/>
    <w:link w:val="TekstpodstawowyZnak"/>
    <w:uiPriority w:val="99"/>
    <w:semiHidden/>
    <w:unhideWhenUsed/>
    <w:rsid w:val="00340835"/>
    <w:pPr>
      <w:spacing w:after="0" w:line="360" w:lineRule="auto"/>
    </w:pPr>
    <w:rPr>
      <w:rFonts w:ascii="Times New Roman" w:hAnsi="Times New Roman"/>
      <w:sz w:val="24"/>
      <w:szCs w:val="24"/>
    </w:rPr>
  </w:style>
  <w:style w:type="character" w:customStyle="1" w:styleId="TekstpodstawowyZnak">
    <w:name w:val="Tekst podstawowy Znak"/>
    <w:basedOn w:val="Domylnaczcionkaakapitu"/>
    <w:link w:val="Tekstpodstawowy"/>
    <w:uiPriority w:val="99"/>
    <w:semiHidden/>
    <w:rsid w:val="00340835"/>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190354">
      <w:bodyDiv w:val="1"/>
      <w:marLeft w:val="0"/>
      <w:marRight w:val="0"/>
      <w:marTop w:val="0"/>
      <w:marBottom w:val="0"/>
      <w:divBdr>
        <w:top w:val="none" w:sz="0" w:space="0" w:color="auto"/>
        <w:left w:val="none" w:sz="0" w:space="0" w:color="auto"/>
        <w:bottom w:val="none" w:sz="0" w:space="0" w:color="auto"/>
        <w:right w:val="none" w:sz="0" w:space="0" w:color="auto"/>
      </w:divBdr>
    </w:div>
    <w:div w:id="191346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4513</Words>
  <Characters>27079</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Czerwiec</dc:creator>
  <cp:keywords/>
  <dc:description/>
  <cp:lastModifiedBy>Czerwiec Robert</cp:lastModifiedBy>
  <cp:revision>3</cp:revision>
  <cp:lastPrinted>2020-06-18T16:19:00Z</cp:lastPrinted>
  <dcterms:created xsi:type="dcterms:W3CDTF">2020-12-15T14:53:00Z</dcterms:created>
  <dcterms:modified xsi:type="dcterms:W3CDTF">2020-12-16T12:55:00Z</dcterms:modified>
</cp:coreProperties>
</file>